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50517" w:rsidRDefault="00484EA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50517" w:rsidRDefault="00484EA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50517" w:rsidRDefault="00484EA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50517" w:rsidRDefault="00484EA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50517" w:rsidRDefault="00484EA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53,006,438.38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84EAD" w:rsidRPr="00414345" w:rsidTr="00484EA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84EAD" w:rsidRPr="00414345" w:rsidTr="00484E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-13,957,928.12</w:t>
            </w:r>
          </w:p>
        </w:tc>
      </w:tr>
      <w:tr w:rsidR="00484EAD" w:rsidRPr="00414345" w:rsidTr="00484E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-17,137,593.71</w:t>
            </w:r>
          </w:p>
        </w:tc>
      </w:tr>
      <w:tr w:rsidR="00484EAD" w:rsidRPr="00414345" w:rsidTr="00484E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-0.3242</w:t>
            </w:r>
          </w:p>
        </w:tc>
      </w:tr>
      <w:tr w:rsidR="00484EAD" w:rsidRPr="00414345" w:rsidTr="00484EA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101,807,155.96</w:t>
            </w:r>
          </w:p>
        </w:tc>
      </w:tr>
      <w:tr w:rsidR="00484EAD" w:rsidRPr="00414345" w:rsidTr="00484EA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1.921</w:t>
            </w:r>
          </w:p>
        </w:tc>
      </w:tr>
    </w:tbl>
    <w:p w:rsidR="00B50517" w:rsidRDefault="00484E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584FC7">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50517">
        <w:trPr>
          <w:jc w:val="center"/>
        </w:trPr>
        <w:tc>
          <w:tcPr>
            <w:tcW w:w="1701" w:type="dxa"/>
            <w:vAlign w:val="center"/>
          </w:tcPr>
          <w:p w:rsidR="00B50517" w:rsidRDefault="00484EAD">
            <w:pPr>
              <w:jc w:val="left"/>
            </w:pPr>
            <w:r>
              <w:rPr>
                <w:color w:val="000000"/>
                <w:sz w:val="24"/>
                <w:szCs w:val="24"/>
              </w:rPr>
              <w:t>过去三个月</w:t>
            </w:r>
          </w:p>
        </w:tc>
        <w:tc>
          <w:tcPr>
            <w:tcW w:w="1045" w:type="dxa"/>
            <w:vAlign w:val="center"/>
          </w:tcPr>
          <w:p w:rsidR="00B50517" w:rsidRDefault="00484EAD">
            <w:pPr>
              <w:jc w:val="center"/>
            </w:pPr>
            <w:r>
              <w:rPr>
                <w:color w:val="000000"/>
                <w:sz w:val="24"/>
                <w:szCs w:val="24"/>
              </w:rPr>
              <w:t>-14.58%</w:t>
            </w:r>
          </w:p>
        </w:tc>
        <w:tc>
          <w:tcPr>
            <w:tcW w:w="1344" w:type="dxa"/>
            <w:vAlign w:val="center"/>
          </w:tcPr>
          <w:p w:rsidR="00B50517" w:rsidRDefault="00484EAD">
            <w:pPr>
              <w:jc w:val="center"/>
            </w:pPr>
            <w:r>
              <w:rPr>
                <w:color w:val="000000"/>
                <w:sz w:val="24"/>
                <w:szCs w:val="24"/>
              </w:rPr>
              <w:t>2.71%</w:t>
            </w:r>
          </w:p>
        </w:tc>
        <w:tc>
          <w:tcPr>
            <w:tcW w:w="1194" w:type="dxa"/>
            <w:vAlign w:val="center"/>
          </w:tcPr>
          <w:p w:rsidR="00B50517" w:rsidRDefault="00484EAD">
            <w:pPr>
              <w:jc w:val="center"/>
            </w:pPr>
            <w:r>
              <w:rPr>
                <w:color w:val="000000"/>
                <w:sz w:val="24"/>
                <w:szCs w:val="24"/>
              </w:rPr>
              <w:t>-9.94%</w:t>
            </w:r>
          </w:p>
        </w:tc>
        <w:tc>
          <w:tcPr>
            <w:tcW w:w="1492" w:type="dxa"/>
            <w:vAlign w:val="center"/>
          </w:tcPr>
          <w:p w:rsidR="00B50517" w:rsidRDefault="00484EAD">
            <w:pPr>
              <w:jc w:val="center"/>
            </w:pPr>
            <w:r>
              <w:rPr>
                <w:color w:val="000000"/>
                <w:sz w:val="24"/>
                <w:szCs w:val="24"/>
              </w:rPr>
              <w:t>1.82%</w:t>
            </w:r>
          </w:p>
        </w:tc>
        <w:tc>
          <w:tcPr>
            <w:tcW w:w="1194" w:type="dxa"/>
            <w:vAlign w:val="center"/>
          </w:tcPr>
          <w:p w:rsidR="00B50517" w:rsidRDefault="00484EAD">
            <w:pPr>
              <w:jc w:val="center"/>
            </w:pPr>
            <w:r>
              <w:rPr>
                <w:color w:val="000000"/>
                <w:sz w:val="24"/>
                <w:szCs w:val="24"/>
              </w:rPr>
              <w:t>-4.64%</w:t>
            </w:r>
          </w:p>
        </w:tc>
        <w:tc>
          <w:tcPr>
            <w:tcW w:w="898" w:type="dxa"/>
            <w:vAlign w:val="center"/>
          </w:tcPr>
          <w:p w:rsidR="00B50517" w:rsidRDefault="00484EAD">
            <w:pPr>
              <w:jc w:val="center"/>
            </w:pPr>
            <w:r>
              <w:rPr>
                <w:color w:val="000000"/>
                <w:sz w:val="24"/>
                <w:szCs w:val="24"/>
              </w:rPr>
              <w:t>0.89%</w:t>
            </w:r>
          </w:p>
        </w:tc>
      </w:tr>
    </w:tbl>
    <w:p w:rsidR="00584FC7" w:rsidRDefault="00584FC7" w:rsidP="00584FC7">
      <w:pPr>
        <w:autoSpaceDE w:val="0"/>
        <w:autoSpaceDN w:val="0"/>
        <w:adjustRightInd w:val="0"/>
        <w:spacing w:before="29" w:line="288" w:lineRule="auto"/>
        <w:jc w:val="left"/>
        <w:rPr>
          <w:color w:val="000000"/>
          <w:sz w:val="24"/>
          <w:szCs w:val="24"/>
        </w:rPr>
      </w:pPr>
      <w:r>
        <w:rPr>
          <w:rFonts w:hint="eastAsia"/>
          <w:color w:val="000000"/>
          <w:sz w:val="24"/>
          <w:szCs w:val="24"/>
        </w:rPr>
        <w:t>注：本基金业绩比较基准自</w:t>
      </w:r>
      <w:r>
        <w:rPr>
          <w:color w:val="000000"/>
          <w:sz w:val="24"/>
          <w:szCs w:val="24"/>
        </w:rPr>
        <w:t>2015</w:t>
      </w:r>
      <w:r>
        <w:rPr>
          <w:rFonts w:hint="eastAsia"/>
          <w:color w:val="000000"/>
          <w:sz w:val="24"/>
          <w:szCs w:val="24"/>
        </w:rPr>
        <w:t>年</w:t>
      </w:r>
      <w:r>
        <w:rPr>
          <w:color w:val="000000"/>
          <w:sz w:val="24"/>
          <w:szCs w:val="24"/>
        </w:rPr>
        <w:t>10</w:t>
      </w:r>
      <w:r>
        <w:rPr>
          <w:rFonts w:hint="eastAsia"/>
          <w:color w:val="000000"/>
          <w:sz w:val="24"/>
          <w:szCs w:val="24"/>
        </w:rPr>
        <w:t>月</w:t>
      </w:r>
      <w:r>
        <w:rPr>
          <w:color w:val="000000"/>
          <w:sz w:val="24"/>
          <w:szCs w:val="24"/>
        </w:rPr>
        <w:t>1</w:t>
      </w:r>
      <w:r>
        <w:rPr>
          <w:rFonts w:hint="eastAsia"/>
          <w:color w:val="000000"/>
          <w:sz w:val="24"/>
          <w:szCs w:val="24"/>
        </w:rPr>
        <w:t>日起，由</w:t>
      </w:r>
      <w:r>
        <w:rPr>
          <w:color w:val="000000"/>
          <w:sz w:val="24"/>
          <w:szCs w:val="24"/>
        </w:rPr>
        <w:t>“75%×</w:t>
      </w:r>
      <w:r>
        <w:rPr>
          <w:rFonts w:hint="eastAsia"/>
          <w:color w:val="000000"/>
          <w:sz w:val="24"/>
          <w:szCs w:val="24"/>
        </w:rPr>
        <w:t>沪深</w:t>
      </w:r>
      <w:r>
        <w:rPr>
          <w:color w:val="000000"/>
          <w:sz w:val="24"/>
          <w:szCs w:val="24"/>
        </w:rPr>
        <w:t>300</w:t>
      </w:r>
      <w:r>
        <w:rPr>
          <w:rFonts w:hint="eastAsia"/>
          <w:color w:val="000000"/>
          <w:sz w:val="24"/>
          <w:szCs w:val="24"/>
        </w:rPr>
        <w:t>指数收益率</w:t>
      </w:r>
      <w:r>
        <w:rPr>
          <w:color w:val="000000"/>
          <w:sz w:val="24"/>
          <w:szCs w:val="24"/>
        </w:rPr>
        <w:t>+25%×</w:t>
      </w:r>
      <w:r>
        <w:rPr>
          <w:rFonts w:hint="eastAsia"/>
          <w:color w:val="000000"/>
          <w:sz w:val="24"/>
          <w:szCs w:val="24"/>
        </w:rPr>
        <w:t>中信标普全债指数收益率</w:t>
      </w:r>
      <w:r>
        <w:rPr>
          <w:color w:val="000000"/>
          <w:sz w:val="24"/>
          <w:szCs w:val="24"/>
        </w:rPr>
        <w:t>”</w:t>
      </w:r>
      <w:r>
        <w:rPr>
          <w:rFonts w:hint="eastAsia"/>
          <w:color w:val="000000"/>
          <w:sz w:val="24"/>
          <w:szCs w:val="24"/>
        </w:rPr>
        <w:t>变更为</w:t>
      </w:r>
      <w:r>
        <w:rPr>
          <w:color w:val="000000"/>
          <w:sz w:val="24"/>
          <w:szCs w:val="24"/>
        </w:rPr>
        <w:t>“75%×</w:t>
      </w:r>
      <w:r>
        <w:rPr>
          <w:rFonts w:hint="eastAsia"/>
          <w:color w:val="000000"/>
          <w:sz w:val="24"/>
          <w:szCs w:val="24"/>
        </w:rPr>
        <w:t>沪深</w:t>
      </w:r>
      <w:r>
        <w:rPr>
          <w:color w:val="000000"/>
          <w:sz w:val="24"/>
          <w:szCs w:val="24"/>
        </w:rPr>
        <w:t>300</w:t>
      </w:r>
      <w:r>
        <w:rPr>
          <w:rFonts w:hint="eastAsia"/>
          <w:color w:val="000000"/>
          <w:sz w:val="24"/>
          <w:szCs w:val="24"/>
        </w:rPr>
        <w:t>指数收益率</w:t>
      </w:r>
      <w:r>
        <w:rPr>
          <w:color w:val="000000"/>
          <w:sz w:val="24"/>
          <w:szCs w:val="24"/>
        </w:rPr>
        <w:t>+25%×</w:t>
      </w:r>
      <w:r>
        <w:rPr>
          <w:rFonts w:hint="eastAsia"/>
          <w:color w:val="000000"/>
          <w:sz w:val="24"/>
          <w:szCs w:val="24"/>
        </w:rPr>
        <w:t>中证综合债券指数收益率</w:t>
      </w:r>
      <w:r>
        <w:rPr>
          <w:color w:val="000000"/>
          <w:sz w:val="24"/>
          <w:szCs w:val="24"/>
        </w:rPr>
        <w:t>”</w:t>
      </w:r>
      <w:r>
        <w:rPr>
          <w:rFonts w:hint="eastAsia"/>
          <w:color w:val="000000"/>
          <w:sz w:val="24"/>
          <w:szCs w:val="24"/>
        </w:rPr>
        <w:t>，</w:t>
      </w:r>
      <w:r>
        <w:rPr>
          <w:color w:val="000000"/>
          <w:sz w:val="24"/>
          <w:szCs w:val="24"/>
        </w:rPr>
        <w:t>3.2.2</w:t>
      </w:r>
      <w:r>
        <w:rPr>
          <w:rFonts w:ascii="宋体" w:hAnsi="宋体" w:hint="eastAsia"/>
          <w:color w:val="000000"/>
          <w:sz w:val="24"/>
          <w:szCs w:val="24"/>
        </w:rPr>
        <w:t>同。</w:t>
      </w:r>
      <w:r>
        <w:rPr>
          <w:rFonts w:hint="eastAsia"/>
          <w:color w:val="000000"/>
          <w:sz w:val="24"/>
          <w:szCs w:val="24"/>
        </w:rPr>
        <w:t>详情见本基金管理人于</w:t>
      </w:r>
      <w:r>
        <w:rPr>
          <w:color w:val="000000"/>
          <w:sz w:val="24"/>
          <w:szCs w:val="24"/>
        </w:rPr>
        <w:t>2015</w:t>
      </w:r>
      <w:r>
        <w:rPr>
          <w:rFonts w:hint="eastAsia"/>
          <w:color w:val="000000"/>
          <w:sz w:val="24"/>
          <w:szCs w:val="24"/>
        </w:rPr>
        <w:t>年</w:t>
      </w:r>
      <w:r>
        <w:rPr>
          <w:color w:val="000000"/>
          <w:sz w:val="24"/>
          <w:szCs w:val="24"/>
        </w:rPr>
        <w:t>9</w:t>
      </w:r>
      <w:r>
        <w:rPr>
          <w:rFonts w:hint="eastAsia"/>
          <w:color w:val="000000"/>
          <w:sz w:val="24"/>
          <w:szCs w:val="24"/>
        </w:rPr>
        <w:t>月</w:t>
      </w:r>
      <w:r>
        <w:rPr>
          <w:color w:val="000000"/>
          <w:sz w:val="24"/>
          <w:szCs w:val="24"/>
        </w:rPr>
        <w:t>28</w:t>
      </w:r>
      <w:r>
        <w:rPr>
          <w:rFonts w:hint="eastAsia"/>
          <w:color w:val="000000"/>
          <w:sz w:val="24"/>
          <w:szCs w:val="24"/>
        </w:rPr>
        <w:t>日发布的《交银施罗德基金管理有限公司关于旗下部分基金业绩比较基准变更并修改基金合同相关内容的公告》。</w:t>
      </w:r>
    </w:p>
    <w:p w:rsidR="004061AC" w:rsidRPr="00584FC7"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50517">
        <w:trPr>
          <w:jc w:val="center"/>
        </w:trPr>
        <w:tc>
          <w:tcPr>
            <w:tcW w:w="846" w:type="dxa"/>
            <w:vAlign w:val="center"/>
          </w:tcPr>
          <w:p w:rsidR="00B50517" w:rsidRDefault="00484EAD">
            <w:pPr>
              <w:jc w:val="center"/>
            </w:pPr>
            <w:r>
              <w:rPr>
                <w:color w:val="000000"/>
                <w:sz w:val="24"/>
                <w:szCs w:val="24"/>
              </w:rPr>
              <w:t>何帅</w:t>
            </w:r>
          </w:p>
        </w:tc>
        <w:tc>
          <w:tcPr>
            <w:tcW w:w="845" w:type="dxa"/>
            <w:vAlign w:val="center"/>
          </w:tcPr>
          <w:p w:rsidR="00B50517" w:rsidRDefault="00484EAD">
            <w:pPr>
              <w:jc w:val="center"/>
            </w:pPr>
            <w:r>
              <w:rPr>
                <w:color w:val="000000"/>
                <w:sz w:val="24"/>
                <w:szCs w:val="24"/>
              </w:rPr>
              <w:t>交银优势行业混合、交银阿尔法核心混合的基金经理</w:t>
            </w:r>
          </w:p>
        </w:tc>
        <w:tc>
          <w:tcPr>
            <w:tcW w:w="1549" w:type="dxa"/>
            <w:vAlign w:val="center"/>
          </w:tcPr>
          <w:p w:rsidR="00B50517" w:rsidRDefault="00484EAD">
            <w:pPr>
              <w:jc w:val="center"/>
            </w:pPr>
            <w:r>
              <w:rPr>
                <w:color w:val="000000"/>
                <w:sz w:val="24"/>
                <w:szCs w:val="24"/>
              </w:rPr>
              <w:t>2015-09-16</w:t>
            </w:r>
          </w:p>
        </w:tc>
        <w:tc>
          <w:tcPr>
            <w:tcW w:w="1548" w:type="dxa"/>
            <w:vAlign w:val="center"/>
          </w:tcPr>
          <w:p w:rsidR="00B50517" w:rsidRDefault="00484EAD">
            <w:pPr>
              <w:jc w:val="center"/>
            </w:pPr>
            <w:r>
              <w:rPr>
                <w:color w:val="000000"/>
                <w:sz w:val="24"/>
                <w:szCs w:val="24"/>
              </w:rPr>
              <w:t>-</w:t>
            </w:r>
          </w:p>
        </w:tc>
        <w:tc>
          <w:tcPr>
            <w:tcW w:w="1407" w:type="dxa"/>
            <w:vAlign w:val="center"/>
          </w:tcPr>
          <w:p w:rsidR="00B50517" w:rsidRDefault="00484EAD">
            <w:pPr>
              <w:jc w:val="center"/>
            </w:pPr>
            <w:r>
              <w:rPr>
                <w:color w:val="000000"/>
                <w:sz w:val="24"/>
                <w:szCs w:val="24"/>
              </w:rPr>
              <w:t>6</w:t>
            </w:r>
            <w:r>
              <w:rPr>
                <w:color w:val="000000"/>
                <w:sz w:val="24"/>
                <w:szCs w:val="24"/>
              </w:rPr>
              <w:t>年</w:t>
            </w:r>
          </w:p>
        </w:tc>
        <w:tc>
          <w:tcPr>
            <w:tcW w:w="2673" w:type="dxa"/>
            <w:vAlign w:val="center"/>
          </w:tcPr>
          <w:p w:rsidR="00B50517" w:rsidRDefault="00484EAD">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50517" w:rsidRDefault="00484EA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50517" w:rsidRDefault="00484EA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50517" w:rsidRDefault="00484EA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6A5585" w:rsidRPr="00414345" w:rsidRDefault="006A5585"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50517" w:rsidRDefault="00484EAD">
      <w:pPr>
        <w:spacing w:before="29" w:line="288" w:lineRule="auto"/>
        <w:ind w:firstLineChars="200" w:firstLine="480"/>
        <w:rPr>
          <w:color w:val="000000"/>
          <w:sz w:val="24"/>
          <w:szCs w:val="24"/>
        </w:rPr>
      </w:pPr>
      <w:r>
        <w:rPr>
          <w:color w:val="000000"/>
          <w:sz w:val="24"/>
          <w:szCs w:val="24"/>
        </w:rPr>
        <w:t>2016</w:t>
      </w:r>
      <w:r>
        <w:rPr>
          <w:color w:val="000000"/>
          <w:sz w:val="24"/>
          <w:szCs w:val="24"/>
        </w:rPr>
        <w:t>年初人民币超预期贬值及货币宽松预期的下降，使</w:t>
      </w:r>
      <w:r>
        <w:rPr>
          <w:color w:val="000000"/>
          <w:sz w:val="24"/>
          <w:szCs w:val="24"/>
        </w:rPr>
        <w:t>A</w:t>
      </w:r>
      <w:r>
        <w:rPr>
          <w:color w:val="000000"/>
          <w:sz w:val="24"/>
          <w:szCs w:val="24"/>
        </w:rPr>
        <w:t>股市场在</w:t>
      </w:r>
      <w:r>
        <w:rPr>
          <w:color w:val="000000"/>
          <w:sz w:val="24"/>
          <w:szCs w:val="24"/>
        </w:rPr>
        <w:t>1</w:t>
      </w:r>
      <w:r>
        <w:rPr>
          <w:color w:val="000000"/>
          <w:sz w:val="24"/>
          <w:szCs w:val="24"/>
        </w:rPr>
        <w:t>月份出现快速下跌。春节过后，伴随着银行信贷超预期和美联储加息预期延后，市场风险偏好有所回升。就整个一季度而言，市场仍旧跌幅较大，超出</w:t>
      </w:r>
      <w:r>
        <w:rPr>
          <w:color w:val="000000"/>
          <w:sz w:val="24"/>
          <w:szCs w:val="24"/>
        </w:rPr>
        <w:t>2015</w:t>
      </w:r>
      <w:r>
        <w:rPr>
          <w:color w:val="000000"/>
          <w:sz w:val="24"/>
          <w:szCs w:val="24"/>
        </w:rPr>
        <w:t>年年底的预期。以高估值、中小市值为主的创业板跌幅大于上证指数的跌幅，而板块中农、林、牧、渔、采掘等通胀主题相关行业有较好表现。而</w:t>
      </w:r>
      <w:r>
        <w:rPr>
          <w:color w:val="000000"/>
          <w:sz w:val="24"/>
          <w:szCs w:val="24"/>
        </w:rPr>
        <w:t>2015</w:t>
      </w:r>
      <w:r>
        <w:rPr>
          <w:color w:val="000000"/>
          <w:sz w:val="24"/>
          <w:szCs w:val="24"/>
        </w:rPr>
        <w:t>年年底预期较高的计算机、传媒等新兴成长行业跌幅居前。</w:t>
      </w:r>
    </w:p>
    <w:p w:rsidR="00B50517" w:rsidRDefault="00484EAD">
      <w:pPr>
        <w:spacing w:before="29" w:line="288" w:lineRule="auto"/>
        <w:ind w:firstLineChars="200" w:firstLine="480"/>
        <w:rPr>
          <w:color w:val="000000"/>
          <w:sz w:val="24"/>
          <w:szCs w:val="24"/>
        </w:rPr>
      </w:pPr>
      <w:r>
        <w:rPr>
          <w:color w:val="000000"/>
          <w:sz w:val="24"/>
          <w:szCs w:val="24"/>
        </w:rPr>
        <w:t>本基金</w:t>
      </w:r>
      <w:r>
        <w:rPr>
          <w:color w:val="000000"/>
          <w:sz w:val="24"/>
          <w:szCs w:val="24"/>
        </w:rPr>
        <w:t>201</w:t>
      </w:r>
      <w:r w:rsidR="00145ADF">
        <w:rPr>
          <w:color w:val="000000"/>
          <w:sz w:val="24"/>
          <w:szCs w:val="24"/>
        </w:rPr>
        <w:t>6</w:t>
      </w:r>
      <w:r>
        <w:rPr>
          <w:color w:val="000000"/>
          <w:sz w:val="24"/>
          <w:szCs w:val="24"/>
        </w:rPr>
        <w:t>年年初持有成长股较多，但一季度成长股整体估值下降较为明显，使得跌幅趋同于行业平均，未有明显超额收益。从组合变化上，一季度主要减持了估值较高、业绩兑现周期较长的成长股，部分增持了今年行业景气度向上的行业，如农业，并继续挖掘具备长期增长潜力的行业及相关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展望二季度，在基建投入加大的刺激下经济可能短期企稳，本基金会适当关注金融业及周期性行业预期改善的机会。从风险偏好来看，二季度美联储加息可能继续推迟，而前期</w:t>
      </w:r>
      <w:r w:rsidRPr="00414345">
        <w:rPr>
          <w:color w:val="000000"/>
          <w:sz w:val="24"/>
          <w:szCs w:val="24"/>
        </w:rPr>
        <w:t>CPI</w:t>
      </w:r>
      <w:r w:rsidRPr="00414345">
        <w:rPr>
          <w:color w:val="000000"/>
          <w:sz w:val="24"/>
          <w:szCs w:val="24"/>
        </w:rPr>
        <w:t>压力由于蔬菜价格开始回落也可能企稳，风险偏好可能暂时处于稳定状态，市场整体风险可能小于一季度。但中长期国内经济仍只有依靠改革转型，挖掘优秀成长性行业及公司是本基金主要的投资方法，以合理的价格买入做中期布局，努力为基金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84EAD" w:rsidP="00C15CAC">
      <w:pPr>
        <w:spacing w:before="29" w:line="288" w:lineRule="auto"/>
        <w:ind w:firstLineChars="200" w:firstLine="480"/>
        <w:rPr>
          <w:color w:val="000000"/>
          <w:sz w:val="24"/>
          <w:szCs w:val="24"/>
        </w:rPr>
      </w:pPr>
      <w:r w:rsidRPr="00484EAD">
        <w:rPr>
          <w:rFonts w:hint="eastAsia"/>
          <w:color w:val="000000"/>
          <w:sz w:val="24"/>
          <w:szCs w:val="24"/>
        </w:rPr>
        <w:t>截至</w:t>
      </w:r>
      <w:r w:rsidRPr="00484EAD">
        <w:rPr>
          <w:rFonts w:hint="eastAsia"/>
          <w:color w:val="000000"/>
          <w:sz w:val="24"/>
          <w:szCs w:val="24"/>
        </w:rPr>
        <w:t>2016</w:t>
      </w:r>
      <w:r w:rsidRPr="00484EAD">
        <w:rPr>
          <w:rFonts w:hint="eastAsia"/>
          <w:color w:val="000000"/>
          <w:sz w:val="24"/>
          <w:szCs w:val="24"/>
        </w:rPr>
        <w:t>年</w:t>
      </w:r>
      <w:r w:rsidRPr="00484EAD">
        <w:rPr>
          <w:rFonts w:hint="eastAsia"/>
          <w:color w:val="000000"/>
          <w:sz w:val="24"/>
          <w:szCs w:val="24"/>
        </w:rPr>
        <w:t>3</w:t>
      </w:r>
      <w:r w:rsidRPr="00484EAD">
        <w:rPr>
          <w:rFonts w:hint="eastAsia"/>
          <w:color w:val="000000"/>
          <w:sz w:val="24"/>
          <w:szCs w:val="24"/>
        </w:rPr>
        <w:t>月</w:t>
      </w:r>
      <w:r w:rsidRPr="00484EAD">
        <w:rPr>
          <w:rFonts w:hint="eastAsia"/>
          <w:color w:val="000000"/>
          <w:sz w:val="24"/>
          <w:szCs w:val="24"/>
        </w:rPr>
        <w:t>31</w:t>
      </w:r>
      <w:r w:rsidRPr="00484EAD">
        <w:rPr>
          <w:rFonts w:hint="eastAsia"/>
          <w:color w:val="000000"/>
          <w:sz w:val="24"/>
          <w:szCs w:val="24"/>
        </w:rPr>
        <w:t>日，本基金份额净值为</w:t>
      </w:r>
      <w:r w:rsidRPr="00484EAD">
        <w:rPr>
          <w:rFonts w:hint="eastAsia"/>
          <w:color w:val="000000"/>
          <w:sz w:val="24"/>
          <w:szCs w:val="24"/>
        </w:rPr>
        <w:t>1.921</w:t>
      </w:r>
      <w:r w:rsidRPr="00484EAD">
        <w:rPr>
          <w:rFonts w:hint="eastAsia"/>
          <w:color w:val="000000"/>
          <w:sz w:val="24"/>
          <w:szCs w:val="24"/>
        </w:rPr>
        <w:t>元，本报告期份额净值增长率为</w:t>
      </w:r>
      <w:r w:rsidRPr="00484EAD">
        <w:rPr>
          <w:rFonts w:hint="eastAsia"/>
          <w:color w:val="000000"/>
          <w:sz w:val="24"/>
          <w:szCs w:val="24"/>
        </w:rPr>
        <w:t>-14.58%</w:t>
      </w:r>
      <w:r w:rsidRPr="00484EAD">
        <w:rPr>
          <w:rFonts w:hint="eastAsia"/>
          <w:color w:val="000000"/>
          <w:sz w:val="24"/>
          <w:szCs w:val="24"/>
        </w:rPr>
        <w:t>，同期业绩比较基准增长率为</w:t>
      </w:r>
      <w:r w:rsidRPr="00484EAD">
        <w:rPr>
          <w:rFonts w:hint="eastAsia"/>
          <w:color w:val="000000"/>
          <w:sz w:val="24"/>
          <w:szCs w:val="24"/>
        </w:rPr>
        <w:t>-9.94%</w:t>
      </w:r>
      <w:r w:rsidRPr="00484EAD">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81,951,397.30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81,951,397.30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93,700.40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93,700.40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18,398,398.49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17.85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2,619,747.10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103,063,243.29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184,000.00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42,978,893.24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517,164.00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294,505.00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1,345,200.00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2,602,334.00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7,357,724.56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8,294,970.00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536,038.00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3,305,863.26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9,997,281.72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4,537,423.52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81,951,397.30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80.50</w:t>
            </w:r>
          </w:p>
        </w:tc>
      </w:tr>
    </w:tbl>
    <w:p w:rsidR="00253F18" w:rsidRDefault="00253F1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50517">
        <w:trPr>
          <w:jc w:val="center"/>
        </w:trPr>
        <w:tc>
          <w:tcPr>
            <w:tcW w:w="855" w:type="dxa"/>
            <w:vAlign w:val="center"/>
          </w:tcPr>
          <w:p w:rsidR="00B50517" w:rsidRDefault="00484EAD">
            <w:pPr>
              <w:jc w:val="center"/>
            </w:pPr>
            <w:r>
              <w:rPr>
                <w:color w:val="000000"/>
                <w:sz w:val="24"/>
                <w:szCs w:val="24"/>
              </w:rPr>
              <w:t>1</w:t>
            </w:r>
          </w:p>
        </w:tc>
        <w:tc>
          <w:tcPr>
            <w:tcW w:w="1334" w:type="dxa"/>
            <w:vAlign w:val="center"/>
          </w:tcPr>
          <w:p w:rsidR="00B50517" w:rsidRDefault="00484EAD">
            <w:pPr>
              <w:jc w:val="center"/>
            </w:pPr>
            <w:r>
              <w:rPr>
                <w:color w:val="000000"/>
                <w:sz w:val="24"/>
                <w:szCs w:val="24"/>
              </w:rPr>
              <w:t>600054</w:t>
            </w:r>
          </w:p>
        </w:tc>
        <w:tc>
          <w:tcPr>
            <w:tcW w:w="1777" w:type="dxa"/>
            <w:vAlign w:val="center"/>
          </w:tcPr>
          <w:p w:rsidR="00B50517" w:rsidRDefault="00484EAD">
            <w:pPr>
              <w:jc w:val="center"/>
            </w:pPr>
            <w:r>
              <w:rPr>
                <w:color w:val="000000"/>
                <w:sz w:val="24"/>
                <w:szCs w:val="24"/>
              </w:rPr>
              <w:t>黄山旅游</w:t>
            </w:r>
          </w:p>
        </w:tc>
        <w:tc>
          <w:tcPr>
            <w:tcW w:w="1334" w:type="dxa"/>
            <w:vAlign w:val="center"/>
          </w:tcPr>
          <w:p w:rsidR="00B50517" w:rsidRDefault="00484EAD">
            <w:pPr>
              <w:jc w:val="right"/>
            </w:pPr>
            <w:r>
              <w:rPr>
                <w:color w:val="000000"/>
                <w:sz w:val="24"/>
                <w:szCs w:val="24"/>
              </w:rPr>
              <w:t>414,481</w:t>
            </w:r>
          </w:p>
        </w:tc>
        <w:tc>
          <w:tcPr>
            <w:tcW w:w="1924" w:type="dxa"/>
            <w:vAlign w:val="center"/>
          </w:tcPr>
          <w:p w:rsidR="00B50517" w:rsidRDefault="00484EAD">
            <w:pPr>
              <w:jc w:val="right"/>
            </w:pPr>
            <w:r>
              <w:rPr>
                <w:color w:val="000000"/>
                <w:sz w:val="24"/>
                <w:szCs w:val="24"/>
              </w:rPr>
              <w:t>9,997,281.72</w:t>
            </w:r>
          </w:p>
        </w:tc>
        <w:tc>
          <w:tcPr>
            <w:tcW w:w="1644" w:type="dxa"/>
            <w:vAlign w:val="center"/>
          </w:tcPr>
          <w:p w:rsidR="00B50517" w:rsidRDefault="00484EAD">
            <w:pPr>
              <w:jc w:val="right"/>
            </w:pPr>
            <w:r>
              <w:rPr>
                <w:color w:val="000000"/>
                <w:sz w:val="24"/>
                <w:szCs w:val="24"/>
              </w:rPr>
              <w:t>9.82</w:t>
            </w:r>
          </w:p>
        </w:tc>
      </w:tr>
      <w:tr w:rsidR="00B50517">
        <w:trPr>
          <w:jc w:val="center"/>
        </w:trPr>
        <w:tc>
          <w:tcPr>
            <w:tcW w:w="855" w:type="dxa"/>
            <w:vAlign w:val="center"/>
          </w:tcPr>
          <w:p w:rsidR="00B50517" w:rsidRDefault="00484EAD">
            <w:pPr>
              <w:jc w:val="center"/>
            </w:pPr>
            <w:r>
              <w:rPr>
                <w:color w:val="000000"/>
                <w:sz w:val="24"/>
                <w:szCs w:val="24"/>
              </w:rPr>
              <w:t>2</w:t>
            </w:r>
          </w:p>
        </w:tc>
        <w:tc>
          <w:tcPr>
            <w:tcW w:w="1334" w:type="dxa"/>
            <w:vAlign w:val="center"/>
          </w:tcPr>
          <w:p w:rsidR="00B50517" w:rsidRDefault="00484EAD">
            <w:pPr>
              <w:jc w:val="center"/>
            </w:pPr>
            <w:r>
              <w:rPr>
                <w:color w:val="000000"/>
                <w:sz w:val="24"/>
                <w:szCs w:val="24"/>
              </w:rPr>
              <w:t>300161</w:t>
            </w:r>
          </w:p>
        </w:tc>
        <w:tc>
          <w:tcPr>
            <w:tcW w:w="1777" w:type="dxa"/>
            <w:vAlign w:val="center"/>
          </w:tcPr>
          <w:p w:rsidR="00B50517" w:rsidRDefault="00484EAD">
            <w:pPr>
              <w:jc w:val="center"/>
            </w:pPr>
            <w:r>
              <w:rPr>
                <w:color w:val="000000"/>
                <w:sz w:val="24"/>
                <w:szCs w:val="24"/>
              </w:rPr>
              <w:t>华中数控</w:t>
            </w:r>
          </w:p>
        </w:tc>
        <w:tc>
          <w:tcPr>
            <w:tcW w:w="1334" w:type="dxa"/>
            <w:vAlign w:val="center"/>
          </w:tcPr>
          <w:p w:rsidR="00B50517" w:rsidRDefault="00484EAD">
            <w:pPr>
              <w:jc w:val="right"/>
            </w:pPr>
            <w:r>
              <w:rPr>
                <w:color w:val="000000"/>
                <w:sz w:val="24"/>
                <w:szCs w:val="24"/>
              </w:rPr>
              <w:t>241,394</w:t>
            </w:r>
          </w:p>
        </w:tc>
        <w:tc>
          <w:tcPr>
            <w:tcW w:w="1924" w:type="dxa"/>
            <w:vAlign w:val="center"/>
          </w:tcPr>
          <w:p w:rsidR="00B50517" w:rsidRDefault="00484EAD">
            <w:pPr>
              <w:jc w:val="right"/>
            </w:pPr>
            <w:r>
              <w:rPr>
                <w:color w:val="000000"/>
                <w:sz w:val="24"/>
                <w:szCs w:val="24"/>
              </w:rPr>
              <w:t>5,552,062.00</w:t>
            </w:r>
          </w:p>
        </w:tc>
        <w:tc>
          <w:tcPr>
            <w:tcW w:w="1644" w:type="dxa"/>
            <w:vAlign w:val="center"/>
          </w:tcPr>
          <w:p w:rsidR="00B50517" w:rsidRDefault="00484EAD">
            <w:pPr>
              <w:jc w:val="right"/>
            </w:pPr>
            <w:r>
              <w:rPr>
                <w:color w:val="000000"/>
                <w:sz w:val="24"/>
                <w:szCs w:val="24"/>
              </w:rPr>
              <w:t>5.45</w:t>
            </w:r>
          </w:p>
        </w:tc>
      </w:tr>
      <w:tr w:rsidR="00B50517">
        <w:trPr>
          <w:jc w:val="center"/>
        </w:trPr>
        <w:tc>
          <w:tcPr>
            <w:tcW w:w="855" w:type="dxa"/>
            <w:vAlign w:val="center"/>
          </w:tcPr>
          <w:p w:rsidR="00B50517" w:rsidRDefault="00484EAD">
            <w:pPr>
              <w:jc w:val="center"/>
            </w:pPr>
            <w:r>
              <w:rPr>
                <w:color w:val="000000"/>
                <w:sz w:val="24"/>
                <w:szCs w:val="24"/>
              </w:rPr>
              <w:t>3</w:t>
            </w:r>
          </w:p>
        </w:tc>
        <w:tc>
          <w:tcPr>
            <w:tcW w:w="1334" w:type="dxa"/>
            <w:vAlign w:val="center"/>
          </w:tcPr>
          <w:p w:rsidR="00B50517" w:rsidRDefault="00484EAD">
            <w:pPr>
              <w:jc w:val="center"/>
            </w:pPr>
            <w:r>
              <w:rPr>
                <w:color w:val="000000"/>
                <w:sz w:val="24"/>
                <w:szCs w:val="24"/>
              </w:rPr>
              <w:t>002131</w:t>
            </w:r>
          </w:p>
        </w:tc>
        <w:tc>
          <w:tcPr>
            <w:tcW w:w="1777" w:type="dxa"/>
            <w:vAlign w:val="center"/>
          </w:tcPr>
          <w:p w:rsidR="00B50517" w:rsidRDefault="00484EAD">
            <w:pPr>
              <w:jc w:val="center"/>
            </w:pPr>
            <w:r>
              <w:rPr>
                <w:color w:val="000000"/>
                <w:sz w:val="24"/>
                <w:szCs w:val="24"/>
              </w:rPr>
              <w:t>利欧股份</w:t>
            </w:r>
          </w:p>
        </w:tc>
        <w:tc>
          <w:tcPr>
            <w:tcW w:w="1334" w:type="dxa"/>
            <w:vAlign w:val="center"/>
          </w:tcPr>
          <w:p w:rsidR="00B50517" w:rsidRDefault="00484EAD">
            <w:pPr>
              <w:jc w:val="right"/>
            </w:pPr>
            <w:r>
              <w:rPr>
                <w:color w:val="000000"/>
                <w:sz w:val="24"/>
                <w:szCs w:val="24"/>
              </w:rPr>
              <w:t>305,014</w:t>
            </w:r>
          </w:p>
        </w:tc>
        <w:tc>
          <w:tcPr>
            <w:tcW w:w="1924" w:type="dxa"/>
            <w:vAlign w:val="center"/>
          </w:tcPr>
          <w:p w:rsidR="00B50517" w:rsidRDefault="00484EAD">
            <w:pPr>
              <w:jc w:val="right"/>
            </w:pPr>
            <w:r>
              <w:rPr>
                <w:color w:val="000000"/>
                <w:sz w:val="24"/>
                <w:szCs w:val="24"/>
              </w:rPr>
              <w:t>5,121,185.06</w:t>
            </w:r>
          </w:p>
        </w:tc>
        <w:tc>
          <w:tcPr>
            <w:tcW w:w="1644" w:type="dxa"/>
            <w:vAlign w:val="center"/>
          </w:tcPr>
          <w:p w:rsidR="00B50517" w:rsidRDefault="00484EAD">
            <w:pPr>
              <w:jc w:val="right"/>
            </w:pPr>
            <w:r>
              <w:rPr>
                <w:color w:val="000000"/>
                <w:sz w:val="24"/>
                <w:szCs w:val="24"/>
              </w:rPr>
              <w:t>5.03</w:t>
            </w:r>
          </w:p>
        </w:tc>
      </w:tr>
      <w:tr w:rsidR="00B50517">
        <w:trPr>
          <w:jc w:val="center"/>
        </w:trPr>
        <w:tc>
          <w:tcPr>
            <w:tcW w:w="855" w:type="dxa"/>
            <w:vAlign w:val="center"/>
          </w:tcPr>
          <w:p w:rsidR="00B50517" w:rsidRDefault="00484EAD">
            <w:pPr>
              <w:jc w:val="center"/>
            </w:pPr>
            <w:r>
              <w:rPr>
                <w:color w:val="000000"/>
                <w:sz w:val="24"/>
                <w:szCs w:val="24"/>
              </w:rPr>
              <w:t>4</w:t>
            </w:r>
          </w:p>
        </w:tc>
        <w:tc>
          <w:tcPr>
            <w:tcW w:w="1334" w:type="dxa"/>
            <w:vAlign w:val="center"/>
          </w:tcPr>
          <w:p w:rsidR="00B50517" w:rsidRDefault="00484EAD">
            <w:pPr>
              <w:jc w:val="center"/>
            </w:pPr>
            <w:r>
              <w:rPr>
                <w:color w:val="000000"/>
                <w:sz w:val="24"/>
                <w:szCs w:val="24"/>
              </w:rPr>
              <w:t>002045</w:t>
            </w:r>
          </w:p>
        </w:tc>
        <w:tc>
          <w:tcPr>
            <w:tcW w:w="1777" w:type="dxa"/>
            <w:vAlign w:val="center"/>
          </w:tcPr>
          <w:p w:rsidR="00B50517" w:rsidRDefault="00484EAD">
            <w:pPr>
              <w:jc w:val="center"/>
            </w:pPr>
            <w:r>
              <w:rPr>
                <w:color w:val="000000"/>
                <w:sz w:val="24"/>
                <w:szCs w:val="24"/>
              </w:rPr>
              <w:t>国光电器</w:t>
            </w:r>
          </w:p>
        </w:tc>
        <w:tc>
          <w:tcPr>
            <w:tcW w:w="1334" w:type="dxa"/>
            <w:vAlign w:val="center"/>
          </w:tcPr>
          <w:p w:rsidR="00B50517" w:rsidRDefault="00484EAD">
            <w:pPr>
              <w:jc w:val="right"/>
            </w:pPr>
            <w:r>
              <w:rPr>
                <w:color w:val="000000"/>
                <w:sz w:val="24"/>
                <w:szCs w:val="24"/>
              </w:rPr>
              <w:t>344,650</w:t>
            </w:r>
          </w:p>
        </w:tc>
        <w:tc>
          <w:tcPr>
            <w:tcW w:w="1924" w:type="dxa"/>
            <w:vAlign w:val="center"/>
          </w:tcPr>
          <w:p w:rsidR="00B50517" w:rsidRDefault="00484EAD">
            <w:pPr>
              <w:jc w:val="right"/>
            </w:pPr>
            <w:r>
              <w:rPr>
                <w:color w:val="000000"/>
                <w:sz w:val="24"/>
                <w:szCs w:val="24"/>
              </w:rPr>
              <w:t>4,594,184.50</w:t>
            </w:r>
          </w:p>
        </w:tc>
        <w:tc>
          <w:tcPr>
            <w:tcW w:w="1644" w:type="dxa"/>
            <w:vAlign w:val="center"/>
          </w:tcPr>
          <w:p w:rsidR="00B50517" w:rsidRDefault="00484EAD">
            <w:pPr>
              <w:jc w:val="right"/>
            </w:pPr>
            <w:r>
              <w:rPr>
                <w:color w:val="000000"/>
                <w:sz w:val="24"/>
                <w:szCs w:val="24"/>
              </w:rPr>
              <w:t>4.51</w:t>
            </w:r>
          </w:p>
        </w:tc>
      </w:tr>
      <w:tr w:rsidR="00B50517">
        <w:trPr>
          <w:jc w:val="center"/>
        </w:trPr>
        <w:tc>
          <w:tcPr>
            <w:tcW w:w="855" w:type="dxa"/>
            <w:vAlign w:val="center"/>
          </w:tcPr>
          <w:p w:rsidR="00B50517" w:rsidRDefault="00484EAD">
            <w:pPr>
              <w:jc w:val="center"/>
            </w:pPr>
            <w:r>
              <w:rPr>
                <w:color w:val="000000"/>
                <w:sz w:val="24"/>
                <w:szCs w:val="24"/>
              </w:rPr>
              <w:t>5</w:t>
            </w:r>
          </w:p>
        </w:tc>
        <w:tc>
          <w:tcPr>
            <w:tcW w:w="1334" w:type="dxa"/>
            <w:vAlign w:val="center"/>
          </w:tcPr>
          <w:p w:rsidR="00B50517" w:rsidRDefault="00484EAD">
            <w:pPr>
              <w:jc w:val="center"/>
            </w:pPr>
            <w:r>
              <w:rPr>
                <w:color w:val="000000"/>
                <w:sz w:val="24"/>
                <w:szCs w:val="24"/>
              </w:rPr>
              <w:t>300347</w:t>
            </w:r>
          </w:p>
        </w:tc>
        <w:tc>
          <w:tcPr>
            <w:tcW w:w="1777" w:type="dxa"/>
            <w:vAlign w:val="center"/>
          </w:tcPr>
          <w:p w:rsidR="00B50517" w:rsidRDefault="00484EAD">
            <w:pPr>
              <w:jc w:val="center"/>
            </w:pPr>
            <w:r>
              <w:rPr>
                <w:color w:val="000000"/>
                <w:sz w:val="24"/>
                <w:szCs w:val="24"/>
              </w:rPr>
              <w:t>泰格医药</w:t>
            </w:r>
          </w:p>
        </w:tc>
        <w:tc>
          <w:tcPr>
            <w:tcW w:w="1334" w:type="dxa"/>
            <w:vAlign w:val="center"/>
          </w:tcPr>
          <w:p w:rsidR="00B50517" w:rsidRDefault="00484EAD">
            <w:pPr>
              <w:jc w:val="right"/>
            </w:pPr>
            <w:r>
              <w:rPr>
                <w:color w:val="000000"/>
                <w:sz w:val="24"/>
                <w:szCs w:val="24"/>
              </w:rPr>
              <w:t>165,358</w:t>
            </w:r>
          </w:p>
        </w:tc>
        <w:tc>
          <w:tcPr>
            <w:tcW w:w="1924" w:type="dxa"/>
            <w:vAlign w:val="center"/>
          </w:tcPr>
          <w:p w:rsidR="00B50517" w:rsidRDefault="00484EAD">
            <w:pPr>
              <w:jc w:val="right"/>
            </w:pPr>
            <w:r>
              <w:rPr>
                <w:color w:val="000000"/>
                <w:sz w:val="24"/>
                <w:szCs w:val="24"/>
              </w:rPr>
              <w:t>4,537,423.52</w:t>
            </w:r>
          </w:p>
        </w:tc>
        <w:tc>
          <w:tcPr>
            <w:tcW w:w="1644" w:type="dxa"/>
            <w:vAlign w:val="center"/>
          </w:tcPr>
          <w:p w:rsidR="00B50517" w:rsidRDefault="00484EAD">
            <w:pPr>
              <w:jc w:val="right"/>
            </w:pPr>
            <w:r>
              <w:rPr>
                <w:color w:val="000000"/>
                <w:sz w:val="24"/>
                <w:szCs w:val="24"/>
              </w:rPr>
              <w:t>4.46</w:t>
            </w:r>
          </w:p>
        </w:tc>
      </w:tr>
      <w:tr w:rsidR="00B50517">
        <w:trPr>
          <w:jc w:val="center"/>
        </w:trPr>
        <w:tc>
          <w:tcPr>
            <w:tcW w:w="855" w:type="dxa"/>
            <w:vAlign w:val="center"/>
          </w:tcPr>
          <w:p w:rsidR="00B50517" w:rsidRDefault="00484EAD">
            <w:pPr>
              <w:jc w:val="center"/>
            </w:pPr>
            <w:r>
              <w:rPr>
                <w:color w:val="000000"/>
                <w:sz w:val="24"/>
                <w:szCs w:val="24"/>
              </w:rPr>
              <w:t>6</w:t>
            </w:r>
          </w:p>
        </w:tc>
        <w:tc>
          <w:tcPr>
            <w:tcW w:w="1334" w:type="dxa"/>
            <w:vAlign w:val="center"/>
          </w:tcPr>
          <w:p w:rsidR="00B50517" w:rsidRDefault="00484EAD">
            <w:pPr>
              <w:jc w:val="center"/>
            </w:pPr>
            <w:r>
              <w:rPr>
                <w:color w:val="000000"/>
                <w:sz w:val="24"/>
                <w:szCs w:val="24"/>
              </w:rPr>
              <w:t>002311</w:t>
            </w:r>
          </w:p>
        </w:tc>
        <w:tc>
          <w:tcPr>
            <w:tcW w:w="1777" w:type="dxa"/>
            <w:vAlign w:val="center"/>
          </w:tcPr>
          <w:p w:rsidR="00B50517" w:rsidRDefault="00484EAD">
            <w:pPr>
              <w:jc w:val="center"/>
            </w:pPr>
            <w:r>
              <w:rPr>
                <w:color w:val="000000"/>
                <w:sz w:val="24"/>
                <w:szCs w:val="24"/>
              </w:rPr>
              <w:t>海大集团</w:t>
            </w:r>
          </w:p>
        </w:tc>
        <w:tc>
          <w:tcPr>
            <w:tcW w:w="1334" w:type="dxa"/>
            <w:vAlign w:val="center"/>
          </w:tcPr>
          <w:p w:rsidR="00B50517" w:rsidRDefault="00484EAD">
            <w:pPr>
              <w:jc w:val="right"/>
            </w:pPr>
            <w:r>
              <w:rPr>
                <w:color w:val="000000"/>
                <w:sz w:val="24"/>
                <w:szCs w:val="24"/>
              </w:rPr>
              <w:t>236,900</w:t>
            </w:r>
          </w:p>
        </w:tc>
        <w:tc>
          <w:tcPr>
            <w:tcW w:w="1924" w:type="dxa"/>
            <w:vAlign w:val="center"/>
          </w:tcPr>
          <w:p w:rsidR="00B50517" w:rsidRDefault="00484EAD">
            <w:pPr>
              <w:jc w:val="right"/>
            </w:pPr>
            <w:r>
              <w:rPr>
                <w:color w:val="000000"/>
                <w:sz w:val="24"/>
                <w:szCs w:val="24"/>
              </w:rPr>
              <w:t>3,851,994.00</w:t>
            </w:r>
          </w:p>
        </w:tc>
        <w:tc>
          <w:tcPr>
            <w:tcW w:w="1644" w:type="dxa"/>
            <w:vAlign w:val="center"/>
          </w:tcPr>
          <w:p w:rsidR="00B50517" w:rsidRDefault="00484EAD">
            <w:pPr>
              <w:jc w:val="right"/>
            </w:pPr>
            <w:r>
              <w:rPr>
                <w:color w:val="000000"/>
                <w:sz w:val="24"/>
                <w:szCs w:val="24"/>
              </w:rPr>
              <w:t>3.78</w:t>
            </w:r>
          </w:p>
        </w:tc>
      </w:tr>
      <w:tr w:rsidR="00B50517">
        <w:trPr>
          <w:jc w:val="center"/>
        </w:trPr>
        <w:tc>
          <w:tcPr>
            <w:tcW w:w="855" w:type="dxa"/>
            <w:vAlign w:val="center"/>
          </w:tcPr>
          <w:p w:rsidR="00B50517" w:rsidRDefault="00484EAD">
            <w:pPr>
              <w:jc w:val="center"/>
            </w:pPr>
            <w:r>
              <w:rPr>
                <w:color w:val="000000"/>
                <w:sz w:val="24"/>
                <w:szCs w:val="24"/>
              </w:rPr>
              <w:t>7</w:t>
            </w:r>
          </w:p>
        </w:tc>
        <w:tc>
          <w:tcPr>
            <w:tcW w:w="1334" w:type="dxa"/>
            <w:vAlign w:val="center"/>
          </w:tcPr>
          <w:p w:rsidR="00B50517" w:rsidRDefault="00484EAD">
            <w:pPr>
              <w:jc w:val="center"/>
            </w:pPr>
            <w:r>
              <w:rPr>
                <w:color w:val="000000"/>
                <w:sz w:val="24"/>
                <w:szCs w:val="24"/>
              </w:rPr>
              <w:t>002548</w:t>
            </w:r>
          </w:p>
        </w:tc>
        <w:tc>
          <w:tcPr>
            <w:tcW w:w="1777" w:type="dxa"/>
            <w:vAlign w:val="center"/>
          </w:tcPr>
          <w:p w:rsidR="00B50517" w:rsidRDefault="00484EAD">
            <w:pPr>
              <w:jc w:val="center"/>
            </w:pPr>
            <w:r>
              <w:rPr>
                <w:color w:val="000000"/>
                <w:sz w:val="24"/>
                <w:szCs w:val="24"/>
              </w:rPr>
              <w:t>金新农</w:t>
            </w:r>
          </w:p>
        </w:tc>
        <w:tc>
          <w:tcPr>
            <w:tcW w:w="1334" w:type="dxa"/>
            <w:vAlign w:val="center"/>
          </w:tcPr>
          <w:p w:rsidR="00B50517" w:rsidRDefault="00484EAD">
            <w:pPr>
              <w:jc w:val="right"/>
            </w:pPr>
            <w:r>
              <w:rPr>
                <w:color w:val="000000"/>
                <w:sz w:val="24"/>
                <w:szCs w:val="24"/>
              </w:rPr>
              <w:t>188,100</w:t>
            </w:r>
          </w:p>
        </w:tc>
        <w:tc>
          <w:tcPr>
            <w:tcW w:w="1924" w:type="dxa"/>
            <w:vAlign w:val="center"/>
          </w:tcPr>
          <w:p w:rsidR="00B50517" w:rsidRDefault="00484EAD">
            <w:pPr>
              <w:jc w:val="right"/>
            </w:pPr>
            <w:r>
              <w:rPr>
                <w:color w:val="000000"/>
                <w:sz w:val="24"/>
                <w:szCs w:val="24"/>
              </w:rPr>
              <w:t>3,133,746.00</w:t>
            </w:r>
          </w:p>
        </w:tc>
        <w:tc>
          <w:tcPr>
            <w:tcW w:w="1644" w:type="dxa"/>
            <w:vAlign w:val="center"/>
          </w:tcPr>
          <w:p w:rsidR="00B50517" w:rsidRDefault="00484EAD">
            <w:pPr>
              <w:jc w:val="right"/>
            </w:pPr>
            <w:r>
              <w:rPr>
                <w:color w:val="000000"/>
                <w:sz w:val="24"/>
                <w:szCs w:val="24"/>
              </w:rPr>
              <w:t>3.08</w:t>
            </w:r>
          </w:p>
        </w:tc>
      </w:tr>
      <w:tr w:rsidR="00B50517">
        <w:trPr>
          <w:jc w:val="center"/>
        </w:trPr>
        <w:tc>
          <w:tcPr>
            <w:tcW w:w="855" w:type="dxa"/>
            <w:vAlign w:val="center"/>
          </w:tcPr>
          <w:p w:rsidR="00B50517" w:rsidRDefault="00484EAD">
            <w:pPr>
              <w:jc w:val="center"/>
            </w:pPr>
            <w:r>
              <w:rPr>
                <w:color w:val="000000"/>
                <w:sz w:val="24"/>
                <w:szCs w:val="24"/>
              </w:rPr>
              <w:t>8</w:t>
            </w:r>
          </w:p>
        </w:tc>
        <w:tc>
          <w:tcPr>
            <w:tcW w:w="1334" w:type="dxa"/>
            <w:vAlign w:val="center"/>
          </w:tcPr>
          <w:p w:rsidR="00B50517" w:rsidRDefault="00484EAD">
            <w:pPr>
              <w:jc w:val="center"/>
            </w:pPr>
            <w:r>
              <w:rPr>
                <w:color w:val="000000"/>
                <w:sz w:val="24"/>
                <w:szCs w:val="24"/>
              </w:rPr>
              <w:t>000061</w:t>
            </w:r>
          </w:p>
        </w:tc>
        <w:tc>
          <w:tcPr>
            <w:tcW w:w="1777" w:type="dxa"/>
            <w:vAlign w:val="center"/>
          </w:tcPr>
          <w:p w:rsidR="00B50517" w:rsidRDefault="00484EAD">
            <w:pPr>
              <w:jc w:val="center"/>
            </w:pPr>
            <w:r>
              <w:rPr>
                <w:color w:val="000000"/>
                <w:sz w:val="24"/>
                <w:szCs w:val="24"/>
              </w:rPr>
              <w:t>农</w:t>
            </w:r>
            <w:r>
              <w:rPr>
                <w:color w:val="000000"/>
                <w:sz w:val="24"/>
                <w:szCs w:val="24"/>
              </w:rPr>
              <w:t xml:space="preserve"> </w:t>
            </w:r>
            <w:r>
              <w:rPr>
                <w:color w:val="000000"/>
                <w:sz w:val="24"/>
                <w:szCs w:val="24"/>
              </w:rPr>
              <w:t>产</w:t>
            </w:r>
            <w:r>
              <w:rPr>
                <w:color w:val="000000"/>
                <w:sz w:val="24"/>
                <w:szCs w:val="24"/>
              </w:rPr>
              <w:t xml:space="preserve"> </w:t>
            </w:r>
            <w:r>
              <w:rPr>
                <w:color w:val="000000"/>
                <w:sz w:val="24"/>
                <w:szCs w:val="24"/>
              </w:rPr>
              <w:t>品</w:t>
            </w:r>
          </w:p>
        </w:tc>
        <w:tc>
          <w:tcPr>
            <w:tcW w:w="1334" w:type="dxa"/>
            <w:vAlign w:val="center"/>
          </w:tcPr>
          <w:p w:rsidR="00B50517" w:rsidRDefault="00484EAD">
            <w:pPr>
              <w:jc w:val="right"/>
            </w:pPr>
            <w:r>
              <w:rPr>
                <w:color w:val="000000"/>
                <w:sz w:val="24"/>
                <w:szCs w:val="24"/>
              </w:rPr>
              <w:t>232,671</w:t>
            </w:r>
          </w:p>
        </w:tc>
        <w:tc>
          <w:tcPr>
            <w:tcW w:w="1924" w:type="dxa"/>
            <w:vAlign w:val="center"/>
          </w:tcPr>
          <w:p w:rsidR="00B50517" w:rsidRDefault="00484EAD">
            <w:pPr>
              <w:jc w:val="right"/>
            </w:pPr>
            <w:r>
              <w:rPr>
                <w:color w:val="000000"/>
                <w:sz w:val="24"/>
                <w:szCs w:val="24"/>
              </w:rPr>
              <w:t>3,038,683.26</w:t>
            </w:r>
          </w:p>
        </w:tc>
        <w:tc>
          <w:tcPr>
            <w:tcW w:w="1644" w:type="dxa"/>
            <w:vAlign w:val="center"/>
          </w:tcPr>
          <w:p w:rsidR="00B50517" w:rsidRDefault="00484EAD">
            <w:pPr>
              <w:jc w:val="right"/>
            </w:pPr>
            <w:r>
              <w:rPr>
                <w:color w:val="000000"/>
                <w:sz w:val="24"/>
                <w:szCs w:val="24"/>
              </w:rPr>
              <w:t>2.98</w:t>
            </w:r>
          </w:p>
        </w:tc>
      </w:tr>
      <w:tr w:rsidR="00B50517">
        <w:trPr>
          <w:jc w:val="center"/>
        </w:trPr>
        <w:tc>
          <w:tcPr>
            <w:tcW w:w="855" w:type="dxa"/>
            <w:vAlign w:val="center"/>
          </w:tcPr>
          <w:p w:rsidR="00B50517" w:rsidRDefault="00484EAD">
            <w:pPr>
              <w:jc w:val="center"/>
            </w:pPr>
            <w:r>
              <w:rPr>
                <w:color w:val="000000"/>
                <w:sz w:val="24"/>
                <w:szCs w:val="24"/>
              </w:rPr>
              <w:t>9</w:t>
            </w:r>
          </w:p>
        </w:tc>
        <w:tc>
          <w:tcPr>
            <w:tcW w:w="1334" w:type="dxa"/>
            <w:vAlign w:val="center"/>
          </w:tcPr>
          <w:p w:rsidR="00B50517" w:rsidRDefault="00484EAD">
            <w:pPr>
              <w:jc w:val="center"/>
            </w:pPr>
            <w:r>
              <w:rPr>
                <w:color w:val="000000"/>
                <w:sz w:val="24"/>
                <w:szCs w:val="24"/>
              </w:rPr>
              <w:t>002502</w:t>
            </w:r>
          </w:p>
        </w:tc>
        <w:tc>
          <w:tcPr>
            <w:tcW w:w="1777" w:type="dxa"/>
            <w:vAlign w:val="center"/>
          </w:tcPr>
          <w:p w:rsidR="00B50517" w:rsidRDefault="00484EAD">
            <w:pPr>
              <w:jc w:val="center"/>
            </w:pPr>
            <w:r>
              <w:rPr>
                <w:color w:val="000000"/>
                <w:sz w:val="24"/>
                <w:szCs w:val="24"/>
              </w:rPr>
              <w:t>骅威股份</w:t>
            </w:r>
          </w:p>
        </w:tc>
        <w:tc>
          <w:tcPr>
            <w:tcW w:w="1334" w:type="dxa"/>
            <w:vAlign w:val="center"/>
          </w:tcPr>
          <w:p w:rsidR="00B50517" w:rsidRDefault="00484EAD">
            <w:pPr>
              <w:jc w:val="right"/>
            </w:pPr>
            <w:r>
              <w:rPr>
                <w:color w:val="000000"/>
                <w:sz w:val="24"/>
                <w:szCs w:val="24"/>
              </w:rPr>
              <w:t>108,323</w:t>
            </w:r>
          </w:p>
        </w:tc>
        <w:tc>
          <w:tcPr>
            <w:tcW w:w="1924" w:type="dxa"/>
            <w:vAlign w:val="center"/>
          </w:tcPr>
          <w:p w:rsidR="00B50517" w:rsidRDefault="00484EAD">
            <w:pPr>
              <w:jc w:val="right"/>
            </w:pPr>
            <w:r>
              <w:rPr>
                <w:color w:val="000000"/>
                <w:sz w:val="24"/>
                <w:szCs w:val="24"/>
              </w:rPr>
              <w:t>2,969,133.43</w:t>
            </w:r>
          </w:p>
        </w:tc>
        <w:tc>
          <w:tcPr>
            <w:tcW w:w="1644" w:type="dxa"/>
            <w:vAlign w:val="center"/>
          </w:tcPr>
          <w:p w:rsidR="00B50517" w:rsidRDefault="00484EAD">
            <w:pPr>
              <w:jc w:val="right"/>
            </w:pPr>
            <w:r>
              <w:rPr>
                <w:color w:val="000000"/>
                <w:sz w:val="24"/>
                <w:szCs w:val="24"/>
              </w:rPr>
              <w:t>2.92</w:t>
            </w:r>
          </w:p>
        </w:tc>
      </w:tr>
      <w:tr w:rsidR="00B50517">
        <w:trPr>
          <w:jc w:val="center"/>
        </w:trPr>
        <w:tc>
          <w:tcPr>
            <w:tcW w:w="855" w:type="dxa"/>
            <w:vAlign w:val="center"/>
          </w:tcPr>
          <w:p w:rsidR="00B50517" w:rsidRDefault="00484EAD">
            <w:pPr>
              <w:jc w:val="center"/>
            </w:pPr>
            <w:r>
              <w:rPr>
                <w:color w:val="000000"/>
                <w:sz w:val="24"/>
                <w:szCs w:val="24"/>
              </w:rPr>
              <w:t>10</w:t>
            </w:r>
          </w:p>
        </w:tc>
        <w:tc>
          <w:tcPr>
            <w:tcW w:w="1334" w:type="dxa"/>
            <w:vAlign w:val="center"/>
          </w:tcPr>
          <w:p w:rsidR="00B50517" w:rsidRDefault="00484EAD">
            <w:pPr>
              <w:jc w:val="center"/>
            </w:pPr>
            <w:r>
              <w:rPr>
                <w:color w:val="000000"/>
                <w:sz w:val="24"/>
                <w:szCs w:val="24"/>
              </w:rPr>
              <w:t>601169</w:t>
            </w:r>
          </w:p>
        </w:tc>
        <w:tc>
          <w:tcPr>
            <w:tcW w:w="1777" w:type="dxa"/>
            <w:vAlign w:val="center"/>
          </w:tcPr>
          <w:p w:rsidR="00B50517" w:rsidRDefault="00484EAD">
            <w:pPr>
              <w:jc w:val="center"/>
            </w:pPr>
            <w:r>
              <w:rPr>
                <w:color w:val="000000"/>
                <w:sz w:val="24"/>
                <w:szCs w:val="24"/>
              </w:rPr>
              <w:t>北京银行</w:t>
            </w:r>
          </w:p>
        </w:tc>
        <w:tc>
          <w:tcPr>
            <w:tcW w:w="1334" w:type="dxa"/>
            <w:vAlign w:val="center"/>
          </w:tcPr>
          <w:p w:rsidR="00B50517" w:rsidRDefault="00484EAD">
            <w:pPr>
              <w:jc w:val="right"/>
            </w:pPr>
            <w:r>
              <w:rPr>
                <w:color w:val="000000"/>
                <w:sz w:val="24"/>
                <w:szCs w:val="24"/>
              </w:rPr>
              <w:t>275,200</w:t>
            </w:r>
          </w:p>
        </w:tc>
        <w:tc>
          <w:tcPr>
            <w:tcW w:w="1924" w:type="dxa"/>
            <w:vAlign w:val="center"/>
          </w:tcPr>
          <w:p w:rsidR="00B50517" w:rsidRDefault="00484EAD">
            <w:pPr>
              <w:jc w:val="right"/>
            </w:pPr>
            <w:r>
              <w:rPr>
                <w:color w:val="000000"/>
                <w:sz w:val="24"/>
                <w:szCs w:val="24"/>
              </w:rPr>
              <w:t>2,774,016.00</w:t>
            </w:r>
          </w:p>
        </w:tc>
        <w:tc>
          <w:tcPr>
            <w:tcW w:w="1644" w:type="dxa"/>
            <w:vAlign w:val="center"/>
          </w:tcPr>
          <w:p w:rsidR="00B50517" w:rsidRDefault="00484EAD">
            <w:pPr>
              <w:jc w:val="right"/>
            </w:pPr>
            <w:r>
              <w:rPr>
                <w:color w:val="000000"/>
                <w:sz w:val="24"/>
                <w:szCs w:val="24"/>
              </w:rPr>
              <w:t>2.72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93,700.40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93,700.40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50517">
        <w:trPr>
          <w:jc w:val="center"/>
        </w:trPr>
        <w:tc>
          <w:tcPr>
            <w:tcW w:w="850" w:type="dxa"/>
            <w:vAlign w:val="center"/>
          </w:tcPr>
          <w:p w:rsidR="00B50517" w:rsidRDefault="00484EAD">
            <w:pPr>
              <w:jc w:val="center"/>
            </w:pPr>
            <w:r>
              <w:rPr>
                <w:color w:val="000000"/>
                <w:sz w:val="24"/>
                <w:szCs w:val="24"/>
              </w:rPr>
              <w:t>1</w:t>
            </w:r>
          </w:p>
        </w:tc>
        <w:tc>
          <w:tcPr>
            <w:tcW w:w="1475" w:type="dxa"/>
            <w:vAlign w:val="center"/>
          </w:tcPr>
          <w:p w:rsidR="00B50517" w:rsidRDefault="00484EAD">
            <w:pPr>
              <w:jc w:val="center"/>
            </w:pPr>
            <w:r>
              <w:rPr>
                <w:color w:val="000000"/>
                <w:sz w:val="24"/>
                <w:szCs w:val="24"/>
              </w:rPr>
              <w:t>110035</w:t>
            </w:r>
          </w:p>
        </w:tc>
        <w:tc>
          <w:tcPr>
            <w:tcW w:w="1769" w:type="dxa"/>
            <w:vAlign w:val="center"/>
          </w:tcPr>
          <w:p w:rsidR="00B50517" w:rsidRDefault="00484EAD">
            <w:pPr>
              <w:jc w:val="center"/>
            </w:pPr>
            <w:r>
              <w:rPr>
                <w:color w:val="000000"/>
                <w:sz w:val="24"/>
                <w:szCs w:val="24"/>
              </w:rPr>
              <w:t>白云转债</w:t>
            </w:r>
          </w:p>
        </w:tc>
        <w:tc>
          <w:tcPr>
            <w:tcW w:w="1387" w:type="dxa"/>
            <w:vAlign w:val="center"/>
          </w:tcPr>
          <w:p w:rsidR="00B50517" w:rsidRDefault="00484EAD">
            <w:pPr>
              <w:jc w:val="right"/>
            </w:pPr>
            <w:r>
              <w:rPr>
                <w:color w:val="000000"/>
                <w:sz w:val="24"/>
                <w:szCs w:val="24"/>
              </w:rPr>
              <w:t>760</w:t>
            </w:r>
          </w:p>
        </w:tc>
        <w:tc>
          <w:tcPr>
            <w:tcW w:w="2150" w:type="dxa"/>
            <w:vAlign w:val="center"/>
          </w:tcPr>
          <w:p w:rsidR="00B50517" w:rsidRDefault="00484EAD">
            <w:pPr>
              <w:jc w:val="right"/>
            </w:pPr>
            <w:r>
              <w:rPr>
                <w:color w:val="000000"/>
                <w:sz w:val="24"/>
                <w:szCs w:val="24"/>
              </w:rPr>
              <w:t>93,700.40</w:t>
            </w:r>
          </w:p>
        </w:tc>
        <w:tc>
          <w:tcPr>
            <w:tcW w:w="1237" w:type="dxa"/>
            <w:vAlign w:val="center"/>
          </w:tcPr>
          <w:p w:rsidR="00B50517" w:rsidRDefault="00484EAD">
            <w:pPr>
              <w:jc w:val="right"/>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186,422.34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1,959,618.08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6,390.87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467,315.81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2,619,747.10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52,349,784.24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2,821,624.21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2,164,970.07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53,006,438.38</w:t>
            </w:r>
          </w:p>
        </w:tc>
      </w:tr>
    </w:tbl>
    <w:p w:rsidR="00B50517" w:rsidRDefault="00484E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37.74</w:t>
            </w:r>
          </w:p>
        </w:tc>
      </w:tr>
    </w:tbl>
    <w:p w:rsidR="00B50517" w:rsidRDefault="00484EA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50517" w:rsidRDefault="00484EA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B50517" w:rsidRDefault="00484EA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B50517" w:rsidRDefault="00484EA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B50517" w:rsidRDefault="00484EA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B50517" w:rsidRDefault="00484EAD">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B50517" w:rsidRDefault="00484EA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B50517" w:rsidRDefault="00484EA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50517" w:rsidRDefault="00484EA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253F18">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253F18">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5ADF"/>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53F1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4EAD"/>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4FC7"/>
    <w:rsid w:val="00585263"/>
    <w:rsid w:val="005866D3"/>
    <w:rsid w:val="0059076B"/>
    <w:rsid w:val="005910BF"/>
    <w:rsid w:val="005A0F1F"/>
    <w:rsid w:val="005A45A4"/>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585"/>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0517"/>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71E8-7612-4D59-959A-547DA6AB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2016-04-19T03:13:00Z</dcterms:modified>
</cp:coreProperties>
</file>