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交银施罗德策略回报灵活配置混合型证券投资基金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二〇一六年四月二十日</w:t>
      </w:r>
    </w:p>
    <w:p w:rsidR="004061AC" w:rsidRPr="00414345" w:rsidRDefault="004061AC" w:rsidP="00D5340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55DFB" w:rsidRDefault="00D57DA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55DFB" w:rsidRDefault="00D57DA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55DFB" w:rsidRDefault="00D57DA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55DFB" w:rsidRDefault="00D57DA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55DFB" w:rsidRDefault="00D57DA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5340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162,966,620.96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本基金将通过</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5340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2DA9" w:rsidRPr="00414345" w:rsidTr="00CD2DA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2DA9" w:rsidRPr="00414345" w:rsidTr="00CD2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-8,477,079.12</w:t>
            </w:r>
          </w:p>
        </w:tc>
      </w:tr>
      <w:tr w:rsidR="00CD2DA9" w:rsidRPr="00414345" w:rsidTr="00CD2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-15,102,616.62</w:t>
            </w:r>
          </w:p>
        </w:tc>
      </w:tr>
      <w:tr w:rsidR="00CD2DA9" w:rsidRPr="00414345" w:rsidTr="00CD2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-0.0900</w:t>
            </w:r>
          </w:p>
        </w:tc>
      </w:tr>
      <w:tr w:rsidR="00CD2DA9" w:rsidRPr="00414345" w:rsidTr="00CD2DA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165,988,460.98</w:t>
            </w:r>
          </w:p>
        </w:tc>
      </w:tr>
      <w:tr w:rsidR="00CD2DA9" w:rsidRPr="00414345" w:rsidTr="00CD2DA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1.019</w:t>
            </w:r>
          </w:p>
        </w:tc>
      </w:tr>
    </w:tbl>
    <w:p w:rsidR="00255DFB" w:rsidRDefault="00D57D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w:t>
      </w:r>
      <w:bookmarkStart w:id="0" w:name="_GoBack"/>
      <w:bookmarkEnd w:id="0"/>
      <w:r w:rsidRPr="00414345">
        <w:rPr>
          <w:color w:val="000000"/>
          <w:sz w:val="24"/>
          <w:szCs w:val="24"/>
        </w:rPr>
        <w:t>、投资收益、其他收入（不含公允价值变动收益）扣除相关费用后的余额，本期利润为本期已实现收益加上本期公允价值变动收益。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C1930">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55DFB">
        <w:trPr>
          <w:jc w:val="center"/>
        </w:trPr>
        <w:tc>
          <w:tcPr>
            <w:tcW w:w="1701" w:type="dxa"/>
            <w:vAlign w:val="center"/>
          </w:tcPr>
          <w:p w:rsidR="00255DFB" w:rsidRDefault="00D57DA7">
            <w:pPr>
              <w:jc w:val="left"/>
            </w:pPr>
            <w:r>
              <w:rPr>
                <w:color w:val="000000"/>
                <w:sz w:val="24"/>
                <w:szCs w:val="24"/>
              </w:rPr>
              <w:t>过去三个月</w:t>
            </w:r>
          </w:p>
        </w:tc>
        <w:tc>
          <w:tcPr>
            <w:tcW w:w="1045" w:type="dxa"/>
            <w:vAlign w:val="center"/>
          </w:tcPr>
          <w:p w:rsidR="00255DFB" w:rsidRDefault="00D57DA7">
            <w:pPr>
              <w:jc w:val="center"/>
            </w:pPr>
            <w:r>
              <w:rPr>
                <w:color w:val="000000"/>
                <w:sz w:val="24"/>
                <w:szCs w:val="24"/>
              </w:rPr>
              <w:t>-7.45%</w:t>
            </w:r>
          </w:p>
        </w:tc>
        <w:tc>
          <w:tcPr>
            <w:tcW w:w="1344" w:type="dxa"/>
            <w:vAlign w:val="center"/>
          </w:tcPr>
          <w:p w:rsidR="00255DFB" w:rsidRDefault="00D57DA7">
            <w:pPr>
              <w:jc w:val="center"/>
            </w:pPr>
            <w:r>
              <w:rPr>
                <w:color w:val="000000"/>
                <w:sz w:val="24"/>
                <w:szCs w:val="24"/>
              </w:rPr>
              <w:t>2.15%</w:t>
            </w:r>
          </w:p>
        </w:tc>
        <w:tc>
          <w:tcPr>
            <w:tcW w:w="1194" w:type="dxa"/>
            <w:vAlign w:val="center"/>
          </w:tcPr>
          <w:p w:rsidR="00255DFB" w:rsidRDefault="00D57DA7">
            <w:pPr>
              <w:jc w:val="center"/>
            </w:pPr>
            <w:r>
              <w:rPr>
                <w:color w:val="000000"/>
                <w:sz w:val="24"/>
                <w:szCs w:val="24"/>
              </w:rPr>
              <w:t>-7.67%</w:t>
            </w:r>
          </w:p>
        </w:tc>
        <w:tc>
          <w:tcPr>
            <w:tcW w:w="1492" w:type="dxa"/>
            <w:vAlign w:val="center"/>
          </w:tcPr>
          <w:p w:rsidR="00255DFB" w:rsidRDefault="00D57DA7">
            <w:pPr>
              <w:jc w:val="center"/>
            </w:pPr>
            <w:r>
              <w:rPr>
                <w:color w:val="000000"/>
                <w:sz w:val="24"/>
                <w:szCs w:val="24"/>
              </w:rPr>
              <w:t>1.46%</w:t>
            </w:r>
          </w:p>
        </w:tc>
        <w:tc>
          <w:tcPr>
            <w:tcW w:w="1194" w:type="dxa"/>
            <w:vAlign w:val="center"/>
          </w:tcPr>
          <w:p w:rsidR="00255DFB" w:rsidRDefault="00D57DA7">
            <w:pPr>
              <w:jc w:val="center"/>
            </w:pPr>
            <w:r>
              <w:rPr>
                <w:color w:val="000000"/>
                <w:sz w:val="24"/>
                <w:szCs w:val="24"/>
              </w:rPr>
              <w:t>0.22%</w:t>
            </w:r>
          </w:p>
        </w:tc>
        <w:tc>
          <w:tcPr>
            <w:tcW w:w="898" w:type="dxa"/>
            <w:vAlign w:val="center"/>
          </w:tcPr>
          <w:p w:rsidR="00255DFB" w:rsidRDefault="00D57DA7">
            <w:pPr>
              <w:jc w:val="center"/>
            </w:pPr>
            <w:r>
              <w:rPr>
                <w:color w:val="000000"/>
                <w:sz w:val="24"/>
                <w:szCs w:val="24"/>
              </w:rPr>
              <w:t>0.69%</w:t>
            </w:r>
          </w:p>
        </w:tc>
      </w:tr>
    </w:tbl>
    <w:p w:rsidR="00AC1930" w:rsidRDefault="00AC1930" w:rsidP="00AC1930">
      <w:pPr>
        <w:spacing w:before="29" w:line="288" w:lineRule="auto"/>
        <w:rPr>
          <w:color w:val="000000"/>
          <w:sz w:val="24"/>
          <w:szCs w:val="24"/>
        </w:rPr>
      </w:pPr>
      <w:r>
        <w:rPr>
          <w:rFonts w:ascii="宋体" w:hAnsi="宋体" w:hint="eastAsia"/>
          <w:color w:val="000000"/>
          <w:sz w:val="24"/>
          <w:szCs w:val="24"/>
        </w:rPr>
        <w:t>注：本基金业绩比较基准自</w:t>
      </w:r>
      <w:r>
        <w:rPr>
          <w:color w:val="000000"/>
          <w:sz w:val="24"/>
          <w:szCs w:val="24"/>
        </w:rPr>
        <w:t>2015</w:t>
      </w:r>
      <w:r>
        <w:rPr>
          <w:rFonts w:ascii="宋体" w:hAnsi="宋体" w:hint="eastAsia"/>
          <w:color w:val="000000"/>
          <w:sz w:val="24"/>
          <w:szCs w:val="24"/>
        </w:rPr>
        <w:t>年</w:t>
      </w:r>
      <w:r>
        <w:rPr>
          <w:color w:val="000000"/>
          <w:sz w:val="24"/>
          <w:szCs w:val="24"/>
        </w:rPr>
        <w:t>10</w:t>
      </w:r>
      <w:r>
        <w:rPr>
          <w:rFonts w:ascii="宋体" w:hAnsi="宋体" w:hint="eastAsia"/>
          <w:color w:val="000000"/>
          <w:sz w:val="24"/>
          <w:szCs w:val="24"/>
        </w:rPr>
        <w:t>月</w:t>
      </w:r>
      <w:r>
        <w:rPr>
          <w:color w:val="000000"/>
          <w:sz w:val="24"/>
          <w:szCs w:val="24"/>
        </w:rPr>
        <w:t>1</w:t>
      </w:r>
      <w:r>
        <w:rPr>
          <w:rFonts w:ascii="宋体" w:hAnsi="宋体" w:hint="eastAsia"/>
          <w:color w:val="000000"/>
          <w:sz w:val="24"/>
          <w:szCs w:val="24"/>
        </w:rPr>
        <w:t>日起，由“</w:t>
      </w:r>
      <w:r>
        <w:rPr>
          <w:color w:val="000000"/>
          <w:sz w:val="24"/>
          <w:szCs w:val="24"/>
        </w:rPr>
        <w:t>60%×</w:t>
      </w:r>
      <w:r>
        <w:rPr>
          <w:rFonts w:ascii="宋体" w:hAnsi="宋体" w:hint="eastAsia"/>
          <w:color w:val="000000"/>
          <w:sz w:val="24"/>
          <w:szCs w:val="24"/>
        </w:rPr>
        <w:t>沪深</w:t>
      </w:r>
      <w:r>
        <w:rPr>
          <w:color w:val="000000"/>
          <w:sz w:val="24"/>
          <w:szCs w:val="24"/>
        </w:rPr>
        <w:t>300</w:t>
      </w:r>
      <w:r>
        <w:rPr>
          <w:rFonts w:ascii="宋体" w:hAnsi="宋体" w:hint="eastAsia"/>
          <w:color w:val="000000"/>
          <w:sz w:val="24"/>
          <w:szCs w:val="24"/>
        </w:rPr>
        <w:t>指数收益率</w:t>
      </w:r>
      <w:r>
        <w:rPr>
          <w:color w:val="000000"/>
          <w:sz w:val="24"/>
          <w:szCs w:val="24"/>
        </w:rPr>
        <w:t>+40%×</w:t>
      </w:r>
      <w:r>
        <w:rPr>
          <w:rFonts w:ascii="宋体" w:hAnsi="宋体" w:hint="eastAsia"/>
          <w:color w:val="000000"/>
          <w:sz w:val="24"/>
          <w:szCs w:val="24"/>
        </w:rPr>
        <w:t>中信标普全债指数收益率”变更为“</w:t>
      </w:r>
      <w:r>
        <w:rPr>
          <w:sz w:val="24"/>
          <w:szCs w:val="24"/>
        </w:rPr>
        <w:t>60%×</w:t>
      </w:r>
      <w:r>
        <w:rPr>
          <w:rFonts w:ascii="宋体" w:hAnsi="宋体" w:hint="eastAsia"/>
          <w:sz w:val="24"/>
          <w:szCs w:val="24"/>
        </w:rPr>
        <w:t>沪深</w:t>
      </w:r>
      <w:r>
        <w:rPr>
          <w:sz w:val="24"/>
          <w:szCs w:val="24"/>
        </w:rPr>
        <w:t>300</w:t>
      </w:r>
      <w:r>
        <w:rPr>
          <w:rFonts w:ascii="宋体" w:hAnsi="宋体" w:hint="eastAsia"/>
          <w:sz w:val="24"/>
          <w:szCs w:val="24"/>
        </w:rPr>
        <w:t>指数收益率</w:t>
      </w:r>
      <w:r>
        <w:rPr>
          <w:sz w:val="24"/>
          <w:szCs w:val="24"/>
        </w:rPr>
        <w:t>+40%×</w:t>
      </w:r>
      <w:r>
        <w:rPr>
          <w:rFonts w:ascii="宋体" w:hAnsi="宋体" w:hint="eastAsia"/>
          <w:sz w:val="24"/>
          <w:szCs w:val="24"/>
        </w:rPr>
        <w:t>中证综合债券指数收益率</w:t>
      </w:r>
      <w:r>
        <w:rPr>
          <w:rFonts w:ascii="宋体" w:hAnsi="宋体" w:hint="eastAsia"/>
          <w:color w:val="000000"/>
          <w:sz w:val="24"/>
          <w:szCs w:val="24"/>
        </w:rPr>
        <w:t>”，</w:t>
      </w:r>
      <w:r>
        <w:rPr>
          <w:color w:val="000000"/>
          <w:sz w:val="24"/>
          <w:szCs w:val="24"/>
        </w:rPr>
        <w:t>3.2.2</w:t>
      </w:r>
      <w:r>
        <w:rPr>
          <w:rFonts w:ascii="宋体" w:hAnsi="宋体" w:hint="eastAsia"/>
          <w:color w:val="000000"/>
          <w:sz w:val="24"/>
          <w:szCs w:val="24"/>
        </w:rPr>
        <w:t>同。详情见本基金管理人于</w:t>
      </w:r>
      <w:r>
        <w:rPr>
          <w:color w:val="000000"/>
          <w:sz w:val="24"/>
          <w:szCs w:val="24"/>
        </w:rPr>
        <w:t>2015</w:t>
      </w:r>
      <w:r>
        <w:rPr>
          <w:rFonts w:ascii="宋体" w:hAnsi="宋体" w:hint="eastAsia"/>
          <w:color w:val="000000"/>
          <w:sz w:val="24"/>
          <w:szCs w:val="24"/>
        </w:rPr>
        <w:t>年</w:t>
      </w:r>
      <w:r>
        <w:rPr>
          <w:color w:val="000000"/>
          <w:sz w:val="24"/>
          <w:szCs w:val="24"/>
        </w:rPr>
        <w:t>9</w:t>
      </w:r>
      <w:r>
        <w:rPr>
          <w:rFonts w:ascii="宋体" w:hAnsi="宋体" w:hint="eastAsia"/>
          <w:color w:val="000000"/>
          <w:sz w:val="24"/>
          <w:szCs w:val="24"/>
        </w:rPr>
        <w:t>月</w:t>
      </w:r>
      <w:r>
        <w:rPr>
          <w:color w:val="000000"/>
          <w:sz w:val="24"/>
          <w:szCs w:val="24"/>
        </w:rPr>
        <w:t>28</w:t>
      </w:r>
      <w:r>
        <w:rPr>
          <w:rFonts w:ascii="宋体" w:hAnsi="宋体" w:hint="eastAsia"/>
          <w:color w:val="000000"/>
          <w:sz w:val="24"/>
          <w:szCs w:val="24"/>
        </w:rPr>
        <w:t>日发布的《交银施罗德基金管理有限公司关于旗下部分基金业绩比较基准变更并修改基金合同相关内容的公告》。</w:t>
      </w:r>
    </w:p>
    <w:p w:rsidR="004061AC" w:rsidRPr="00AC1930"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交银施罗德策略回报灵活配置混合型证券投资基金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D57DA7" w:rsidP="00C15CAC">
      <w:pPr>
        <w:pStyle w:val="a5"/>
        <w:snapToGrid w:val="0"/>
        <w:spacing w:before="29" w:line="288" w:lineRule="auto"/>
        <w:jc w:val="center"/>
        <w:rPr>
          <w:rFonts w:ascii="Times New Roman" w:hAnsi="Times New Roman" w:cs="Times New Roman"/>
          <w:color w:val="000000"/>
          <w:sz w:val="24"/>
          <w:szCs w:val="24"/>
        </w:rPr>
      </w:pPr>
      <w:r w:rsidRPr="00D57DA7">
        <w:rPr>
          <w:rFonts w:ascii="Times New Roman" w:hAnsi="Times New Roman" w:cs="Times New Roman"/>
          <w:noProof/>
          <w:color w:val="000000"/>
          <w:sz w:val="24"/>
          <w:szCs w:val="24"/>
        </w:rPr>
        <w:drawing>
          <wp:inline distT="0" distB="0" distL="0" distR="0">
            <wp:extent cx="5731510" cy="3356610"/>
            <wp:effectExtent l="1905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注：本基金由交银施罗德荣安保本混合型证券投资基金转型而来。基金转型日为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日，基金转型日至报告期期末，本基金转型时间未满一年。本基金的投资转型期为交银施罗德荣安保本混合型证券投资基金保本周期到期选择期截止日次日（即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27</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5340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55DFB">
        <w:trPr>
          <w:jc w:val="center"/>
        </w:trPr>
        <w:tc>
          <w:tcPr>
            <w:tcW w:w="846" w:type="dxa"/>
            <w:vAlign w:val="center"/>
          </w:tcPr>
          <w:p w:rsidR="00255DFB" w:rsidRDefault="00D57DA7">
            <w:pPr>
              <w:jc w:val="center"/>
            </w:pPr>
            <w:r>
              <w:rPr>
                <w:color w:val="000000"/>
                <w:sz w:val="24"/>
                <w:szCs w:val="24"/>
              </w:rPr>
              <w:t>王少成</w:t>
            </w:r>
          </w:p>
        </w:tc>
        <w:tc>
          <w:tcPr>
            <w:tcW w:w="845" w:type="dxa"/>
            <w:vAlign w:val="center"/>
          </w:tcPr>
          <w:p w:rsidR="00255DFB" w:rsidRDefault="00D57DA7">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255DFB" w:rsidRDefault="00D57DA7">
            <w:pPr>
              <w:jc w:val="center"/>
            </w:pPr>
            <w:r>
              <w:rPr>
                <w:color w:val="000000"/>
                <w:sz w:val="24"/>
                <w:szCs w:val="24"/>
              </w:rPr>
              <w:t>2015-11-07</w:t>
            </w:r>
          </w:p>
        </w:tc>
        <w:tc>
          <w:tcPr>
            <w:tcW w:w="1548" w:type="dxa"/>
            <w:vAlign w:val="center"/>
          </w:tcPr>
          <w:p w:rsidR="00255DFB" w:rsidRDefault="00D57DA7">
            <w:pPr>
              <w:jc w:val="center"/>
            </w:pPr>
            <w:r>
              <w:rPr>
                <w:color w:val="000000"/>
                <w:sz w:val="24"/>
                <w:szCs w:val="24"/>
              </w:rPr>
              <w:t>-</w:t>
            </w:r>
          </w:p>
        </w:tc>
        <w:tc>
          <w:tcPr>
            <w:tcW w:w="1407" w:type="dxa"/>
            <w:vAlign w:val="center"/>
          </w:tcPr>
          <w:p w:rsidR="00255DFB" w:rsidRDefault="00D57DA7">
            <w:pPr>
              <w:jc w:val="center"/>
            </w:pPr>
            <w:r>
              <w:rPr>
                <w:color w:val="000000"/>
                <w:sz w:val="24"/>
                <w:szCs w:val="24"/>
              </w:rPr>
              <w:t>12</w:t>
            </w:r>
            <w:r>
              <w:rPr>
                <w:color w:val="000000"/>
                <w:sz w:val="24"/>
                <w:szCs w:val="24"/>
              </w:rPr>
              <w:t>年</w:t>
            </w:r>
          </w:p>
        </w:tc>
        <w:tc>
          <w:tcPr>
            <w:tcW w:w="2673" w:type="dxa"/>
            <w:vAlign w:val="center"/>
          </w:tcPr>
          <w:p w:rsidR="00255DFB" w:rsidRDefault="00D57DA7">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r w:rsidR="00255DFB">
        <w:trPr>
          <w:jc w:val="center"/>
        </w:trPr>
        <w:tc>
          <w:tcPr>
            <w:tcW w:w="846" w:type="dxa"/>
            <w:vAlign w:val="center"/>
          </w:tcPr>
          <w:p w:rsidR="00255DFB" w:rsidRDefault="00D57DA7">
            <w:pPr>
              <w:jc w:val="center"/>
            </w:pPr>
            <w:r>
              <w:rPr>
                <w:color w:val="000000"/>
                <w:sz w:val="24"/>
                <w:szCs w:val="24"/>
              </w:rPr>
              <w:t>韩威俊</w:t>
            </w:r>
          </w:p>
        </w:tc>
        <w:tc>
          <w:tcPr>
            <w:tcW w:w="845" w:type="dxa"/>
            <w:vAlign w:val="center"/>
          </w:tcPr>
          <w:p w:rsidR="00255DFB" w:rsidRDefault="00D57DA7">
            <w:pPr>
              <w:jc w:val="center"/>
            </w:pPr>
            <w:r>
              <w:rPr>
                <w:color w:val="000000"/>
                <w:sz w:val="24"/>
                <w:szCs w:val="24"/>
              </w:rPr>
              <w:t>交银策略回报灵活配置混合的基金经理</w:t>
            </w:r>
          </w:p>
        </w:tc>
        <w:tc>
          <w:tcPr>
            <w:tcW w:w="1549" w:type="dxa"/>
            <w:vAlign w:val="center"/>
          </w:tcPr>
          <w:p w:rsidR="00255DFB" w:rsidRDefault="00D57DA7">
            <w:pPr>
              <w:jc w:val="center"/>
            </w:pPr>
            <w:r>
              <w:rPr>
                <w:color w:val="000000"/>
                <w:sz w:val="24"/>
                <w:szCs w:val="24"/>
              </w:rPr>
              <w:t>2016-01-20</w:t>
            </w:r>
          </w:p>
        </w:tc>
        <w:tc>
          <w:tcPr>
            <w:tcW w:w="1548" w:type="dxa"/>
            <w:vAlign w:val="center"/>
          </w:tcPr>
          <w:p w:rsidR="00255DFB" w:rsidRDefault="00D57DA7">
            <w:pPr>
              <w:jc w:val="center"/>
            </w:pPr>
            <w:r>
              <w:rPr>
                <w:color w:val="000000"/>
                <w:sz w:val="24"/>
                <w:szCs w:val="24"/>
              </w:rPr>
              <w:t>-</w:t>
            </w:r>
          </w:p>
        </w:tc>
        <w:tc>
          <w:tcPr>
            <w:tcW w:w="1407" w:type="dxa"/>
            <w:vAlign w:val="center"/>
          </w:tcPr>
          <w:p w:rsidR="00255DFB" w:rsidRDefault="00D57DA7">
            <w:pPr>
              <w:jc w:val="center"/>
            </w:pPr>
            <w:r>
              <w:rPr>
                <w:color w:val="000000"/>
                <w:sz w:val="24"/>
                <w:szCs w:val="24"/>
              </w:rPr>
              <w:t>10</w:t>
            </w:r>
            <w:r>
              <w:rPr>
                <w:color w:val="000000"/>
                <w:sz w:val="24"/>
                <w:szCs w:val="24"/>
              </w:rPr>
              <w:t>年</w:t>
            </w:r>
          </w:p>
        </w:tc>
        <w:tc>
          <w:tcPr>
            <w:tcW w:w="2673" w:type="dxa"/>
            <w:vAlign w:val="center"/>
          </w:tcPr>
          <w:p w:rsidR="00255DFB" w:rsidRDefault="00D57DA7">
            <w:r>
              <w:rPr>
                <w:color w:val="000000"/>
                <w:sz w:val="24"/>
                <w:szCs w:val="24"/>
              </w:rPr>
              <w:t>韩威俊先生，上海财经大学金融学硕士。历任申银万国证券研究所助理分析师、北京鼎天资产董事助理、申银万国证券研究所行业分析师、信诚基金管理有限公司投资分析师。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55DFB" w:rsidRDefault="00D57DA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55DFB" w:rsidRDefault="00D57DA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55DFB" w:rsidRDefault="00D57DA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AC1930" w:rsidRPr="00414345" w:rsidRDefault="00AC1930"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55DFB" w:rsidRDefault="00D57DA7">
      <w:pPr>
        <w:spacing w:before="29" w:line="288" w:lineRule="auto"/>
        <w:ind w:firstLineChars="200" w:firstLine="480"/>
        <w:rPr>
          <w:color w:val="000000"/>
          <w:sz w:val="24"/>
          <w:szCs w:val="24"/>
        </w:rPr>
      </w:pPr>
      <w:r>
        <w:rPr>
          <w:color w:val="000000"/>
          <w:sz w:val="24"/>
          <w:szCs w:val="24"/>
        </w:rPr>
        <w:t>回顾</w:t>
      </w:r>
      <w:r>
        <w:rPr>
          <w:color w:val="000000"/>
          <w:sz w:val="24"/>
          <w:szCs w:val="24"/>
        </w:rPr>
        <w:t>2016</w:t>
      </w:r>
      <w:r>
        <w:rPr>
          <w:color w:val="000000"/>
          <w:sz w:val="24"/>
          <w:szCs w:val="24"/>
        </w:rPr>
        <w:t>年一季度，宏观经济整体仍然处于寻底过程中，年初的熔断机制和人民币贬值压力导致市场流动性在</w:t>
      </w:r>
      <w:r>
        <w:rPr>
          <w:color w:val="000000"/>
          <w:sz w:val="24"/>
          <w:szCs w:val="24"/>
        </w:rPr>
        <w:t>1</w:t>
      </w:r>
      <w:r>
        <w:rPr>
          <w:color w:val="000000"/>
          <w:sz w:val="24"/>
          <w:szCs w:val="24"/>
        </w:rPr>
        <w:t>月份出现比较明显的问题，市场跌幅较大。</w:t>
      </w:r>
      <w:r>
        <w:rPr>
          <w:color w:val="000000"/>
          <w:sz w:val="24"/>
          <w:szCs w:val="24"/>
        </w:rPr>
        <w:t>2</w:t>
      </w:r>
      <w:r>
        <w:rPr>
          <w:color w:val="000000"/>
          <w:sz w:val="24"/>
          <w:szCs w:val="24"/>
        </w:rPr>
        <w:t>月份，国家对于供给侧改革力度的加强以及周期品库存的周期因素，周期品（包括钢铁、煤炭、有色、农业、化工等）出现了明显的价格上涨。</w:t>
      </w:r>
      <w:r>
        <w:rPr>
          <w:color w:val="000000"/>
          <w:sz w:val="24"/>
          <w:szCs w:val="24"/>
        </w:rPr>
        <w:t>3</w:t>
      </w:r>
      <w:r>
        <w:rPr>
          <w:color w:val="000000"/>
          <w:sz w:val="24"/>
          <w:szCs w:val="24"/>
        </w:rPr>
        <w:t>月份，随着人民币汇率的升值以及成长股赚钱效应的回升，整个市场重新回归到存量博弈的均衡状态。</w:t>
      </w:r>
    </w:p>
    <w:p w:rsidR="00255DFB" w:rsidRDefault="00D57DA7">
      <w:pPr>
        <w:spacing w:before="29" w:line="288" w:lineRule="auto"/>
        <w:ind w:firstLineChars="200" w:firstLine="480"/>
        <w:rPr>
          <w:color w:val="000000"/>
          <w:sz w:val="24"/>
          <w:szCs w:val="24"/>
        </w:rPr>
      </w:pPr>
      <w:r>
        <w:rPr>
          <w:color w:val="000000"/>
          <w:sz w:val="24"/>
          <w:szCs w:val="24"/>
        </w:rPr>
        <w:t>本基金一季度采取了攻守兼备的操作策略，控制整体仓位，配置比例寻求阶段性弹性，一季度整体回撤相对较少，</w:t>
      </w:r>
      <w:r>
        <w:rPr>
          <w:color w:val="000000"/>
          <w:sz w:val="24"/>
          <w:szCs w:val="24"/>
        </w:rPr>
        <w:t>2</w:t>
      </w:r>
      <w:r>
        <w:rPr>
          <w:color w:val="000000"/>
          <w:sz w:val="24"/>
          <w:szCs w:val="24"/>
        </w:rPr>
        <w:t>月份、</w:t>
      </w:r>
      <w:r>
        <w:rPr>
          <w:color w:val="000000"/>
          <w:sz w:val="24"/>
          <w:szCs w:val="24"/>
        </w:rPr>
        <w:t>3</w:t>
      </w:r>
      <w:r>
        <w:rPr>
          <w:color w:val="000000"/>
          <w:sz w:val="24"/>
          <w:szCs w:val="24"/>
        </w:rPr>
        <w:t>月份获得了一定的绝对收益。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展望二季度，宏观经济有望出现阶段性回升，人民币大幅贬值的压力缩小，市场有望在一定区间内波动，</w:t>
      </w:r>
      <w:r w:rsidRPr="00414345">
        <w:rPr>
          <w:color w:val="000000"/>
          <w:sz w:val="24"/>
          <w:szCs w:val="24"/>
        </w:rPr>
        <w:t>5</w:t>
      </w:r>
      <w:r w:rsidRPr="00414345">
        <w:rPr>
          <w:color w:val="000000"/>
          <w:sz w:val="24"/>
          <w:szCs w:val="24"/>
        </w:rPr>
        <w:t>月份、</w:t>
      </w:r>
      <w:r w:rsidRPr="00414345">
        <w:rPr>
          <w:color w:val="000000"/>
          <w:sz w:val="24"/>
          <w:szCs w:val="24"/>
        </w:rPr>
        <w:t>6</w:t>
      </w:r>
      <w:r w:rsidRPr="00414345">
        <w:rPr>
          <w:color w:val="000000"/>
          <w:sz w:val="24"/>
          <w:szCs w:val="24"/>
        </w:rPr>
        <w:t>月份需要关注解禁潮和减持潮的冲击。配置方面，选择两个方向，第一，市场相对稳定以后，选择真正有成长潜力和空间的成长股；第二，选择估值相对合理，但增长较快的白马成长股。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日，本基金基金份额净值为</w:t>
      </w:r>
      <w:r w:rsidRPr="00414345">
        <w:rPr>
          <w:color w:val="000000"/>
          <w:sz w:val="24"/>
          <w:szCs w:val="24"/>
        </w:rPr>
        <w:t>1.019</w:t>
      </w:r>
      <w:r w:rsidRPr="00414345">
        <w:rPr>
          <w:color w:val="000000"/>
          <w:sz w:val="24"/>
          <w:szCs w:val="24"/>
        </w:rPr>
        <w:t>元，本报告期份额净值增长率为</w:t>
      </w:r>
      <w:r w:rsidRPr="00414345">
        <w:rPr>
          <w:color w:val="000000"/>
          <w:sz w:val="24"/>
          <w:szCs w:val="24"/>
        </w:rPr>
        <w:t>-7.45%</w:t>
      </w:r>
      <w:r w:rsidRPr="00414345">
        <w:rPr>
          <w:color w:val="000000"/>
          <w:sz w:val="24"/>
          <w:szCs w:val="24"/>
        </w:rPr>
        <w:t>，同期业绩比较基准增长率为</w:t>
      </w:r>
      <w:r w:rsidRPr="00414345">
        <w:rPr>
          <w:color w:val="000000"/>
          <w:sz w:val="24"/>
          <w:szCs w:val="24"/>
        </w:rPr>
        <w:t>-7.67%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5340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131,939,399.01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131,939,399.01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18,091,200.00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18,091,200.00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10.45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21,585,728.39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1,495,092.97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173,111,420.37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8,829,008.45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13,116,979.00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7.90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84,147,136.08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4,196,922.48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2,460,834.00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6,309,180.00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4,344,795.00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3,021,144.00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5,513,400.00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131,939,399.01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79.49</w:t>
            </w:r>
          </w:p>
        </w:tc>
      </w:tr>
    </w:tbl>
    <w:p w:rsidR="00CD2DA9" w:rsidRDefault="00CD2DA9" w:rsidP="00C15CAC">
      <w:pPr>
        <w:autoSpaceDE w:val="0"/>
        <w:autoSpaceDN w:val="0"/>
        <w:adjustRightInd w:val="0"/>
        <w:spacing w:before="29" w:line="288" w:lineRule="auto"/>
        <w:jc w:val="left"/>
        <w:rPr>
          <w:b/>
          <w:bCs/>
          <w:color w:val="000000"/>
          <w:kern w:val="0"/>
          <w:sz w:val="24"/>
          <w:szCs w:val="24"/>
        </w:rPr>
      </w:pPr>
    </w:p>
    <w:p w:rsidR="00CD2DA9" w:rsidRDefault="00CD2DA9" w:rsidP="00CD2DA9">
      <w:pPr>
        <w:autoSpaceDE w:val="0"/>
        <w:autoSpaceDN w:val="0"/>
        <w:spacing w:before="29" w:line="288" w:lineRule="auto"/>
        <w:rPr>
          <w:b/>
          <w:bCs/>
          <w:color w:val="000000"/>
          <w:sz w:val="24"/>
          <w:szCs w:val="24"/>
        </w:rPr>
      </w:pPr>
      <w:r>
        <w:rPr>
          <w:b/>
          <w:bCs/>
          <w:color w:val="000000"/>
          <w:sz w:val="24"/>
          <w:szCs w:val="24"/>
        </w:rPr>
        <w:t>5.2.2</w:t>
      </w:r>
      <w:r>
        <w:rPr>
          <w:rFonts w:ascii="宋体" w:hAnsi="宋体" w:hint="eastAsia"/>
          <w:b/>
          <w:bCs/>
          <w:color w:val="000000"/>
          <w:sz w:val="24"/>
          <w:szCs w:val="24"/>
        </w:rPr>
        <w:t>报告期末按行业分类的沪港通投资股票投资组合</w:t>
      </w:r>
    </w:p>
    <w:p w:rsidR="00CD2DA9" w:rsidRDefault="00CD2DA9" w:rsidP="00CD2DA9">
      <w:pPr>
        <w:spacing w:before="29" w:line="360" w:lineRule="auto"/>
        <w:ind w:left="17"/>
        <w:rPr>
          <w:color w:val="000000"/>
          <w:sz w:val="24"/>
          <w:szCs w:val="24"/>
        </w:rPr>
      </w:pPr>
      <w:r>
        <w:rPr>
          <w:rFonts w:ascii="宋体" w:hAnsi="宋体" w:hint="eastAsia"/>
          <w:color w:val="000000"/>
          <w:sz w:val="24"/>
          <w:szCs w:val="24"/>
        </w:rPr>
        <w:t>本基金本报告期末未持有通过沪港通投资的股票。</w:t>
      </w:r>
    </w:p>
    <w:p w:rsidR="00CD2DA9" w:rsidRPr="00CD2DA9" w:rsidRDefault="00CD2DA9"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55DFB">
        <w:trPr>
          <w:jc w:val="center"/>
        </w:trPr>
        <w:tc>
          <w:tcPr>
            <w:tcW w:w="855" w:type="dxa"/>
            <w:vAlign w:val="center"/>
          </w:tcPr>
          <w:p w:rsidR="00255DFB" w:rsidRDefault="00D57DA7">
            <w:pPr>
              <w:jc w:val="center"/>
            </w:pPr>
            <w:r>
              <w:rPr>
                <w:color w:val="000000"/>
                <w:sz w:val="24"/>
                <w:szCs w:val="24"/>
              </w:rPr>
              <w:t>1</w:t>
            </w:r>
          </w:p>
        </w:tc>
        <w:tc>
          <w:tcPr>
            <w:tcW w:w="1334" w:type="dxa"/>
            <w:vAlign w:val="center"/>
          </w:tcPr>
          <w:p w:rsidR="00255DFB" w:rsidRDefault="00D57DA7">
            <w:pPr>
              <w:jc w:val="center"/>
            </w:pPr>
            <w:r>
              <w:rPr>
                <w:color w:val="000000"/>
                <w:sz w:val="24"/>
                <w:szCs w:val="24"/>
              </w:rPr>
              <w:t>002582</w:t>
            </w:r>
          </w:p>
        </w:tc>
        <w:tc>
          <w:tcPr>
            <w:tcW w:w="1777" w:type="dxa"/>
            <w:vAlign w:val="center"/>
          </w:tcPr>
          <w:p w:rsidR="00255DFB" w:rsidRDefault="00D57DA7">
            <w:pPr>
              <w:jc w:val="center"/>
            </w:pPr>
            <w:r>
              <w:rPr>
                <w:color w:val="000000"/>
                <w:sz w:val="24"/>
                <w:szCs w:val="24"/>
              </w:rPr>
              <w:t>好想你</w:t>
            </w:r>
          </w:p>
        </w:tc>
        <w:tc>
          <w:tcPr>
            <w:tcW w:w="1334" w:type="dxa"/>
            <w:vAlign w:val="center"/>
          </w:tcPr>
          <w:p w:rsidR="00255DFB" w:rsidRDefault="00D57DA7">
            <w:pPr>
              <w:jc w:val="right"/>
            </w:pPr>
            <w:r>
              <w:rPr>
                <w:color w:val="000000"/>
                <w:sz w:val="24"/>
                <w:szCs w:val="24"/>
              </w:rPr>
              <w:t>510,761</w:t>
            </w:r>
          </w:p>
        </w:tc>
        <w:tc>
          <w:tcPr>
            <w:tcW w:w="1924" w:type="dxa"/>
            <w:vAlign w:val="center"/>
          </w:tcPr>
          <w:p w:rsidR="00255DFB" w:rsidRDefault="00D57DA7">
            <w:pPr>
              <w:jc w:val="right"/>
            </w:pPr>
            <w:r>
              <w:rPr>
                <w:color w:val="000000"/>
                <w:sz w:val="24"/>
                <w:szCs w:val="24"/>
              </w:rPr>
              <w:t>16,180,908.48</w:t>
            </w:r>
          </w:p>
        </w:tc>
        <w:tc>
          <w:tcPr>
            <w:tcW w:w="1644" w:type="dxa"/>
            <w:vAlign w:val="center"/>
          </w:tcPr>
          <w:p w:rsidR="00255DFB" w:rsidRDefault="00D57DA7">
            <w:pPr>
              <w:jc w:val="right"/>
            </w:pPr>
            <w:r>
              <w:rPr>
                <w:color w:val="000000"/>
                <w:sz w:val="24"/>
                <w:szCs w:val="24"/>
              </w:rPr>
              <w:t>9.75</w:t>
            </w:r>
          </w:p>
        </w:tc>
      </w:tr>
      <w:tr w:rsidR="00255DFB">
        <w:trPr>
          <w:jc w:val="center"/>
        </w:trPr>
        <w:tc>
          <w:tcPr>
            <w:tcW w:w="855" w:type="dxa"/>
            <w:vAlign w:val="center"/>
          </w:tcPr>
          <w:p w:rsidR="00255DFB" w:rsidRDefault="00D57DA7">
            <w:pPr>
              <w:jc w:val="center"/>
            </w:pPr>
            <w:r>
              <w:rPr>
                <w:color w:val="000000"/>
                <w:sz w:val="24"/>
                <w:szCs w:val="24"/>
              </w:rPr>
              <w:t>2</w:t>
            </w:r>
          </w:p>
        </w:tc>
        <w:tc>
          <w:tcPr>
            <w:tcW w:w="1334" w:type="dxa"/>
            <w:vAlign w:val="center"/>
          </w:tcPr>
          <w:p w:rsidR="00255DFB" w:rsidRDefault="00D57DA7">
            <w:pPr>
              <w:jc w:val="center"/>
            </w:pPr>
            <w:r>
              <w:rPr>
                <w:color w:val="000000"/>
                <w:sz w:val="24"/>
                <w:szCs w:val="24"/>
              </w:rPr>
              <w:t>002152</w:t>
            </w:r>
          </w:p>
        </w:tc>
        <w:tc>
          <w:tcPr>
            <w:tcW w:w="1777" w:type="dxa"/>
            <w:vAlign w:val="center"/>
          </w:tcPr>
          <w:p w:rsidR="00255DFB" w:rsidRDefault="00D57DA7">
            <w:pPr>
              <w:jc w:val="center"/>
            </w:pPr>
            <w:r>
              <w:rPr>
                <w:color w:val="000000"/>
                <w:sz w:val="24"/>
                <w:szCs w:val="24"/>
              </w:rPr>
              <w:t>广电运通</w:t>
            </w:r>
          </w:p>
        </w:tc>
        <w:tc>
          <w:tcPr>
            <w:tcW w:w="1334" w:type="dxa"/>
            <w:vAlign w:val="center"/>
          </w:tcPr>
          <w:p w:rsidR="00255DFB" w:rsidRDefault="00D57DA7">
            <w:pPr>
              <w:jc w:val="right"/>
            </w:pPr>
            <w:r>
              <w:rPr>
                <w:color w:val="000000"/>
                <w:sz w:val="24"/>
                <w:szCs w:val="24"/>
              </w:rPr>
              <w:t>304,600</w:t>
            </w:r>
          </w:p>
        </w:tc>
        <w:tc>
          <w:tcPr>
            <w:tcW w:w="1924" w:type="dxa"/>
            <w:vAlign w:val="center"/>
          </w:tcPr>
          <w:p w:rsidR="00255DFB" w:rsidRDefault="00D57DA7">
            <w:pPr>
              <w:jc w:val="right"/>
            </w:pPr>
            <w:r>
              <w:rPr>
                <w:color w:val="000000"/>
                <w:sz w:val="24"/>
                <w:szCs w:val="24"/>
              </w:rPr>
              <w:t>7,273,848.00</w:t>
            </w:r>
          </w:p>
        </w:tc>
        <w:tc>
          <w:tcPr>
            <w:tcW w:w="1644" w:type="dxa"/>
            <w:vAlign w:val="center"/>
          </w:tcPr>
          <w:p w:rsidR="00255DFB" w:rsidRDefault="00D57DA7">
            <w:pPr>
              <w:jc w:val="right"/>
            </w:pPr>
            <w:r>
              <w:rPr>
                <w:color w:val="000000"/>
                <w:sz w:val="24"/>
                <w:szCs w:val="24"/>
              </w:rPr>
              <w:t>4.38</w:t>
            </w:r>
          </w:p>
        </w:tc>
      </w:tr>
      <w:tr w:rsidR="00255DFB">
        <w:trPr>
          <w:jc w:val="center"/>
        </w:trPr>
        <w:tc>
          <w:tcPr>
            <w:tcW w:w="855" w:type="dxa"/>
            <w:vAlign w:val="center"/>
          </w:tcPr>
          <w:p w:rsidR="00255DFB" w:rsidRDefault="00D57DA7">
            <w:pPr>
              <w:jc w:val="center"/>
            </w:pPr>
            <w:r>
              <w:rPr>
                <w:color w:val="000000"/>
                <w:sz w:val="24"/>
                <w:szCs w:val="24"/>
              </w:rPr>
              <w:t>3</w:t>
            </w:r>
          </w:p>
        </w:tc>
        <w:tc>
          <w:tcPr>
            <w:tcW w:w="1334" w:type="dxa"/>
            <w:vAlign w:val="center"/>
          </w:tcPr>
          <w:p w:rsidR="00255DFB" w:rsidRDefault="00D57DA7">
            <w:pPr>
              <w:jc w:val="center"/>
            </w:pPr>
            <w:r>
              <w:rPr>
                <w:color w:val="000000"/>
                <w:sz w:val="24"/>
                <w:szCs w:val="24"/>
              </w:rPr>
              <w:t>300336</w:t>
            </w:r>
          </w:p>
        </w:tc>
        <w:tc>
          <w:tcPr>
            <w:tcW w:w="1777" w:type="dxa"/>
            <w:vAlign w:val="center"/>
          </w:tcPr>
          <w:p w:rsidR="00255DFB" w:rsidRDefault="00D57DA7">
            <w:pPr>
              <w:jc w:val="center"/>
            </w:pPr>
            <w:r>
              <w:rPr>
                <w:color w:val="000000"/>
                <w:sz w:val="24"/>
                <w:szCs w:val="24"/>
              </w:rPr>
              <w:t>新文化</w:t>
            </w:r>
          </w:p>
        </w:tc>
        <w:tc>
          <w:tcPr>
            <w:tcW w:w="1334" w:type="dxa"/>
            <w:vAlign w:val="center"/>
          </w:tcPr>
          <w:p w:rsidR="00255DFB" w:rsidRDefault="00D57DA7">
            <w:pPr>
              <w:jc w:val="right"/>
            </w:pPr>
            <w:r>
              <w:rPr>
                <w:color w:val="000000"/>
                <w:sz w:val="24"/>
                <w:szCs w:val="24"/>
              </w:rPr>
              <w:t>180,000</w:t>
            </w:r>
          </w:p>
        </w:tc>
        <w:tc>
          <w:tcPr>
            <w:tcW w:w="1924" w:type="dxa"/>
            <w:vAlign w:val="center"/>
          </w:tcPr>
          <w:p w:rsidR="00255DFB" w:rsidRDefault="00D57DA7">
            <w:pPr>
              <w:jc w:val="right"/>
            </w:pPr>
            <w:r>
              <w:rPr>
                <w:color w:val="000000"/>
                <w:sz w:val="24"/>
                <w:szCs w:val="24"/>
              </w:rPr>
              <w:t>5,513,400.00</w:t>
            </w:r>
          </w:p>
        </w:tc>
        <w:tc>
          <w:tcPr>
            <w:tcW w:w="1644" w:type="dxa"/>
            <w:vAlign w:val="center"/>
          </w:tcPr>
          <w:p w:rsidR="00255DFB" w:rsidRDefault="00D57DA7">
            <w:pPr>
              <w:jc w:val="right"/>
            </w:pPr>
            <w:r>
              <w:rPr>
                <w:color w:val="000000"/>
                <w:sz w:val="24"/>
                <w:szCs w:val="24"/>
              </w:rPr>
              <w:t>3.32</w:t>
            </w:r>
          </w:p>
        </w:tc>
      </w:tr>
      <w:tr w:rsidR="00255DFB">
        <w:trPr>
          <w:jc w:val="center"/>
        </w:trPr>
        <w:tc>
          <w:tcPr>
            <w:tcW w:w="855" w:type="dxa"/>
            <w:vAlign w:val="center"/>
          </w:tcPr>
          <w:p w:rsidR="00255DFB" w:rsidRDefault="00D57DA7">
            <w:pPr>
              <w:jc w:val="center"/>
            </w:pPr>
            <w:r>
              <w:rPr>
                <w:color w:val="000000"/>
                <w:sz w:val="24"/>
                <w:szCs w:val="24"/>
              </w:rPr>
              <w:t>4</w:t>
            </w:r>
          </w:p>
        </w:tc>
        <w:tc>
          <w:tcPr>
            <w:tcW w:w="1334" w:type="dxa"/>
            <w:vAlign w:val="center"/>
          </w:tcPr>
          <w:p w:rsidR="00255DFB" w:rsidRDefault="00D57DA7">
            <w:pPr>
              <w:jc w:val="center"/>
            </w:pPr>
            <w:r>
              <w:rPr>
                <w:color w:val="000000"/>
                <w:sz w:val="24"/>
                <w:szCs w:val="24"/>
              </w:rPr>
              <w:t>002188</w:t>
            </w:r>
          </w:p>
        </w:tc>
        <w:tc>
          <w:tcPr>
            <w:tcW w:w="1777" w:type="dxa"/>
            <w:vAlign w:val="center"/>
          </w:tcPr>
          <w:p w:rsidR="00255DFB" w:rsidRDefault="00D57DA7">
            <w:pPr>
              <w:jc w:val="center"/>
            </w:pPr>
            <w:r>
              <w:rPr>
                <w:color w:val="000000"/>
                <w:sz w:val="24"/>
                <w:szCs w:val="24"/>
              </w:rPr>
              <w:t>巴士在线</w:t>
            </w:r>
          </w:p>
        </w:tc>
        <w:tc>
          <w:tcPr>
            <w:tcW w:w="1334" w:type="dxa"/>
            <w:vAlign w:val="center"/>
          </w:tcPr>
          <w:p w:rsidR="00255DFB" w:rsidRDefault="00D57DA7">
            <w:pPr>
              <w:jc w:val="right"/>
            </w:pPr>
            <w:r>
              <w:rPr>
                <w:color w:val="000000"/>
                <w:sz w:val="24"/>
                <w:szCs w:val="24"/>
              </w:rPr>
              <w:t>156,200</w:t>
            </w:r>
          </w:p>
        </w:tc>
        <w:tc>
          <w:tcPr>
            <w:tcW w:w="1924" w:type="dxa"/>
            <w:vAlign w:val="center"/>
          </w:tcPr>
          <w:p w:rsidR="00255DFB" w:rsidRDefault="00D57DA7">
            <w:pPr>
              <w:jc w:val="right"/>
            </w:pPr>
            <w:r>
              <w:rPr>
                <w:color w:val="000000"/>
                <w:sz w:val="24"/>
                <w:szCs w:val="24"/>
              </w:rPr>
              <w:t>5,234,262.00</w:t>
            </w:r>
          </w:p>
        </w:tc>
        <w:tc>
          <w:tcPr>
            <w:tcW w:w="1644" w:type="dxa"/>
            <w:vAlign w:val="center"/>
          </w:tcPr>
          <w:p w:rsidR="00255DFB" w:rsidRDefault="00D57DA7">
            <w:pPr>
              <w:jc w:val="right"/>
            </w:pPr>
            <w:r>
              <w:rPr>
                <w:color w:val="000000"/>
                <w:sz w:val="24"/>
                <w:szCs w:val="24"/>
              </w:rPr>
              <w:t>3.15</w:t>
            </w:r>
          </w:p>
        </w:tc>
      </w:tr>
      <w:tr w:rsidR="00255DFB">
        <w:trPr>
          <w:jc w:val="center"/>
        </w:trPr>
        <w:tc>
          <w:tcPr>
            <w:tcW w:w="855" w:type="dxa"/>
            <w:vAlign w:val="center"/>
          </w:tcPr>
          <w:p w:rsidR="00255DFB" w:rsidRDefault="00D57DA7">
            <w:pPr>
              <w:jc w:val="center"/>
            </w:pPr>
            <w:r>
              <w:rPr>
                <w:color w:val="000000"/>
                <w:sz w:val="24"/>
                <w:szCs w:val="24"/>
              </w:rPr>
              <w:t>5</w:t>
            </w:r>
          </w:p>
        </w:tc>
        <w:tc>
          <w:tcPr>
            <w:tcW w:w="1334" w:type="dxa"/>
            <w:vAlign w:val="center"/>
          </w:tcPr>
          <w:p w:rsidR="00255DFB" w:rsidRDefault="00D57DA7">
            <w:pPr>
              <w:jc w:val="center"/>
            </w:pPr>
            <w:r>
              <w:rPr>
                <w:color w:val="000000"/>
                <w:sz w:val="24"/>
                <w:szCs w:val="24"/>
              </w:rPr>
              <w:t>002508</w:t>
            </w:r>
          </w:p>
        </w:tc>
        <w:tc>
          <w:tcPr>
            <w:tcW w:w="1777" w:type="dxa"/>
            <w:vAlign w:val="center"/>
          </w:tcPr>
          <w:p w:rsidR="00255DFB" w:rsidRDefault="00D57DA7">
            <w:pPr>
              <w:jc w:val="center"/>
            </w:pPr>
            <w:r>
              <w:rPr>
                <w:color w:val="000000"/>
                <w:sz w:val="24"/>
                <w:szCs w:val="24"/>
              </w:rPr>
              <w:t>老板电器</w:t>
            </w:r>
          </w:p>
        </w:tc>
        <w:tc>
          <w:tcPr>
            <w:tcW w:w="1334" w:type="dxa"/>
            <w:vAlign w:val="center"/>
          </w:tcPr>
          <w:p w:rsidR="00255DFB" w:rsidRDefault="00D57DA7">
            <w:pPr>
              <w:jc w:val="right"/>
            </w:pPr>
            <w:r>
              <w:rPr>
                <w:color w:val="000000"/>
                <w:sz w:val="24"/>
                <w:szCs w:val="24"/>
              </w:rPr>
              <w:t>104,159</w:t>
            </w:r>
          </w:p>
        </w:tc>
        <w:tc>
          <w:tcPr>
            <w:tcW w:w="1924" w:type="dxa"/>
            <w:vAlign w:val="center"/>
          </w:tcPr>
          <w:p w:rsidR="00255DFB" w:rsidRDefault="00D57DA7">
            <w:pPr>
              <w:jc w:val="right"/>
            </w:pPr>
            <w:r>
              <w:rPr>
                <w:color w:val="000000"/>
                <w:sz w:val="24"/>
                <w:szCs w:val="24"/>
              </w:rPr>
              <w:t>4,790,272.41</w:t>
            </w:r>
          </w:p>
        </w:tc>
        <w:tc>
          <w:tcPr>
            <w:tcW w:w="1644" w:type="dxa"/>
            <w:vAlign w:val="center"/>
          </w:tcPr>
          <w:p w:rsidR="00255DFB" w:rsidRDefault="00D57DA7">
            <w:pPr>
              <w:jc w:val="right"/>
            </w:pPr>
            <w:r>
              <w:rPr>
                <w:color w:val="000000"/>
                <w:sz w:val="24"/>
                <w:szCs w:val="24"/>
              </w:rPr>
              <w:t>2.89</w:t>
            </w:r>
          </w:p>
        </w:tc>
      </w:tr>
      <w:tr w:rsidR="00255DFB">
        <w:trPr>
          <w:jc w:val="center"/>
        </w:trPr>
        <w:tc>
          <w:tcPr>
            <w:tcW w:w="855" w:type="dxa"/>
            <w:vAlign w:val="center"/>
          </w:tcPr>
          <w:p w:rsidR="00255DFB" w:rsidRDefault="00D57DA7">
            <w:pPr>
              <w:jc w:val="center"/>
            </w:pPr>
            <w:r>
              <w:rPr>
                <w:color w:val="000000"/>
                <w:sz w:val="24"/>
                <w:szCs w:val="24"/>
              </w:rPr>
              <w:t>6</w:t>
            </w:r>
          </w:p>
        </w:tc>
        <w:tc>
          <w:tcPr>
            <w:tcW w:w="1334" w:type="dxa"/>
            <w:vAlign w:val="center"/>
          </w:tcPr>
          <w:p w:rsidR="00255DFB" w:rsidRDefault="00D57DA7">
            <w:pPr>
              <w:jc w:val="center"/>
            </w:pPr>
            <w:r>
              <w:rPr>
                <w:color w:val="000000"/>
                <w:sz w:val="24"/>
                <w:szCs w:val="24"/>
              </w:rPr>
              <w:t>600257</w:t>
            </w:r>
          </w:p>
        </w:tc>
        <w:tc>
          <w:tcPr>
            <w:tcW w:w="1777" w:type="dxa"/>
            <w:vAlign w:val="center"/>
          </w:tcPr>
          <w:p w:rsidR="00255DFB" w:rsidRDefault="00D57DA7">
            <w:pPr>
              <w:jc w:val="center"/>
            </w:pPr>
            <w:r>
              <w:rPr>
                <w:color w:val="000000"/>
                <w:sz w:val="24"/>
                <w:szCs w:val="24"/>
              </w:rPr>
              <w:t>大湖股份</w:t>
            </w:r>
          </w:p>
        </w:tc>
        <w:tc>
          <w:tcPr>
            <w:tcW w:w="1334" w:type="dxa"/>
            <w:vAlign w:val="center"/>
          </w:tcPr>
          <w:p w:rsidR="00255DFB" w:rsidRDefault="00D57DA7">
            <w:pPr>
              <w:jc w:val="right"/>
            </w:pPr>
            <w:r>
              <w:rPr>
                <w:color w:val="000000"/>
                <w:sz w:val="24"/>
                <w:szCs w:val="24"/>
              </w:rPr>
              <w:t>403,400</w:t>
            </w:r>
          </w:p>
        </w:tc>
        <w:tc>
          <w:tcPr>
            <w:tcW w:w="1924" w:type="dxa"/>
            <w:vAlign w:val="center"/>
          </w:tcPr>
          <w:p w:rsidR="00255DFB" w:rsidRDefault="00D57DA7">
            <w:pPr>
              <w:jc w:val="right"/>
            </w:pPr>
            <w:r>
              <w:rPr>
                <w:color w:val="000000"/>
                <w:sz w:val="24"/>
                <w:szCs w:val="24"/>
              </w:rPr>
              <w:t>4,639,100.00</w:t>
            </w:r>
          </w:p>
        </w:tc>
        <w:tc>
          <w:tcPr>
            <w:tcW w:w="1644" w:type="dxa"/>
            <w:vAlign w:val="center"/>
          </w:tcPr>
          <w:p w:rsidR="00255DFB" w:rsidRDefault="00D57DA7">
            <w:pPr>
              <w:jc w:val="right"/>
            </w:pPr>
            <w:r>
              <w:rPr>
                <w:color w:val="000000"/>
                <w:sz w:val="24"/>
                <w:szCs w:val="24"/>
              </w:rPr>
              <w:t>2.79</w:t>
            </w:r>
          </w:p>
        </w:tc>
      </w:tr>
      <w:tr w:rsidR="00255DFB">
        <w:trPr>
          <w:jc w:val="center"/>
        </w:trPr>
        <w:tc>
          <w:tcPr>
            <w:tcW w:w="855" w:type="dxa"/>
            <w:vAlign w:val="center"/>
          </w:tcPr>
          <w:p w:rsidR="00255DFB" w:rsidRDefault="00D57DA7">
            <w:pPr>
              <w:jc w:val="center"/>
            </w:pPr>
            <w:r>
              <w:rPr>
                <w:color w:val="000000"/>
                <w:sz w:val="24"/>
                <w:szCs w:val="24"/>
              </w:rPr>
              <w:t>7</w:t>
            </w:r>
          </w:p>
        </w:tc>
        <w:tc>
          <w:tcPr>
            <w:tcW w:w="1334" w:type="dxa"/>
            <w:vAlign w:val="center"/>
          </w:tcPr>
          <w:p w:rsidR="00255DFB" w:rsidRDefault="00D57DA7">
            <w:pPr>
              <w:jc w:val="center"/>
            </w:pPr>
            <w:r>
              <w:rPr>
                <w:color w:val="000000"/>
                <w:sz w:val="24"/>
                <w:szCs w:val="24"/>
              </w:rPr>
              <w:t>600547</w:t>
            </w:r>
          </w:p>
        </w:tc>
        <w:tc>
          <w:tcPr>
            <w:tcW w:w="1777" w:type="dxa"/>
            <w:vAlign w:val="center"/>
          </w:tcPr>
          <w:p w:rsidR="00255DFB" w:rsidRDefault="00D57DA7">
            <w:pPr>
              <w:jc w:val="center"/>
            </w:pPr>
            <w:r>
              <w:rPr>
                <w:color w:val="000000"/>
                <w:sz w:val="24"/>
                <w:szCs w:val="24"/>
              </w:rPr>
              <w:t>山东黄金</w:t>
            </w:r>
          </w:p>
        </w:tc>
        <w:tc>
          <w:tcPr>
            <w:tcW w:w="1334" w:type="dxa"/>
            <w:vAlign w:val="center"/>
          </w:tcPr>
          <w:p w:rsidR="00255DFB" w:rsidRDefault="00D57DA7">
            <w:pPr>
              <w:jc w:val="right"/>
            </w:pPr>
            <w:r>
              <w:rPr>
                <w:color w:val="000000"/>
                <w:sz w:val="24"/>
                <w:szCs w:val="24"/>
              </w:rPr>
              <w:t>169,000</w:t>
            </w:r>
          </w:p>
        </w:tc>
        <w:tc>
          <w:tcPr>
            <w:tcW w:w="1924" w:type="dxa"/>
            <w:vAlign w:val="center"/>
          </w:tcPr>
          <w:p w:rsidR="00255DFB" w:rsidRDefault="00D57DA7">
            <w:pPr>
              <w:jc w:val="right"/>
            </w:pPr>
            <w:r>
              <w:rPr>
                <w:color w:val="000000"/>
                <w:sz w:val="24"/>
                <w:szCs w:val="24"/>
              </w:rPr>
              <w:t>4,443,010.00</w:t>
            </w:r>
          </w:p>
        </w:tc>
        <w:tc>
          <w:tcPr>
            <w:tcW w:w="1644" w:type="dxa"/>
            <w:vAlign w:val="center"/>
          </w:tcPr>
          <w:p w:rsidR="00255DFB" w:rsidRDefault="00D57DA7">
            <w:pPr>
              <w:jc w:val="right"/>
            </w:pPr>
            <w:r>
              <w:rPr>
                <w:color w:val="000000"/>
                <w:sz w:val="24"/>
                <w:szCs w:val="24"/>
              </w:rPr>
              <w:t>2.68</w:t>
            </w:r>
          </w:p>
        </w:tc>
      </w:tr>
      <w:tr w:rsidR="00255DFB">
        <w:trPr>
          <w:jc w:val="center"/>
        </w:trPr>
        <w:tc>
          <w:tcPr>
            <w:tcW w:w="855" w:type="dxa"/>
            <w:vAlign w:val="center"/>
          </w:tcPr>
          <w:p w:rsidR="00255DFB" w:rsidRDefault="00D57DA7">
            <w:pPr>
              <w:jc w:val="center"/>
            </w:pPr>
            <w:r>
              <w:rPr>
                <w:color w:val="000000"/>
                <w:sz w:val="24"/>
                <w:szCs w:val="24"/>
              </w:rPr>
              <w:t>8</w:t>
            </w:r>
          </w:p>
        </w:tc>
        <w:tc>
          <w:tcPr>
            <w:tcW w:w="1334" w:type="dxa"/>
            <w:vAlign w:val="center"/>
          </w:tcPr>
          <w:p w:rsidR="00255DFB" w:rsidRDefault="00D57DA7">
            <w:pPr>
              <w:jc w:val="center"/>
            </w:pPr>
            <w:r>
              <w:rPr>
                <w:color w:val="000000"/>
                <w:sz w:val="24"/>
                <w:szCs w:val="24"/>
              </w:rPr>
              <w:t>600489</w:t>
            </w:r>
          </w:p>
        </w:tc>
        <w:tc>
          <w:tcPr>
            <w:tcW w:w="1777" w:type="dxa"/>
            <w:vAlign w:val="center"/>
          </w:tcPr>
          <w:p w:rsidR="00255DFB" w:rsidRDefault="00D57DA7">
            <w:pPr>
              <w:jc w:val="center"/>
            </w:pPr>
            <w:r>
              <w:rPr>
                <w:color w:val="000000"/>
                <w:sz w:val="24"/>
                <w:szCs w:val="24"/>
              </w:rPr>
              <w:t>中金黄金</w:t>
            </w:r>
          </w:p>
        </w:tc>
        <w:tc>
          <w:tcPr>
            <w:tcW w:w="1334" w:type="dxa"/>
            <w:vAlign w:val="center"/>
          </w:tcPr>
          <w:p w:rsidR="00255DFB" w:rsidRDefault="00D57DA7">
            <w:pPr>
              <w:jc w:val="right"/>
            </w:pPr>
            <w:r>
              <w:rPr>
                <w:color w:val="000000"/>
                <w:sz w:val="24"/>
                <w:szCs w:val="24"/>
              </w:rPr>
              <w:t>413,500</w:t>
            </w:r>
          </w:p>
        </w:tc>
        <w:tc>
          <w:tcPr>
            <w:tcW w:w="1924" w:type="dxa"/>
            <w:vAlign w:val="center"/>
          </w:tcPr>
          <w:p w:rsidR="00255DFB" w:rsidRDefault="00D57DA7">
            <w:pPr>
              <w:jc w:val="right"/>
            </w:pPr>
            <w:r>
              <w:rPr>
                <w:color w:val="000000"/>
                <w:sz w:val="24"/>
                <w:szCs w:val="24"/>
              </w:rPr>
              <w:t>4,432,720.00</w:t>
            </w:r>
          </w:p>
        </w:tc>
        <w:tc>
          <w:tcPr>
            <w:tcW w:w="1644" w:type="dxa"/>
            <w:vAlign w:val="center"/>
          </w:tcPr>
          <w:p w:rsidR="00255DFB" w:rsidRDefault="00D57DA7">
            <w:pPr>
              <w:jc w:val="right"/>
            </w:pPr>
            <w:r>
              <w:rPr>
                <w:color w:val="000000"/>
                <w:sz w:val="24"/>
                <w:szCs w:val="24"/>
              </w:rPr>
              <w:t>2.67</w:t>
            </w:r>
          </w:p>
        </w:tc>
      </w:tr>
      <w:tr w:rsidR="00255DFB">
        <w:trPr>
          <w:jc w:val="center"/>
        </w:trPr>
        <w:tc>
          <w:tcPr>
            <w:tcW w:w="855" w:type="dxa"/>
            <w:vAlign w:val="center"/>
          </w:tcPr>
          <w:p w:rsidR="00255DFB" w:rsidRDefault="00D57DA7">
            <w:pPr>
              <w:jc w:val="center"/>
            </w:pPr>
            <w:r>
              <w:rPr>
                <w:color w:val="000000"/>
                <w:sz w:val="24"/>
                <w:szCs w:val="24"/>
              </w:rPr>
              <w:t>9</w:t>
            </w:r>
          </w:p>
        </w:tc>
        <w:tc>
          <w:tcPr>
            <w:tcW w:w="1334" w:type="dxa"/>
            <w:vAlign w:val="center"/>
          </w:tcPr>
          <w:p w:rsidR="00255DFB" w:rsidRDefault="00D57DA7">
            <w:pPr>
              <w:jc w:val="center"/>
            </w:pPr>
            <w:r>
              <w:rPr>
                <w:color w:val="000000"/>
                <w:sz w:val="24"/>
                <w:szCs w:val="24"/>
              </w:rPr>
              <w:t>600661</w:t>
            </w:r>
          </w:p>
        </w:tc>
        <w:tc>
          <w:tcPr>
            <w:tcW w:w="1777" w:type="dxa"/>
            <w:vAlign w:val="center"/>
          </w:tcPr>
          <w:p w:rsidR="00255DFB" w:rsidRDefault="00D57DA7">
            <w:pPr>
              <w:jc w:val="center"/>
            </w:pPr>
            <w:r>
              <w:rPr>
                <w:color w:val="000000"/>
                <w:sz w:val="24"/>
                <w:szCs w:val="24"/>
              </w:rPr>
              <w:t>新南洋</w:t>
            </w:r>
          </w:p>
        </w:tc>
        <w:tc>
          <w:tcPr>
            <w:tcW w:w="1334" w:type="dxa"/>
            <w:vAlign w:val="center"/>
          </w:tcPr>
          <w:p w:rsidR="00255DFB" w:rsidRDefault="00D57DA7">
            <w:pPr>
              <w:jc w:val="right"/>
            </w:pPr>
            <w:r>
              <w:rPr>
                <w:color w:val="000000"/>
                <w:sz w:val="24"/>
                <w:szCs w:val="24"/>
              </w:rPr>
              <w:t>136,500</w:t>
            </w:r>
          </w:p>
        </w:tc>
        <w:tc>
          <w:tcPr>
            <w:tcW w:w="1924" w:type="dxa"/>
            <w:vAlign w:val="center"/>
          </w:tcPr>
          <w:p w:rsidR="00255DFB" w:rsidRDefault="00D57DA7">
            <w:pPr>
              <w:jc w:val="right"/>
            </w:pPr>
            <w:r>
              <w:rPr>
                <w:color w:val="000000"/>
                <w:sz w:val="24"/>
                <w:szCs w:val="24"/>
              </w:rPr>
              <w:t>4,344,795.00</w:t>
            </w:r>
          </w:p>
        </w:tc>
        <w:tc>
          <w:tcPr>
            <w:tcW w:w="1644" w:type="dxa"/>
            <w:vAlign w:val="center"/>
          </w:tcPr>
          <w:p w:rsidR="00255DFB" w:rsidRDefault="00D57DA7">
            <w:pPr>
              <w:jc w:val="right"/>
            </w:pPr>
            <w:r>
              <w:rPr>
                <w:color w:val="000000"/>
                <w:sz w:val="24"/>
                <w:szCs w:val="24"/>
              </w:rPr>
              <w:t>2.62</w:t>
            </w:r>
          </w:p>
        </w:tc>
      </w:tr>
      <w:tr w:rsidR="00255DFB">
        <w:trPr>
          <w:jc w:val="center"/>
        </w:trPr>
        <w:tc>
          <w:tcPr>
            <w:tcW w:w="855" w:type="dxa"/>
            <w:vAlign w:val="center"/>
          </w:tcPr>
          <w:p w:rsidR="00255DFB" w:rsidRDefault="00D57DA7">
            <w:pPr>
              <w:jc w:val="center"/>
            </w:pPr>
            <w:r>
              <w:rPr>
                <w:color w:val="000000"/>
                <w:sz w:val="24"/>
                <w:szCs w:val="24"/>
              </w:rPr>
              <w:t>10</w:t>
            </w:r>
          </w:p>
        </w:tc>
        <w:tc>
          <w:tcPr>
            <w:tcW w:w="1334" w:type="dxa"/>
            <w:vAlign w:val="center"/>
          </w:tcPr>
          <w:p w:rsidR="00255DFB" w:rsidRDefault="00D57DA7">
            <w:pPr>
              <w:jc w:val="center"/>
            </w:pPr>
            <w:r>
              <w:rPr>
                <w:color w:val="000000"/>
                <w:sz w:val="24"/>
                <w:szCs w:val="24"/>
              </w:rPr>
              <w:t>600497</w:t>
            </w:r>
          </w:p>
        </w:tc>
        <w:tc>
          <w:tcPr>
            <w:tcW w:w="1777" w:type="dxa"/>
            <w:vAlign w:val="center"/>
          </w:tcPr>
          <w:p w:rsidR="00255DFB" w:rsidRDefault="00D57DA7">
            <w:pPr>
              <w:jc w:val="center"/>
            </w:pPr>
            <w:r>
              <w:rPr>
                <w:color w:val="000000"/>
                <w:sz w:val="24"/>
                <w:szCs w:val="24"/>
              </w:rPr>
              <w:t>驰宏锌锗</w:t>
            </w:r>
          </w:p>
        </w:tc>
        <w:tc>
          <w:tcPr>
            <w:tcW w:w="1334" w:type="dxa"/>
            <w:vAlign w:val="center"/>
          </w:tcPr>
          <w:p w:rsidR="00255DFB" w:rsidRDefault="00D57DA7">
            <w:pPr>
              <w:jc w:val="right"/>
            </w:pPr>
            <w:r>
              <w:rPr>
                <w:color w:val="000000"/>
                <w:sz w:val="24"/>
                <w:szCs w:val="24"/>
              </w:rPr>
              <w:t>379,700</w:t>
            </w:r>
          </w:p>
        </w:tc>
        <w:tc>
          <w:tcPr>
            <w:tcW w:w="1924" w:type="dxa"/>
            <w:vAlign w:val="center"/>
          </w:tcPr>
          <w:p w:rsidR="00255DFB" w:rsidRDefault="00D57DA7">
            <w:pPr>
              <w:jc w:val="right"/>
            </w:pPr>
            <w:r>
              <w:rPr>
                <w:color w:val="000000"/>
                <w:sz w:val="24"/>
                <w:szCs w:val="24"/>
              </w:rPr>
              <w:t>4,241,249.00</w:t>
            </w:r>
          </w:p>
        </w:tc>
        <w:tc>
          <w:tcPr>
            <w:tcW w:w="1644" w:type="dxa"/>
            <w:vAlign w:val="center"/>
          </w:tcPr>
          <w:p w:rsidR="00255DFB" w:rsidRDefault="00D57DA7">
            <w:pPr>
              <w:jc w:val="right"/>
            </w:pPr>
            <w:r>
              <w:rPr>
                <w:color w:val="000000"/>
                <w:sz w:val="24"/>
                <w:szCs w:val="24"/>
              </w:rPr>
              <w:t>2.56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8,083,200.00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18,091,200.00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55DFB">
        <w:trPr>
          <w:jc w:val="center"/>
        </w:trPr>
        <w:tc>
          <w:tcPr>
            <w:tcW w:w="850" w:type="dxa"/>
            <w:vAlign w:val="center"/>
          </w:tcPr>
          <w:p w:rsidR="00255DFB" w:rsidRDefault="00D57DA7">
            <w:pPr>
              <w:jc w:val="center"/>
            </w:pPr>
            <w:r>
              <w:rPr>
                <w:color w:val="000000"/>
                <w:sz w:val="24"/>
                <w:szCs w:val="24"/>
              </w:rPr>
              <w:t>1</w:t>
            </w:r>
          </w:p>
        </w:tc>
        <w:tc>
          <w:tcPr>
            <w:tcW w:w="1475" w:type="dxa"/>
            <w:vAlign w:val="center"/>
          </w:tcPr>
          <w:p w:rsidR="00255DFB" w:rsidRDefault="00D57DA7">
            <w:pPr>
              <w:jc w:val="center"/>
            </w:pPr>
            <w:r>
              <w:rPr>
                <w:color w:val="000000"/>
                <w:sz w:val="24"/>
                <w:szCs w:val="24"/>
              </w:rPr>
              <w:t>150211</w:t>
            </w:r>
          </w:p>
        </w:tc>
        <w:tc>
          <w:tcPr>
            <w:tcW w:w="1769" w:type="dxa"/>
            <w:vAlign w:val="center"/>
          </w:tcPr>
          <w:p w:rsidR="00255DFB" w:rsidRDefault="00D57DA7">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255DFB" w:rsidRDefault="00D57DA7">
            <w:pPr>
              <w:jc w:val="right"/>
            </w:pPr>
            <w:r>
              <w:rPr>
                <w:color w:val="000000"/>
                <w:sz w:val="24"/>
                <w:szCs w:val="24"/>
              </w:rPr>
              <w:t>100,000</w:t>
            </w:r>
          </w:p>
        </w:tc>
        <w:tc>
          <w:tcPr>
            <w:tcW w:w="2150" w:type="dxa"/>
            <w:vAlign w:val="center"/>
          </w:tcPr>
          <w:p w:rsidR="00255DFB" w:rsidRDefault="00D57DA7">
            <w:pPr>
              <w:jc w:val="right"/>
            </w:pPr>
            <w:r>
              <w:rPr>
                <w:color w:val="000000"/>
                <w:sz w:val="24"/>
                <w:szCs w:val="24"/>
              </w:rPr>
              <w:t>10,008,000.00</w:t>
            </w:r>
          </w:p>
        </w:tc>
        <w:tc>
          <w:tcPr>
            <w:tcW w:w="1237" w:type="dxa"/>
            <w:vAlign w:val="center"/>
          </w:tcPr>
          <w:p w:rsidR="00255DFB" w:rsidRDefault="00D57DA7">
            <w:pPr>
              <w:jc w:val="right"/>
            </w:pPr>
            <w:r>
              <w:rPr>
                <w:color w:val="000000"/>
                <w:sz w:val="24"/>
                <w:szCs w:val="24"/>
              </w:rPr>
              <w:t>6.03</w:t>
            </w:r>
          </w:p>
        </w:tc>
      </w:tr>
      <w:tr w:rsidR="00255DFB">
        <w:trPr>
          <w:jc w:val="center"/>
        </w:trPr>
        <w:tc>
          <w:tcPr>
            <w:tcW w:w="850" w:type="dxa"/>
            <w:vAlign w:val="center"/>
          </w:tcPr>
          <w:p w:rsidR="00255DFB" w:rsidRDefault="00D57DA7">
            <w:pPr>
              <w:jc w:val="center"/>
            </w:pPr>
            <w:r>
              <w:rPr>
                <w:color w:val="000000"/>
                <w:sz w:val="24"/>
                <w:szCs w:val="24"/>
              </w:rPr>
              <w:t>2</w:t>
            </w:r>
          </w:p>
        </w:tc>
        <w:tc>
          <w:tcPr>
            <w:tcW w:w="1475" w:type="dxa"/>
            <w:vAlign w:val="center"/>
          </w:tcPr>
          <w:p w:rsidR="00255DFB" w:rsidRDefault="00D57DA7">
            <w:pPr>
              <w:jc w:val="center"/>
            </w:pPr>
            <w:r>
              <w:rPr>
                <w:color w:val="000000"/>
                <w:sz w:val="24"/>
                <w:szCs w:val="24"/>
              </w:rPr>
              <w:t>122266</w:t>
            </w:r>
          </w:p>
        </w:tc>
        <w:tc>
          <w:tcPr>
            <w:tcW w:w="1769" w:type="dxa"/>
            <w:vAlign w:val="center"/>
          </w:tcPr>
          <w:p w:rsidR="00255DFB" w:rsidRDefault="00D57DA7">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255DFB" w:rsidRDefault="00D57DA7">
            <w:pPr>
              <w:jc w:val="right"/>
            </w:pPr>
            <w:r>
              <w:rPr>
                <w:color w:val="000000"/>
                <w:sz w:val="24"/>
                <w:szCs w:val="24"/>
              </w:rPr>
              <w:t>80,000</w:t>
            </w:r>
          </w:p>
        </w:tc>
        <w:tc>
          <w:tcPr>
            <w:tcW w:w="2150" w:type="dxa"/>
            <w:vAlign w:val="center"/>
          </w:tcPr>
          <w:p w:rsidR="00255DFB" w:rsidRDefault="00D57DA7">
            <w:pPr>
              <w:jc w:val="right"/>
            </w:pPr>
            <w:r>
              <w:rPr>
                <w:color w:val="000000"/>
                <w:sz w:val="24"/>
                <w:szCs w:val="24"/>
              </w:rPr>
              <w:t>8,083,200.00</w:t>
            </w:r>
          </w:p>
        </w:tc>
        <w:tc>
          <w:tcPr>
            <w:tcW w:w="1237" w:type="dxa"/>
            <w:vAlign w:val="center"/>
          </w:tcPr>
          <w:p w:rsidR="00255DFB" w:rsidRDefault="00D57DA7">
            <w:pPr>
              <w:jc w:val="right"/>
            </w:pPr>
            <w:r>
              <w:rPr>
                <w:color w:val="000000"/>
                <w:sz w:val="24"/>
                <w:szCs w:val="24"/>
              </w:rPr>
              <w:t>4.87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275,067.88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707,632.02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503,365.80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9,027.27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1,495,092.97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55DFB">
        <w:trPr>
          <w:jc w:val="center"/>
        </w:trPr>
        <w:tc>
          <w:tcPr>
            <w:tcW w:w="1129" w:type="dxa"/>
            <w:vAlign w:val="center"/>
          </w:tcPr>
          <w:p w:rsidR="00255DFB" w:rsidRDefault="00D57DA7">
            <w:pPr>
              <w:jc w:val="center"/>
            </w:pPr>
            <w:r>
              <w:rPr>
                <w:color w:val="000000"/>
                <w:sz w:val="24"/>
                <w:szCs w:val="24"/>
              </w:rPr>
              <w:t>1</w:t>
            </w:r>
          </w:p>
        </w:tc>
        <w:tc>
          <w:tcPr>
            <w:tcW w:w="1356" w:type="dxa"/>
            <w:vAlign w:val="center"/>
          </w:tcPr>
          <w:p w:rsidR="00255DFB" w:rsidRDefault="00D57DA7">
            <w:pPr>
              <w:jc w:val="center"/>
            </w:pPr>
            <w:r>
              <w:rPr>
                <w:color w:val="000000"/>
                <w:sz w:val="24"/>
                <w:szCs w:val="24"/>
              </w:rPr>
              <w:t>300336</w:t>
            </w:r>
          </w:p>
        </w:tc>
        <w:tc>
          <w:tcPr>
            <w:tcW w:w="1355" w:type="dxa"/>
            <w:vAlign w:val="center"/>
          </w:tcPr>
          <w:p w:rsidR="00255DFB" w:rsidRDefault="00D57DA7">
            <w:pPr>
              <w:jc w:val="center"/>
            </w:pPr>
            <w:r>
              <w:rPr>
                <w:color w:val="000000"/>
                <w:sz w:val="24"/>
                <w:szCs w:val="24"/>
              </w:rPr>
              <w:t>新文化</w:t>
            </w:r>
          </w:p>
        </w:tc>
        <w:tc>
          <w:tcPr>
            <w:tcW w:w="1880" w:type="dxa"/>
            <w:vAlign w:val="center"/>
          </w:tcPr>
          <w:p w:rsidR="00255DFB" w:rsidRDefault="00D57DA7">
            <w:pPr>
              <w:jc w:val="right"/>
            </w:pPr>
            <w:r>
              <w:rPr>
                <w:color w:val="000000"/>
                <w:sz w:val="24"/>
                <w:szCs w:val="24"/>
              </w:rPr>
              <w:t>5,513,400.00</w:t>
            </w:r>
          </w:p>
        </w:tc>
        <w:tc>
          <w:tcPr>
            <w:tcW w:w="1724" w:type="dxa"/>
            <w:vAlign w:val="center"/>
          </w:tcPr>
          <w:p w:rsidR="00255DFB" w:rsidRDefault="00763127">
            <w:pPr>
              <w:jc w:val="right"/>
            </w:pPr>
            <w:r>
              <w:rPr>
                <w:rFonts w:hint="eastAsia"/>
                <w:color w:val="000000"/>
                <w:sz w:val="24"/>
                <w:szCs w:val="24"/>
              </w:rPr>
              <w:t>3.32</w:t>
            </w:r>
          </w:p>
        </w:tc>
        <w:tc>
          <w:tcPr>
            <w:tcW w:w="1424" w:type="dxa"/>
            <w:vAlign w:val="center"/>
          </w:tcPr>
          <w:p w:rsidR="00255DFB" w:rsidRDefault="00D57DA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173,937,560.24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2,234,076.89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13,205,016.17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162,966,620.96</w:t>
            </w:r>
          </w:p>
        </w:tc>
      </w:tr>
    </w:tbl>
    <w:p w:rsidR="00255DFB" w:rsidRDefault="00D57DA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5340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D5340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55DFB" w:rsidRDefault="00D57DA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p>
    <w:p w:rsidR="00255DFB" w:rsidRDefault="00D57DA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、《交银施罗德策略回报灵活配置混合型证券投资基金基金合同》；</w:t>
      </w:r>
    </w:p>
    <w:p w:rsidR="00255DFB" w:rsidRDefault="00D57DA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、《交银施罗德策略回报灵活配置混合型证券投资基金招募说明书》；</w:t>
      </w:r>
    </w:p>
    <w:p w:rsidR="00255DFB" w:rsidRDefault="00D57DA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、《交银施罗德策略回报灵活配置混合型证券投资基金托管协议》；</w:t>
      </w:r>
    </w:p>
    <w:p w:rsidR="00255DFB" w:rsidRDefault="00D57DA7">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、《交银施罗德荣安保本混合型证券投资基金基金合同》；</w:t>
      </w:r>
    </w:p>
    <w:p w:rsidR="00255DFB" w:rsidRDefault="00D57DA7">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、《交银施罗德荣安保本混合型证券投资基金招募说明书》；</w:t>
      </w:r>
    </w:p>
    <w:p w:rsidR="00255DFB" w:rsidRDefault="00D57DA7">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、《交银施罗德荣安保本混合型证券投资基金托管协议》；</w:t>
      </w:r>
    </w:p>
    <w:p w:rsidR="00255DFB" w:rsidRDefault="00D57DA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r>
        <w:rPr>
          <w:color w:val="000000"/>
          <w:sz w:val="24"/>
          <w:szCs w:val="24"/>
        </w:rPr>
        <w:t xml:space="preserve"> </w:t>
      </w:r>
    </w:p>
    <w:p w:rsidR="00255DFB" w:rsidRDefault="00D57DA7">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255DFB" w:rsidRDefault="00D57DA7">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255DFB" w:rsidRDefault="00D57DA7">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、关于申请募集交银施罗德荣安保本混合型证券投资基金之法律意见书；</w:t>
      </w:r>
    </w:p>
    <w:p w:rsidR="00255DFB" w:rsidRDefault="00D57DA7">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、关于修改《交银施罗德荣安保本混合型证券投资基金基金合同》的法律意见；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、报告期内交银施罗德策略回报灵活配置混合型证券投资基金在指定报刊上各项公告的原稿。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55DFB" w:rsidRDefault="00D57DA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0B58E3">
      <w:rPr>
        <w:kern w:val="0"/>
        <w:szCs w:val="21"/>
      </w:rPr>
      <w:fldChar w:fldCharType="begin"/>
    </w:r>
    <w:r>
      <w:rPr>
        <w:kern w:val="0"/>
        <w:szCs w:val="21"/>
      </w:rPr>
      <w:instrText xml:space="preserve"> PAGE </w:instrText>
    </w:r>
    <w:r w:rsidR="000B58E3">
      <w:rPr>
        <w:kern w:val="0"/>
        <w:szCs w:val="21"/>
      </w:rPr>
      <w:fldChar w:fldCharType="separate"/>
    </w:r>
    <w:r w:rsidR="009A6701">
      <w:rPr>
        <w:noProof/>
        <w:kern w:val="0"/>
        <w:szCs w:val="21"/>
      </w:rPr>
      <w:t>3</w:t>
    </w:r>
    <w:r w:rsidR="000B58E3">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0B58E3">
      <w:rPr>
        <w:kern w:val="0"/>
        <w:szCs w:val="21"/>
      </w:rPr>
      <w:fldChar w:fldCharType="begin"/>
    </w:r>
    <w:r>
      <w:rPr>
        <w:kern w:val="0"/>
        <w:szCs w:val="21"/>
      </w:rPr>
      <w:instrText xml:space="preserve"> NUMPAGES </w:instrText>
    </w:r>
    <w:r w:rsidR="000B58E3">
      <w:rPr>
        <w:kern w:val="0"/>
        <w:szCs w:val="21"/>
      </w:rPr>
      <w:fldChar w:fldCharType="separate"/>
    </w:r>
    <w:r w:rsidR="009A6701">
      <w:rPr>
        <w:noProof/>
        <w:kern w:val="0"/>
        <w:szCs w:val="21"/>
      </w:rPr>
      <w:t>12</w:t>
    </w:r>
    <w:r w:rsidR="000B58E3">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8E3"/>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5DFB"/>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4C39"/>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3127"/>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6701"/>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1930"/>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2DA9"/>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340D"/>
    <w:rsid w:val="00D57B7C"/>
    <w:rsid w:val="00D57DA7"/>
    <w:rsid w:val="00D65B44"/>
    <w:rsid w:val="00D75E69"/>
    <w:rsid w:val="00D8099B"/>
    <w:rsid w:val="00D866A8"/>
    <w:rsid w:val="00D91E06"/>
    <w:rsid w:val="00D94B8D"/>
    <w:rsid w:val="00D96C8D"/>
    <w:rsid w:val="00D974EF"/>
    <w:rsid w:val="00DA0C61"/>
    <w:rsid w:val="00DA14B0"/>
    <w:rsid w:val="00DA2876"/>
    <w:rsid w:val="00DA66D0"/>
    <w:rsid w:val="00DB7EBD"/>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7526C2A-A3BB-4823-AB0E-583679F1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81483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DDE2-D74D-482D-9EBF-29A08A4D2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12</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2016-04-18T06:06:00Z</dcterms:modified>
</cp:coreProperties>
</file>