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交银施罗德先进制造混合型证券投资基金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二〇一六年四月二十日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742F0" w:rsidRDefault="00010F9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742F0" w:rsidRDefault="00010F9F">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742F0" w:rsidRDefault="00010F9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742F0" w:rsidRDefault="00010F9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742F0" w:rsidRDefault="00010F9F">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交银先进制造混合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529,905,937.81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本基金通过重点投资于与装备制造相关的优质企业，把握中国产业结构升级的投资机会，在控制风险并保持基金资产良好的流动性的前提下，力争实现基金资产的长期稳定增值。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本基金充分发挥基金管理人的研究优势，将严谨、规范化的选股方法与积极主动的投资风格相结合，自下而上挖掘与装备制造相关的上市公司投资机会，以谋求良好收益。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申银万国装备制造指数收益率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55DCF" w:rsidRPr="00414345" w:rsidTr="00455DC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455DCF" w:rsidRPr="00414345" w:rsidTr="00455DC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-160,944,710.91</w:t>
            </w:r>
          </w:p>
        </w:tc>
      </w:tr>
      <w:tr w:rsidR="00455DCF" w:rsidRPr="00414345" w:rsidTr="00455DC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-175,011,924.80</w:t>
            </w:r>
          </w:p>
        </w:tc>
      </w:tr>
      <w:tr w:rsidR="00455DCF" w:rsidRPr="00414345" w:rsidTr="00455DC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-0.3533</w:t>
            </w:r>
          </w:p>
        </w:tc>
      </w:tr>
      <w:tr w:rsidR="00455DCF" w:rsidRPr="00414345" w:rsidTr="00455DC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1,184,254,079.60</w:t>
            </w:r>
          </w:p>
        </w:tc>
      </w:tr>
      <w:tr w:rsidR="00455DCF" w:rsidRPr="00414345" w:rsidTr="00455DC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2.235</w:t>
            </w:r>
          </w:p>
        </w:tc>
      </w:tr>
    </w:tbl>
    <w:p w:rsidR="00A742F0" w:rsidRDefault="00010F9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7C0B2C">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742F0">
        <w:trPr>
          <w:jc w:val="center"/>
        </w:trPr>
        <w:tc>
          <w:tcPr>
            <w:tcW w:w="1701" w:type="dxa"/>
            <w:vAlign w:val="center"/>
          </w:tcPr>
          <w:p w:rsidR="00A742F0" w:rsidRDefault="00010F9F">
            <w:pPr>
              <w:jc w:val="left"/>
            </w:pPr>
            <w:r>
              <w:rPr>
                <w:color w:val="000000"/>
                <w:sz w:val="24"/>
                <w:szCs w:val="24"/>
              </w:rPr>
              <w:t>过去三个月</w:t>
            </w:r>
          </w:p>
        </w:tc>
        <w:tc>
          <w:tcPr>
            <w:tcW w:w="1045" w:type="dxa"/>
            <w:vAlign w:val="center"/>
          </w:tcPr>
          <w:p w:rsidR="00A742F0" w:rsidRDefault="00010F9F">
            <w:pPr>
              <w:jc w:val="center"/>
            </w:pPr>
            <w:r>
              <w:rPr>
                <w:color w:val="000000"/>
                <w:sz w:val="24"/>
                <w:szCs w:val="24"/>
              </w:rPr>
              <w:t>-15.31%</w:t>
            </w:r>
          </w:p>
        </w:tc>
        <w:tc>
          <w:tcPr>
            <w:tcW w:w="1344" w:type="dxa"/>
            <w:vAlign w:val="center"/>
          </w:tcPr>
          <w:p w:rsidR="00A742F0" w:rsidRDefault="00010F9F">
            <w:pPr>
              <w:jc w:val="center"/>
            </w:pPr>
            <w:r>
              <w:rPr>
                <w:color w:val="000000"/>
                <w:sz w:val="24"/>
                <w:szCs w:val="24"/>
              </w:rPr>
              <w:t>2.95%</w:t>
            </w:r>
          </w:p>
        </w:tc>
        <w:tc>
          <w:tcPr>
            <w:tcW w:w="1194" w:type="dxa"/>
            <w:vAlign w:val="center"/>
          </w:tcPr>
          <w:p w:rsidR="00A742F0" w:rsidRDefault="00010F9F">
            <w:pPr>
              <w:jc w:val="center"/>
            </w:pPr>
            <w:r>
              <w:rPr>
                <w:color w:val="000000"/>
                <w:sz w:val="24"/>
                <w:szCs w:val="24"/>
              </w:rPr>
              <w:t>-14.27%</w:t>
            </w:r>
          </w:p>
        </w:tc>
        <w:tc>
          <w:tcPr>
            <w:tcW w:w="1492" w:type="dxa"/>
            <w:vAlign w:val="center"/>
          </w:tcPr>
          <w:p w:rsidR="00A742F0" w:rsidRDefault="00010F9F">
            <w:pPr>
              <w:jc w:val="center"/>
            </w:pPr>
            <w:r>
              <w:rPr>
                <w:color w:val="000000"/>
                <w:sz w:val="24"/>
                <w:szCs w:val="24"/>
              </w:rPr>
              <w:t>2.46%</w:t>
            </w:r>
          </w:p>
        </w:tc>
        <w:tc>
          <w:tcPr>
            <w:tcW w:w="1194" w:type="dxa"/>
            <w:vAlign w:val="center"/>
          </w:tcPr>
          <w:p w:rsidR="00A742F0" w:rsidRDefault="00010F9F">
            <w:pPr>
              <w:jc w:val="center"/>
            </w:pPr>
            <w:r>
              <w:rPr>
                <w:color w:val="000000"/>
                <w:sz w:val="24"/>
                <w:szCs w:val="24"/>
              </w:rPr>
              <w:t>-1.04%</w:t>
            </w:r>
          </w:p>
        </w:tc>
        <w:tc>
          <w:tcPr>
            <w:tcW w:w="898" w:type="dxa"/>
            <w:vAlign w:val="center"/>
          </w:tcPr>
          <w:p w:rsidR="00A742F0" w:rsidRDefault="00010F9F">
            <w:pPr>
              <w:jc w:val="center"/>
            </w:pPr>
            <w:r>
              <w:rPr>
                <w:color w:val="000000"/>
                <w:sz w:val="24"/>
                <w:szCs w:val="24"/>
              </w:rPr>
              <w:t>0.49%</w:t>
            </w:r>
          </w:p>
        </w:tc>
      </w:tr>
    </w:tbl>
    <w:p w:rsidR="007C0B2C" w:rsidRDefault="007C0B2C" w:rsidP="007C0B2C">
      <w:pPr>
        <w:autoSpaceDE w:val="0"/>
        <w:autoSpaceDN w:val="0"/>
        <w:adjustRightInd w:val="0"/>
        <w:spacing w:before="29" w:line="288" w:lineRule="auto"/>
        <w:jc w:val="left"/>
        <w:rPr>
          <w:color w:val="000000"/>
          <w:sz w:val="24"/>
          <w:szCs w:val="24"/>
        </w:rPr>
      </w:pPr>
      <w:r>
        <w:rPr>
          <w:rFonts w:hint="eastAsia"/>
          <w:color w:val="000000"/>
          <w:sz w:val="24"/>
          <w:szCs w:val="24"/>
        </w:rPr>
        <w:t>注：本基金业绩比较基准自</w:t>
      </w:r>
      <w:r>
        <w:rPr>
          <w:color w:val="000000"/>
          <w:sz w:val="24"/>
          <w:szCs w:val="24"/>
        </w:rPr>
        <w:t>2015</w:t>
      </w:r>
      <w:r>
        <w:rPr>
          <w:rFonts w:hint="eastAsia"/>
          <w:color w:val="000000"/>
          <w:sz w:val="24"/>
          <w:szCs w:val="24"/>
        </w:rPr>
        <w:t>年</w:t>
      </w:r>
      <w:r>
        <w:rPr>
          <w:color w:val="000000"/>
          <w:sz w:val="24"/>
          <w:szCs w:val="24"/>
        </w:rPr>
        <w:t>10</w:t>
      </w:r>
      <w:r>
        <w:rPr>
          <w:rFonts w:hint="eastAsia"/>
          <w:color w:val="000000"/>
          <w:sz w:val="24"/>
          <w:szCs w:val="24"/>
        </w:rPr>
        <w:t>月</w:t>
      </w:r>
      <w:r>
        <w:rPr>
          <w:color w:val="000000"/>
          <w:sz w:val="24"/>
          <w:szCs w:val="24"/>
        </w:rPr>
        <w:t>1</w:t>
      </w:r>
      <w:r>
        <w:rPr>
          <w:rFonts w:hint="eastAsia"/>
          <w:color w:val="000000"/>
          <w:sz w:val="24"/>
          <w:szCs w:val="24"/>
        </w:rPr>
        <w:t>日起，由</w:t>
      </w:r>
      <w:r>
        <w:rPr>
          <w:color w:val="000000"/>
          <w:sz w:val="24"/>
          <w:szCs w:val="24"/>
        </w:rPr>
        <w:t>“75%×</w:t>
      </w:r>
      <w:r>
        <w:rPr>
          <w:rFonts w:hint="eastAsia"/>
          <w:color w:val="000000"/>
          <w:sz w:val="24"/>
          <w:szCs w:val="24"/>
        </w:rPr>
        <w:t>申银万国装备制造指数收益率</w:t>
      </w:r>
      <w:r>
        <w:rPr>
          <w:color w:val="000000"/>
          <w:sz w:val="24"/>
          <w:szCs w:val="24"/>
        </w:rPr>
        <w:t>+25%×</w:t>
      </w:r>
      <w:r>
        <w:rPr>
          <w:rFonts w:hint="eastAsia"/>
          <w:color w:val="000000"/>
          <w:sz w:val="24"/>
          <w:szCs w:val="24"/>
        </w:rPr>
        <w:t>中信标普全债指数收益率</w:t>
      </w:r>
      <w:r>
        <w:rPr>
          <w:color w:val="000000"/>
          <w:sz w:val="24"/>
          <w:szCs w:val="24"/>
        </w:rPr>
        <w:t>”</w:t>
      </w:r>
      <w:r>
        <w:rPr>
          <w:rFonts w:hint="eastAsia"/>
          <w:color w:val="000000"/>
          <w:sz w:val="24"/>
          <w:szCs w:val="24"/>
        </w:rPr>
        <w:t>变更为</w:t>
      </w:r>
      <w:r>
        <w:rPr>
          <w:color w:val="000000"/>
          <w:sz w:val="24"/>
          <w:szCs w:val="24"/>
        </w:rPr>
        <w:t>“75%×</w:t>
      </w:r>
      <w:r>
        <w:rPr>
          <w:rFonts w:hint="eastAsia"/>
          <w:color w:val="000000"/>
          <w:sz w:val="24"/>
          <w:szCs w:val="24"/>
        </w:rPr>
        <w:t>申银万国装备制造指数收益率</w:t>
      </w:r>
      <w:r>
        <w:rPr>
          <w:color w:val="000000"/>
          <w:sz w:val="24"/>
          <w:szCs w:val="24"/>
        </w:rPr>
        <w:t>+25%×</w:t>
      </w:r>
      <w:r>
        <w:rPr>
          <w:rFonts w:hint="eastAsia"/>
          <w:color w:val="000000"/>
          <w:sz w:val="24"/>
          <w:szCs w:val="24"/>
        </w:rPr>
        <w:t>中证综合债券指数收益率</w:t>
      </w:r>
      <w:r>
        <w:rPr>
          <w:color w:val="000000"/>
          <w:sz w:val="24"/>
          <w:szCs w:val="24"/>
        </w:rPr>
        <w:t>”</w:t>
      </w:r>
      <w:r>
        <w:rPr>
          <w:rFonts w:hint="eastAsia"/>
          <w:color w:val="000000"/>
          <w:sz w:val="24"/>
          <w:szCs w:val="24"/>
        </w:rPr>
        <w:t>，</w:t>
      </w:r>
      <w:r>
        <w:rPr>
          <w:color w:val="000000"/>
          <w:sz w:val="24"/>
          <w:szCs w:val="24"/>
        </w:rPr>
        <w:t>3.2.2</w:t>
      </w:r>
      <w:r>
        <w:rPr>
          <w:rFonts w:hint="eastAsia"/>
          <w:color w:val="000000"/>
          <w:sz w:val="24"/>
          <w:szCs w:val="24"/>
        </w:rPr>
        <w:t>同。详情见本基金管理人于</w:t>
      </w:r>
      <w:r>
        <w:rPr>
          <w:color w:val="000000"/>
          <w:sz w:val="24"/>
          <w:szCs w:val="24"/>
        </w:rPr>
        <w:t>2015</w:t>
      </w:r>
      <w:r>
        <w:rPr>
          <w:rFonts w:hint="eastAsia"/>
          <w:color w:val="000000"/>
          <w:sz w:val="24"/>
          <w:szCs w:val="24"/>
        </w:rPr>
        <w:t>年</w:t>
      </w:r>
      <w:r>
        <w:rPr>
          <w:color w:val="000000"/>
          <w:sz w:val="24"/>
          <w:szCs w:val="24"/>
        </w:rPr>
        <w:t>9</w:t>
      </w:r>
      <w:r>
        <w:rPr>
          <w:rFonts w:hint="eastAsia"/>
          <w:color w:val="000000"/>
          <w:sz w:val="24"/>
          <w:szCs w:val="24"/>
        </w:rPr>
        <w:t>月</w:t>
      </w:r>
      <w:r>
        <w:rPr>
          <w:color w:val="000000"/>
          <w:sz w:val="24"/>
          <w:szCs w:val="24"/>
        </w:rPr>
        <w:t>28</w:t>
      </w:r>
      <w:r>
        <w:rPr>
          <w:rFonts w:hint="eastAsia"/>
          <w:color w:val="000000"/>
          <w:sz w:val="24"/>
          <w:szCs w:val="24"/>
        </w:rPr>
        <w:t>日发布的《交银施罗德基金管理有限公司关于旗下部分基金业绩比较基准变更并修改基金合同相关内容的公告》。</w:t>
      </w:r>
    </w:p>
    <w:p w:rsidR="004061AC" w:rsidRPr="007C0B2C"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交银施罗德先进制造混合型证券投资基金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742F0">
        <w:trPr>
          <w:jc w:val="center"/>
        </w:trPr>
        <w:tc>
          <w:tcPr>
            <w:tcW w:w="846" w:type="dxa"/>
            <w:vAlign w:val="center"/>
          </w:tcPr>
          <w:p w:rsidR="00A742F0" w:rsidRDefault="00010F9F">
            <w:pPr>
              <w:jc w:val="center"/>
            </w:pPr>
            <w:r>
              <w:rPr>
                <w:color w:val="000000"/>
                <w:sz w:val="24"/>
                <w:szCs w:val="24"/>
              </w:rPr>
              <w:t>任相栋</w:t>
            </w:r>
          </w:p>
        </w:tc>
        <w:tc>
          <w:tcPr>
            <w:tcW w:w="845" w:type="dxa"/>
            <w:vAlign w:val="center"/>
          </w:tcPr>
          <w:p w:rsidR="00A742F0" w:rsidRDefault="00010F9F">
            <w:pPr>
              <w:jc w:val="center"/>
            </w:pPr>
            <w:r>
              <w:rPr>
                <w:color w:val="000000"/>
                <w:sz w:val="24"/>
                <w:szCs w:val="24"/>
              </w:rPr>
              <w:t>交银先进制造混合的基金经理</w:t>
            </w:r>
          </w:p>
        </w:tc>
        <w:tc>
          <w:tcPr>
            <w:tcW w:w="1549" w:type="dxa"/>
            <w:vAlign w:val="center"/>
          </w:tcPr>
          <w:p w:rsidR="00A742F0" w:rsidRDefault="00010F9F">
            <w:pPr>
              <w:jc w:val="center"/>
            </w:pPr>
            <w:r>
              <w:rPr>
                <w:color w:val="000000"/>
                <w:sz w:val="24"/>
                <w:szCs w:val="24"/>
              </w:rPr>
              <w:t>2015-01-21</w:t>
            </w:r>
          </w:p>
        </w:tc>
        <w:tc>
          <w:tcPr>
            <w:tcW w:w="1548" w:type="dxa"/>
            <w:vAlign w:val="center"/>
          </w:tcPr>
          <w:p w:rsidR="00A742F0" w:rsidRDefault="00010F9F">
            <w:pPr>
              <w:jc w:val="center"/>
            </w:pPr>
            <w:r>
              <w:rPr>
                <w:color w:val="000000"/>
                <w:sz w:val="24"/>
                <w:szCs w:val="24"/>
              </w:rPr>
              <w:t>-</w:t>
            </w:r>
          </w:p>
        </w:tc>
        <w:tc>
          <w:tcPr>
            <w:tcW w:w="1407" w:type="dxa"/>
            <w:vAlign w:val="center"/>
          </w:tcPr>
          <w:p w:rsidR="00A742F0" w:rsidRDefault="00010F9F">
            <w:pPr>
              <w:jc w:val="center"/>
            </w:pPr>
            <w:r>
              <w:rPr>
                <w:color w:val="000000"/>
                <w:sz w:val="24"/>
                <w:szCs w:val="24"/>
              </w:rPr>
              <w:t>6</w:t>
            </w:r>
            <w:r>
              <w:rPr>
                <w:color w:val="000000"/>
                <w:sz w:val="24"/>
                <w:szCs w:val="24"/>
              </w:rPr>
              <w:t>年</w:t>
            </w:r>
          </w:p>
        </w:tc>
        <w:tc>
          <w:tcPr>
            <w:tcW w:w="2673" w:type="dxa"/>
            <w:vAlign w:val="center"/>
          </w:tcPr>
          <w:p w:rsidR="00A742F0" w:rsidRDefault="00010F9F">
            <w:r>
              <w:rPr>
                <w:color w:val="000000"/>
                <w:sz w:val="24"/>
                <w:szCs w:val="24"/>
              </w:rPr>
              <w:t>任相栋先生，上海交通大学金融学硕士。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742F0" w:rsidRDefault="00010F9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742F0" w:rsidRDefault="00010F9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742F0" w:rsidRDefault="00010F9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0B1708" w:rsidRPr="000B1708" w:rsidRDefault="000B1708"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742F0" w:rsidRDefault="00010F9F">
      <w:pPr>
        <w:spacing w:before="29" w:line="288" w:lineRule="auto"/>
        <w:ind w:firstLineChars="200" w:firstLine="480"/>
        <w:rPr>
          <w:color w:val="000000"/>
          <w:sz w:val="24"/>
          <w:szCs w:val="24"/>
        </w:rPr>
      </w:pPr>
      <w:r>
        <w:rPr>
          <w:color w:val="000000"/>
          <w:sz w:val="24"/>
          <w:szCs w:val="24"/>
        </w:rPr>
        <w:t>由于对人民币汇率等的担忧，</w:t>
      </w:r>
      <w:r>
        <w:rPr>
          <w:color w:val="000000"/>
          <w:sz w:val="24"/>
          <w:szCs w:val="24"/>
        </w:rPr>
        <w:t>2016</w:t>
      </w:r>
      <w:r>
        <w:rPr>
          <w:color w:val="000000"/>
          <w:sz w:val="24"/>
          <w:szCs w:val="24"/>
        </w:rPr>
        <w:t>年一季度</w:t>
      </w:r>
      <w:r>
        <w:rPr>
          <w:color w:val="000000"/>
          <w:sz w:val="24"/>
          <w:szCs w:val="24"/>
        </w:rPr>
        <w:t>A</w:t>
      </w:r>
      <w:r>
        <w:rPr>
          <w:color w:val="000000"/>
          <w:sz w:val="24"/>
          <w:szCs w:val="24"/>
        </w:rPr>
        <w:t>股跌幅较大，估值更高、投资者更为扎堆的创业板指数跌幅大于上证综指，新兴产业相关股票的跌幅大于传统产业。随着对汇率等担忧的阶段性缓解，从</w:t>
      </w:r>
      <w:r>
        <w:rPr>
          <w:color w:val="000000"/>
          <w:sz w:val="24"/>
          <w:szCs w:val="24"/>
        </w:rPr>
        <w:t>2</w:t>
      </w:r>
      <w:r>
        <w:rPr>
          <w:color w:val="000000"/>
          <w:sz w:val="24"/>
          <w:szCs w:val="24"/>
        </w:rPr>
        <w:t>月份起市场开始反弹。</w:t>
      </w:r>
    </w:p>
    <w:p w:rsidR="00A742F0" w:rsidRDefault="00010F9F">
      <w:pPr>
        <w:spacing w:before="29" w:line="288" w:lineRule="auto"/>
        <w:ind w:firstLineChars="200" w:firstLine="480"/>
        <w:rPr>
          <w:color w:val="000000"/>
          <w:sz w:val="24"/>
          <w:szCs w:val="24"/>
        </w:rPr>
      </w:pPr>
      <w:r>
        <w:rPr>
          <w:color w:val="000000"/>
          <w:sz w:val="24"/>
          <w:szCs w:val="24"/>
        </w:rPr>
        <w:t>本基金</w:t>
      </w:r>
      <w:r>
        <w:rPr>
          <w:color w:val="000000"/>
          <w:sz w:val="24"/>
          <w:szCs w:val="24"/>
        </w:rPr>
        <w:t>2016</w:t>
      </w:r>
      <w:r>
        <w:rPr>
          <w:color w:val="000000"/>
          <w:sz w:val="24"/>
          <w:szCs w:val="24"/>
        </w:rPr>
        <w:t>年一季度表现未能跑赢业绩比较基准，主要是</w:t>
      </w:r>
      <w:r>
        <w:rPr>
          <w:color w:val="000000"/>
          <w:sz w:val="24"/>
          <w:szCs w:val="24"/>
        </w:rPr>
        <w:t>2016</w:t>
      </w:r>
      <w:r>
        <w:rPr>
          <w:color w:val="000000"/>
          <w:sz w:val="24"/>
          <w:szCs w:val="24"/>
        </w:rPr>
        <w:t>年年初市场快速下跌时本基金仓位较高所致，但随着</w:t>
      </w:r>
      <w:r>
        <w:rPr>
          <w:color w:val="000000"/>
          <w:sz w:val="24"/>
          <w:szCs w:val="24"/>
        </w:rPr>
        <w:t>2</w:t>
      </w:r>
      <w:r>
        <w:rPr>
          <w:color w:val="000000"/>
          <w:sz w:val="24"/>
          <w:szCs w:val="24"/>
        </w:rPr>
        <w:t>月份起的反弹，收益有所收复。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我们认为在市场风险的空窗期，基于国内庞大的货币存量，股票市场有望保持活跃，但上涨的幅度较难测算。未来的潜在风险主要是全球货币宽松逐步走向尽头，从货币宽松到经济基本面的传导在全球范围内都遇到困境，反观国内去产能与稳增长的矛盾仍将存在，改革创新仍是中国转型升级的希望所在，但相关个股仍有去泡沫的风险。本基金将继续致力于在控制好风险的情况下，努力为持有人赢得更高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56424D">
      <w:pPr>
        <w:tabs>
          <w:tab w:val="center" w:pos="4513"/>
        </w:tabs>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r w:rsidR="0056424D">
        <w:rPr>
          <w:b/>
          <w:color w:val="000000"/>
          <w:kern w:val="0"/>
          <w:sz w:val="24"/>
        </w:rPr>
        <w:tab/>
      </w:r>
      <w:bookmarkStart w:id="0" w:name="_GoBack"/>
      <w:bookmarkEnd w:id="0"/>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003D7D03">
        <w:rPr>
          <w:rFonts w:hint="eastAsia"/>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2.235</w:t>
      </w:r>
      <w:r w:rsidRPr="00414345">
        <w:rPr>
          <w:color w:val="000000"/>
          <w:sz w:val="24"/>
          <w:szCs w:val="24"/>
        </w:rPr>
        <w:t>元，本报告期份额净值增长率为</w:t>
      </w:r>
      <w:r w:rsidRPr="00414345">
        <w:rPr>
          <w:color w:val="000000"/>
          <w:sz w:val="24"/>
          <w:szCs w:val="24"/>
        </w:rPr>
        <w:t>-15.31%</w:t>
      </w:r>
      <w:r w:rsidRPr="00414345">
        <w:rPr>
          <w:color w:val="000000"/>
          <w:sz w:val="24"/>
          <w:szCs w:val="24"/>
        </w:rPr>
        <w:t>，同期业绩比较基准增长率</w:t>
      </w:r>
      <w:r w:rsidRPr="00414345">
        <w:rPr>
          <w:color w:val="000000"/>
          <w:sz w:val="24"/>
          <w:szCs w:val="24"/>
        </w:rPr>
        <w:t>-14.27%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965,625,503.61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80.41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965,625,503.61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80.41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80,000,160.00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6.66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137,342,075.30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11.44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17,887,058.98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1,200,854,797.89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839,715,248.09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24,176,261.64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30,709,073.52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23,158,870.00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16,071,740.00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23,328,178.36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8,466,132.00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965,625,503.61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81.54</w:t>
            </w:r>
          </w:p>
        </w:tc>
      </w:tr>
    </w:tbl>
    <w:p w:rsidR="00455DCF" w:rsidRDefault="00455DCF" w:rsidP="00C15CAC">
      <w:pPr>
        <w:autoSpaceDE w:val="0"/>
        <w:autoSpaceDN w:val="0"/>
        <w:adjustRightInd w:val="0"/>
        <w:spacing w:before="29" w:line="288" w:lineRule="auto"/>
        <w:jc w:val="left"/>
        <w:rPr>
          <w:b/>
          <w:bCs/>
          <w:color w:val="000000"/>
          <w:kern w:val="0"/>
          <w:sz w:val="24"/>
          <w:szCs w:val="24"/>
        </w:rPr>
      </w:pPr>
    </w:p>
    <w:p w:rsidR="00455DCF" w:rsidRPr="008A409E" w:rsidRDefault="00455DCF" w:rsidP="00455DCF">
      <w:pPr>
        <w:jc w:val="left"/>
        <w:rPr>
          <w:rFonts w:asciiTheme="minorEastAsia" w:eastAsiaTheme="minorEastAsia" w:hAnsiTheme="minorEastAsia"/>
          <w:b/>
          <w:bCs/>
          <w:color w:val="000000" w:themeColor="text1"/>
          <w:kern w:val="0"/>
          <w:sz w:val="24"/>
        </w:rPr>
      </w:pPr>
      <w:r w:rsidRPr="00455DCF">
        <w:rPr>
          <w:rFonts w:eastAsiaTheme="minorEastAsia"/>
          <w:b/>
          <w:bCs/>
          <w:color w:val="000000" w:themeColor="text1"/>
          <w:kern w:val="0"/>
          <w:sz w:val="24"/>
        </w:rPr>
        <w:t>5.2.2</w:t>
      </w:r>
      <w:r w:rsidRPr="00010F9F">
        <w:rPr>
          <w:rFonts w:asciiTheme="minorEastAsia" w:eastAsiaTheme="minorEastAsia" w:hAnsiTheme="minorEastAsia" w:hint="eastAsia"/>
          <w:b/>
          <w:bCs/>
          <w:color w:val="000000" w:themeColor="text1"/>
          <w:kern w:val="0"/>
          <w:sz w:val="24"/>
        </w:rPr>
        <w:t>报告期末按行业分类的沪港通投资股票投资组合</w:t>
      </w:r>
    </w:p>
    <w:p w:rsidR="00455DCF" w:rsidRDefault="00455DCF" w:rsidP="00455DCF">
      <w:pPr>
        <w:spacing w:before="29" w:line="360" w:lineRule="auto"/>
        <w:ind w:left="17"/>
        <w:rPr>
          <w:color w:val="000000"/>
          <w:sz w:val="24"/>
        </w:rPr>
      </w:pPr>
      <w:r w:rsidRPr="00FF0BBF">
        <w:rPr>
          <w:color w:val="000000"/>
          <w:sz w:val="24"/>
        </w:rPr>
        <w:t>本基金本报告期末未持有通过沪港通投资的股票。</w:t>
      </w:r>
    </w:p>
    <w:p w:rsidR="00455DCF" w:rsidRDefault="00455DCF"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742F0">
        <w:trPr>
          <w:jc w:val="center"/>
        </w:trPr>
        <w:tc>
          <w:tcPr>
            <w:tcW w:w="855" w:type="dxa"/>
            <w:vAlign w:val="center"/>
          </w:tcPr>
          <w:p w:rsidR="00A742F0" w:rsidRDefault="00010F9F">
            <w:pPr>
              <w:jc w:val="center"/>
            </w:pPr>
            <w:r>
              <w:rPr>
                <w:color w:val="000000"/>
                <w:sz w:val="24"/>
                <w:szCs w:val="24"/>
              </w:rPr>
              <w:t>1</w:t>
            </w:r>
          </w:p>
        </w:tc>
        <w:tc>
          <w:tcPr>
            <w:tcW w:w="1334" w:type="dxa"/>
            <w:vAlign w:val="center"/>
          </w:tcPr>
          <w:p w:rsidR="00A742F0" w:rsidRDefault="00010F9F">
            <w:pPr>
              <w:jc w:val="center"/>
            </w:pPr>
            <w:r>
              <w:rPr>
                <w:color w:val="000000"/>
                <w:sz w:val="24"/>
                <w:szCs w:val="24"/>
              </w:rPr>
              <w:t>002456</w:t>
            </w:r>
          </w:p>
        </w:tc>
        <w:tc>
          <w:tcPr>
            <w:tcW w:w="1777" w:type="dxa"/>
            <w:vAlign w:val="center"/>
          </w:tcPr>
          <w:p w:rsidR="00A742F0" w:rsidRDefault="00010F9F">
            <w:pPr>
              <w:jc w:val="center"/>
            </w:pPr>
            <w:r>
              <w:rPr>
                <w:color w:val="000000"/>
                <w:sz w:val="24"/>
                <w:szCs w:val="24"/>
              </w:rPr>
              <w:t>欧菲光</w:t>
            </w:r>
          </w:p>
        </w:tc>
        <w:tc>
          <w:tcPr>
            <w:tcW w:w="1334" w:type="dxa"/>
            <w:vAlign w:val="center"/>
          </w:tcPr>
          <w:p w:rsidR="00A742F0" w:rsidRDefault="00010F9F">
            <w:pPr>
              <w:jc w:val="right"/>
            </w:pPr>
            <w:r>
              <w:rPr>
                <w:color w:val="000000"/>
                <w:sz w:val="24"/>
                <w:szCs w:val="24"/>
              </w:rPr>
              <w:t>3,186,630</w:t>
            </w:r>
          </w:p>
        </w:tc>
        <w:tc>
          <w:tcPr>
            <w:tcW w:w="1924" w:type="dxa"/>
            <w:vAlign w:val="center"/>
          </w:tcPr>
          <w:p w:rsidR="00A742F0" w:rsidRDefault="00010F9F">
            <w:pPr>
              <w:jc w:val="right"/>
            </w:pPr>
            <w:r>
              <w:rPr>
                <w:color w:val="000000"/>
                <w:sz w:val="24"/>
                <w:szCs w:val="24"/>
              </w:rPr>
              <w:t>84,573,160.20</w:t>
            </w:r>
          </w:p>
        </w:tc>
        <w:tc>
          <w:tcPr>
            <w:tcW w:w="1644" w:type="dxa"/>
            <w:vAlign w:val="center"/>
          </w:tcPr>
          <w:p w:rsidR="00A742F0" w:rsidRDefault="00010F9F">
            <w:pPr>
              <w:jc w:val="right"/>
            </w:pPr>
            <w:r>
              <w:rPr>
                <w:color w:val="000000"/>
                <w:sz w:val="24"/>
                <w:szCs w:val="24"/>
              </w:rPr>
              <w:t>7.14</w:t>
            </w:r>
          </w:p>
        </w:tc>
      </w:tr>
      <w:tr w:rsidR="00A742F0">
        <w:trPr>
          <w:jc w:val="center"/>
        </w:trPr>
        <w:tc>
          <w:tcPr>
            <w:tcW w:w="855" w:type="dxa"/>
            <w:vAlign w:val="center"/>
          </w:tcPr>
          <w:p w:rsidR="00A742F0" w:rsidRDefault="00010F9F">
            <w:pPr>
              <w:jc w:val="center"/>
            </w:pPr>
            <w:r>
              <w:rPr>
                <w:color w:val="000000"/>
                <w:sz w:val="24"/>
                <w:szCs w:val="24"/>
              </w:rPr>
              <w:t>2</w:t>
            </w:r>
          </w:p>
        </w:tc>
        <w:tc>
          <w:tcPr>
            <w:tcW w:w="1334" w:type="dxa"/>
            <w:vAlign w:val="center"/>
          </w:tcPr>
          <w:p w:rsidR="00A742F0" w:rsidRDefault="00010F9F">
            <w:pPr>
              <w:jc w:val="center"/>
            </w:pPr>
            <w:r>
              <w:rPr>
                <w:color w:val="000000"/>
                <w:sz w:val="24"/>
                <w:szCs w:val="24"/>
              </w:rPr>
              <w:t>002045</w:t>
            </w:r>
          </w:p>
        </w:tc>
        <w:tc>
          <w:tcPr>
            <w:tcW w:w="1777" w:type="dxa"/>
            <w:vAlign w:val="center"/>
          </w:tcPr>
          <w:p w:rsidR="00A742F0" w:rsidRDefault="00010F9F">
            <w:pPr>
              <w:jc w:val="center"/>
            </w:pPr>
            <w:r>
              <w:rPr>
                <w:color w:val="000000"/>
                <w:sz w:val="24"/>
                <w:szCs w:val="24"/>
              </w:rPr>
              <w:t>国光电器</w:t>
            </w:r>
          </w:p>
        </w:tc>
        <w:tc>
          <w:tcPr>
            <w:tcW w:w="1334" w:type="dxa"/>
            <w:vAlign w:val="center"/>
          </w:tcPr>
          <w:p w:rsidR="00A742F0" w:rsidRDefault="00010F9F">
            <w:pPr>
              <w:jc w:val="right"/>
            </w:pPr>
            <w:r>
              <w:rPr>
                <w:color w:val="000000"/>
                <w:sz w:val="24"/>
                <w:szCs w:val="24"/>
              </w:rPr>
              <w:t>5,762,165</w:t>
            </w:r>
          </w:p>
        </w:tc>
        <w:tc>
          <w:tcPr>
            <w:tcW w:w="1924" w:type="dxa"/>
            <w:vAlign w:val="center"/>
          </w:tcPr>
          <w:p w:rsidR="00A742F0" w:rsidRDefault="00010F9F">
            <w:pPr>
              <w:jc w:val="right"/>
            </w:pPr>
            <w:r>
              <w:rPr>
                <w:color w:val="000000"/>
                <w:sz w:val="24"/>
                <w:szCs w:val="24"/>
              </w:rPr>
              <w:t>76,809,659.45</w:t>
            </w:r>
          </w:p>
        </w:tc>
        <w:tc>
          <w:tcPr>
            <w:tcW w:w="1644" w:type="dxa"/>
            <w:vAlign w:val="center"/>
          </w:tcPr>
          <w:p w:rsidR="00A742F0" w:rsidRDefault="00010F9F">
            <w:pPr>
              <w:jc w:val="right"/>
            </w:pPr>
            <w:r>
              <w:rPr>
                <w:color w:val="000000"/>
                <w:sz w:val="24"/>
                <w:szCs w:val="24"/>
              </w:rPr>
              <w:t>6.49</w:t>
            </w:r>
          </w:p>
        </w:tc>
      </w:tr>
      <w:tr w:rsidR="00A742F0">
        <w:trPr>
          <w:jc w:val="center"/>
        </w:trPr>
        <w:tc>
          <w:tcPr>
            <w:tcW w:w="855" w:type="dxa"/>
            <w:vAlign w:val="center"/>
          </w:tcPr>
          <w:p w:rsidR="00A742F0" w:rsidRDefault="00010F9F">
            <w:pPr>
              <w:jc w:val="center"/>
            </w:pPr>
            <w:r>
              <w:rPr>
                <w:color w:val="000000"/>
                <w:sz w:val="24"/>
                <w:szCs w:val="24"/>
              </w:rPr>
              <w:t>3</w:t>
            </w:r>
          </w:p>
        </w:tc>
        <w:tc>
          <w:tcPr>
            <w:tcW w:w="1334" w:type="dxa"/>
            <w:vAlign w:val="center"/>
          </w:tcPr>
          <w:p w:rsidR="00A742F0" w:rsidRDefault="00010F9F">
            <w:pPr>
              <w:jc w:val="center"/>
            </w:pPr>
            <w:r>
              <w:rPr>
                <w:color w:val="000000"/>
                <w:sz w:val="24"/>
                <w:szCs w:val="24"/>
              </w:rPr>
              <w:t>002353</w:t>
            </w:r>
          </w:p>
        </w:tc>
        <w:tc>
          <w:tcPr>
            <w:tcW w:w="1777" w:type="dxa"/>
            <w:vAlign w:val="center"/>
          </w:tcPr>
          <w:p w:rsidR="00A742F0" w:rsidRDefault="00010F9F">
            <w:pPr>
              <w:jc w:val="center"/>
            </w:pPr>
            <w:r>
              <w:rPr>
                <w:color w:val="000000"/>
                <w:sz w:val="24"/>
                <w:szCs w:val="24"/>
              </w:rPr>
              <w:t>杰瑞股份</w:t>
            </w:r>
          </w:p>
        </w:tc>
        <w:tc>
          <w:tcPr>
            <w:tcW w:w="1334" w:type="dxa"/>
            <w:vAlign w:val="center"/>
          </w:tcPr>
          <w:p w:rsidR="00A742F0" w:rsidRDefault="00010F9F">
            <w:pPr>
              <w:jc w:val="right"/>
            </w:pPr>
            <w:r>
              <w:rPr>
                <w:color w:val="000000"/>
                <w:sz w:val="24"/>
                <w:szCs w:val="24"/>
              </w:rPr>
              <w:t>2,680,638</w:t>
            </w:r>
          </w:p>
        </w:tc>
        <w:tc>
          <w:tcPr>
            <w:tcW w:w="1924" w:type="dxa"/>
            <w:vAlign w:val="center"/>
          </w:tcPr>
          <w:p w:rsidR="00A742F0" w:rsidRDefault="00010F9F">
            <w:pPr>
              <w:jc w:val="right"/>
            </w:pPr>
            <w:r>
              <w:rPr>
                <w:color w:val="000000"/>
                <w:sz w:val="24"/>
                <w:szCs w:val="24"/>
              </w:rPr>
              <w:t>47,152,422.42</w:t>
            </w:r>
          </w:p>
        </w:tc>
        <w:tc>
          <w:tcPr>
            <w:tcW w:w="1644" w:type="dxa"/>
            <w:vAlign w:val="center"/>
          </w:tcPr>
          <w:p w:rsidR="00A742F0" w:rsidRDefault="00010F9F">
            <w:pPr>
              <w:jc w:val="right"/>
            </w:pPr>
            <w:r>
              <w:rPr>
                <w:color w:val="000000"/>
                <w:sz w:val="24"/>
                <w:szCs w:val="24"/>
              </w:rPr>
              <w:t>3.98</w:t>
            </w:r>
          </w:p>
        </w:tc>
      </w:tr>
      <w:tr w:rsidR="00A742F0">
        <w:trPr>
          <w:jc w:val="center"/>
        </w:trPr>
        <w:tc>
          <w:tcPr>
            <w:tcW w:w="855" w:type="dxa"/>
            <w:vAlign w:val="center"/>
          </w:tcPr>
          <w:p w:rsidR="00A742F0" w:rsidRDefault="00010F9F">
            <w:pPr>
              <w:jc w:val="center"/>
            </w:pPr>
            <w:r>
              <w:rPr>
                <w:color w:val="000000"/>
                <w:sz w:val="24"/>
                <w:szCs w:val="24"/>
              </w:rPr>
              <w:t>4</w:t>
            </w:r>
          </w:p>
        </w:tc>
        <w:tc>
          <w:tcPr>
            <w:tcW w:w="1334" w:type="dxa"/>
            <w:vAlign w:val="center"/>
          </w:tcPr>
          <w:p w:rsidR="00A742F0" w:rsidRDefault="00010F9F">
            <w:pPr>
              <w:jc w:val="center"/>
            </w:pPr>
            <w:r>
              <w:rPr>
                <w:color w:val="000000"/>
                <w:sz w:val="24"/>
                <w:szCs w:val="24"/>
              </w:rPr>
              <w:t>000951</w:t>
            </w:r>
          </w:p>
        </w:tc>
        <w:tc>
          <w:tcPr>
            <w:tcW w:w="1777" w:type="dxa"/>
            <w:vAlign w:val="center"/>
          </w:tcPr>
          <w:p w:rsidR="00A742F0" w:rsidRDefault="00010F9F">
            <w:pPr>
              <w:jc w:val="center"/>
            </w:pPr>
            <w:r>
              <w:rPr>
                <w:color w:val="000000"/>
                <w:sz w:val="24"/>
                <w:szCs w:val="24"/>
              </w:rPr>
              <w:t>中国重汽</w:t>
            </w:r>
          </w:p>
        </w:tc>
        <w:tc>
          <w:tcPr>
            <w:tcW w:w="1334" w:type="dxa"/>
            <w:vAlign w:val="center"/>
          </w:tcPr>
          <w:p w:rsidR="00A742F0" w:rsidRDefault="00010F9F">
            <w:pPr>
              <w:jc w:val="right"/>
            </w:pPr>
            <w:r>
              <w:rPr>
                <w:color w:val="000000"/>
                <w:sz w:val="24"/>
                <w:szCs w:val="24"/>
              </w:rPr>
              <w:t>2,515,135</w:t>
            </w:r>
          </w:p>
        </w:tc>
        <w:tc>
          <w:tcPr>
            <w:tcW w:w="1924" w:type="dxa"/>
            <w:vAlign w:val="center"/>
          </w:tcPr>
          <w:p w:rsidR="00A742F0" w:rsidRDefault="00010F9F">
            <w:pPr>
              <w:jc w:val="right"/>
            </w:pPr>
            <w:r>
              <w:rPr>
                <w:color w:val="000000"/>
                <w:sz w:val="24"/>
                <w:szCs w:val="24"/>
              </w:rPr>
              <w:t>43,360,927.40</w:t>
            </w:r>
          </w:p>
        </w:tc>
        <w:tc>
          <w:tcPr>
            <w:tcW w:w="1644" w:type="dxa"/>
            <w:vAlign w:val="center"/>
          </w:tcPr>
          <w:p w:rsidR="00A742F0" w:rsidRDefault="00010F9F">
            <w:pPr>
              <w:jc w:val="right"/>
            </w:pPr>
            <w:r>
              <w:rPr>
                <w:color w:val="000000"/>
                <w:sz w:val="24"/>
                <w:szCs w:val="24"/>
              </w:rPr>
              <w:t>3.66</w:t>
            </w:r>
          </w:p>
        </w:tc>
      </w:tr>
      <w:tr w:rsidR="00A742F0">
        <w:trPr>
          <w:jc w:val="center"/>
        </w:trPr>
        <w:tc>
          <w:tcPr>
            <w:tcW w:w="855" w:type="dxa"/>
            <w:vAlign w:val="center"/>
          </w:tcPr>
          <w:p w:rsidR="00A742F0" w:rsidRDefault="00010F9F">
            <w:pPr>
              <w:jc w:val="center"/>
            </w:pPr>
            <w:r>
              <w:rPr>
                <w:color w:val="000000"/>
                <w:sz w:val="24"/>
                <w:szCs w:val="24"/>
              </w:rPr>
              <w:t>5</w:t>
            </w:r>
          </w:p>
        </w:tc>
        <w:tc>
          <w:tcPr>
            <w:tcW w:w="1334" w:type="dxa"/>
            <w:vAlign w:val="center"/>
          </w:tcPr>
          <w:p w:rsidR="00A742F0" w:rsidRDefault="00010F9F">
            <w:pPr>
              <w:jc w:val="center"/>
            </w:pPr>
            <w:r>
              <w:rPr>
                <w:color w:val="000000"/>
                <w:sz w:val="24"/>
                <w:szCs w:val="24"/>
              </w:rPr>
              <w:t>000768</w:t>
            </w:r>
          </w:p>
        </w:tc>
        <w:tc>
          <w:tcPr>
            <w:tcW w:w="1777" w:type="dxa"/>
            <w:vAlign w:val="center"/>
          </w:tcPr>
          <w:p w:rsidR="00A742F0" w:rsidRDefault="00010F9F">
            <w:pPr>
              <w:jc w:val="center"/>
            </w:pPr>
            <w:r>
              <w:rPr>
                <w:color w:val="000000"/>
                <w:sz w:val="24"/>
                <w:szCs w:val="24"/>
              </w:rPr>
              <w:t>中航飞机</w:t>
            </w:r>
          </w:p>
        </w:tc>
        <w:tc>
          <w:tcPr>
            <w:tcW w:w="1334" w:type="dxa"/>
            <w:vAlign w:val="center"/>
          </w:tcPr>
          <w:p w:rsidR="00A742F0" w:rsidRDefault="00010F9F">
            <w:pPr>
              <w:jc w:val="right"/>
            </w:pPr>
            <w:r>
              <w:rPr>
                <w:color w:val="000000"/>
                <w:sz w:val="24"/>
                <w:szCs w:val="24"/>
              </w:rPr>
              <w:t>2,023,658</w:t>
            </w:r>
          </w:p>
        </w:tc>
        <w:tc>
          <w:tcPr>
            <w:tcW w:w="1924" w:type="dxa"/>
            <w:vAlign w:val="center"/>
          </w:tcPr>
          <w:p w:rsidR="00A742F0" w:rsidRDefault="00010F9F">
            <w:pPr>
              <w:jc w:val="right"/>
            </w:pPr>
            <w:r>
              <w:rPr>
                <w:color w:val="000000"/>
                <w:sz w:val="24"/>
                <w:szCs w:val="24"/>
              </w:rPr>
              <w:t>39,157,782.30</w:t>
            </w:r>
          </w:p>
        </w:tc>
        <w:tc>
          <w:tcPr>
            <w:tcW w:w="1644" w:type="dxa"/>
            <w:vAlign w:val="center"/>
          </w:tcPr>
          <w:p w:rsidR="00A742F0" w:rsidRDefault="00010F9F">
            <w:pPr>
              <w:jc w:val="right"/>
            </w:pPr>
            <w:r>
              <w:rPr>
                <w:color w:val="000000"/>
                <w:sz w:val="24"/>
                <w:szCs w:val="24"/>
              </w:rPr>
              <w:t>3.31</w:t>
            </w:r>
          </w:p>
        </w:tc>
      </w:tr>
      <w:tr w:rsidR="00A742F0">
        <w:trPr>
          <w:jc w:val="center"/>
        </w:trPr>
        <w:tc>
          <w:tcPr>
            <w:tcW w:w="855" w:type="dxa"/>
            <w:vAlign w:val="center"/>
          </w:tcPr>
          <w:p w:rsidR="00A742F0" w:rsidRDefault="00010F9F">
            <w:pPr>
              <w:jc w:val="center"/>
            </w:pPr>
            <w:r>
              <w:rPr>
                <w:color w:val="000000"/>
                <w:sz w:val="24"/>
                <w:szCs w:val="24"/>
              </w:rPr>
              <w:t>6</w:t>
            </w:r>
          </w:p>
        </w:tc>
        <w:tc>
          <w:tcPr>
            <w:tcW w:w="1334" w:type="dxa"/>
            <w:vAlign w:val="center"/>
          </w:tcPr>
          <w:p w:rsidR="00A742F0" w:rsidRDefault="00010F9F">
            <w:pPr>
              <w:jc w:val="center"/>
            </w:pPr>
            <w:r>
              <w:rPr>
                <w:color w:val="000000"/>
                <w:sz w:val="24"/>
                <w:szCs w:val="24"/>
              </w:rPr>
              <w:t>002008</w:t>
            </w:r>
          </w:p>
        </w:tc>
        <w:tc>
          <w:tcPr>
            <w:tcW w:w="1777" w:type="dxa"/>
            <w:vAlign w:val="center"/>
          </w:tcPr>
          <w:p w:rsidR="00A742F0" w:rsidRDefault="00010F9F">
            <w:pPr>
              <w:jc w:val="center"/>
            </w:pPr>
            <w:r>
              <w:rPr>
                <w:color w:val="000000"/>
                <w:sz w:val="24"/>
                <w:szCs w:val="24"/>
              </w:rPr>
              <w:t>大族激光</w:t>
            </w:r>
          </w:p>
        </w:tc>
        <w:tc>
          <w:tcPr>
            <w:tcW w:w="1334" w:type="dxa"/>
            <w:vAlign w:val="center"/>
          </w:tcPr>
          <w:p w:rsidR="00A742F0" w:rsidRDefault="00010F9F">
            <w:pPr>
              <w:jc w:val="right"/>
            </w:pPr>
            <w:r>
              <w:rPr>
                <w:color w:val="000000"/>
                <w:sz w:val="24"/>
                <w:szCs w:val="24"/>
              </w:rPr>
              <w:t>1,712,660</w:t>
            </w:r>
          </w:p>
        </w:tc>
        <w:tc>
          <w:tcPr>
            <w:tcW w:w="1924" w:type="dxa"/>
            <w:vAlign w:val="center"/>
          </w:tcPr>
          <w:p w:rsidR="00A742F0" w:rsidRDefault="00010F9F">
            <w:pPr>
              <w:jc w:val="right"/>
            </w:pPr>
            <w:r>
              <w:rPr>
                <w:color w:val="000000"/>
                <w:sz w:val="24"/>
                <w:szCs w:val="24"/>
              </w:rPr>
              <w:t>38,106,685.00</w:t>
            </w:r>
          </w:p>
        </w:tc>
        <w:tc>
          <w:tcPr>
            <w:tcW w:w="1644" w:type="dxa"/>
            <w:vAlign w:val="center"/>
          </w:tcPr>
          <w:p w:rsidR="00A742F0" w:rsidRDefault="00010F9F">
            <w:pPr>
              <w:jc w:val="right"/>
            </w:pPr>
            <w:r>
              <w:rPr>
                <w:color w:val="000000"/>
                <w:sz w:val="24"/>
                <w:szCs w:val="24"/>
              </w:rPr>
              <w:t>3.22</w:t>
            </w:r>
          </w:p>
        </w:tc>
      </w:tr>
      <w:tr w:rsidR="00A742F0">
        <w:trPr>
          <w:jc w:val="center"/>
        </w:trPr>
        <w:tc>
          <w:tcPr>
            <w:tcW w:w="855" w:type="dxa"/>
            <w:vAlign w:val="center"/>
          </w:tcPr>
          <w:p w:rsidR="00A742F0" w:rsidRDefault="00010F9F">
            <w:pPr>
              <w:jc w:val="center"/>
            </w:pPr>
            <w:r>
              <w:rPr>
                <w:color w:val="000000"/>
                <w:sz w:val="24"/>
                <w:szCs w:val="24"/>
              </w:rPr>
              <w:t>7</w:t>
            </w:r>
          </w:p>
        </w:tc>
        <w:tc>
          <w:tcPr>
            <w:tcW w:w="1334" w:type="dxa"/>
            <w:vAlign w:val="center"/>
          </w:tcPr>
          <w:p w:rsidR="00A742F0" w:rsidRDefault="00010F9F">
            <w:pPr>
              <w:jc w:val="center"/>
            </w:pPr>
            <w:r>
              <w:rPr>
                <w:color w:val="000000"/>
                <w:sz w:val="24"/>
                <w:szCs w:val="24"/>
              </w:rPr>
              <w:t>300203</w:t>
            </w:r>
          </w:p>
        </w:tc>
        <w:tc>
          <w:tcPr>
            <w:tcW w:w="1777" w:type="dxa"/>
            <w:vAlign w:val="center"/>
          </w:tcPr>
          <w:p w:rsidR="00A742F0" w:rsidRDefault="00010F9F">
            <w:pPr>
              <w:jc w:val="center"/>
            </w:pPr>
            <w:r>
              <w:rPr>
                <w:color w:val="000000"/>
                <w:sz w:val="24"/>
                <w:szCs w:val="24"/>
              </w:rPr>
              <w:t>聚光科技</w:t>
            </w:r>
          </w:p>
        </w:tc>
        <w:tc>
          <w:tcPr>
            <w:tcW w:w="1334" w:type="dxa"/>
            <w:vAlign w:val="center"/>
          </w:tcPr>
          <w:p w:rsidR="00A742F0" w:rsidRDefault="00010F9F">
            <w:pPr>
              <w:jc w:val="right"/>
            </w:pPr>
            <w:r>
              <w:rPr>
                <w:color w:val="000000"/>
                <w:sz w:val="24"/>
                <w:szCs w:val="24"/>
              </w:rPr>
              <w:t>1,441,900</w:t>
            </w:r>
          </w:p>
        </w:tc>
        <w:tc>
          <w:tcPr>
            <w:tcW w:w="1924" w:type="dxa"/>
            <w:vAlign w:val="center"/>
          </w:tcPr>
          <w:p w:rsidR="00A742F0" w:rsidRDefault="00010F9F">
            <w:pPr>
              <w:jc w:val="right"/>
            </w:pPr>
            <w:r>
              <w:rPr>
                <w:color w:val="000000"/>
                <w:sz w:val="24"/>
                <w:szCs w:val="24"/>
              </w:rPr>
              <w:t>37,777,780.00</w:t>
            </w:r>
          </w:p>
        </w:tc>
        <w:tc>
          <w:tcPr>
            <w:tcW w:w="1644" w:type="dxa"/>
            <w:vAlign w:val="center"/>
          </w:tcPr>
          <w:p w:rsidR="00A742F0" w:rsidRDefault="00010F9F">
            <w:pPr>
              <w:jc w:val="right"/>
            </w:pPr>
            <w:r>
              <w:rPr>
                <w:color w:val="000000"/>
                <w:sz w:val="24"/>
                <w:szCs w:val="24"/>
              </w:rPr>
              <w:t>3.19</w:t>
            </w:r>
          </w:p>
        </w:tc>
      </w:tr>
      <w:tr w:rsidR="00A742F0">
        <w:trPr>
          <w:jc w:val="center"/>
        </w:trPr>
        <w:tc>
          <w:tcPr>
            <w:tcW w:w="855" w:type="dxa"/>
            <w:vAlign w:val="center"/>
          </w:tcPr>
          <w:p w:rsidR="00A742F0" w:rsidRDefault="00010F9F">
            <w:pPr>
              <w:jc w:val="center"/>
            </w:pPr>
            <w:r>
              <w:rPr>
                <w:color w:val="000000"/>
                <w:sz w:val="24"/>
                <w:szCs w:val="24"/>
              </w:rPr>
              <w:t>8</w:t>
            </w:r>
          </w:p>
        </w:tc>
        <w:tc>
          <w:tcPr>
            <w:tcW w:w="1334" w:type="dxa"/>
            <w:vAlign w:val="center"/>
          </w:tcPr>
          <w:p w:rsidR="00A742F0" w:rsidRDefault="00010F9F">
            <w:pPr>
              <w:jc w:val="center"/>
            </w:pPr>
            <w:r>
              <w:rPr>
                <w:color w:val="000000"/>
                <w:sz w:val="24"/>
                <w:szCs w:val="24"/>
              </w:rPr>
              <w:t>300137</w:t>
            </w:r>
          </w:p>
        </w:tc>
        <w:tc>
          <w:tcPr>
            <w:tcW w:w="1777" w:type="dxa"/>
            <w:vAlign w:val="center"/>
          </w:tcPr>
          <w:p w:rsidR="00A742F0" w:rsidRDefault="00010F9F">
            <w:pPr>
              <w:jc w:val="center"/>
            </w:pPr>
            <w:r>
              <w:rPr>
                <w:color w:val="000000"/>
                <w:sz w:val="24"/>
                <w:szCs w:val="24"/>
              </w:rPr>
              <w:t>先河环保</w:t>
            </w:r>
          </w:p>
        </w:tc>
        <w:tc>
          <w:tcPr>
            <w:tcW w:w="1334" w:type="dxa"/>
            <w:vAlign w:val="center"/>
          </w:tcPr>
          <w:p w:rsidR="00A742F0" w:rsidRDefault="00010F9F">
            <w:pPr>
              <w:jc w:val="right"/>
            </w:pPr>
            <w:r>
              <w:rPr>
                <w:color w:val="000000"/>
                <w:sz w:val="24"/>
                <w:szCs w:val="24"/>
              </w:rPr>
              <w:t>2,561,574</w:t>
            </w:r>
          </w:p>
        </w:tc>
        <w:tc>
          <w:tcPr>
            <w:tcW w:w="1924" w:type="dxa"/>
            <w:vAlign w:val="center"/>
          </w:tcPr>
          <w:p w:rsidR="00A742F0" w:rsidRDefault="00010F9F">
            <w:pPr>
              <w:jc w:val="right"/>
            </w:pPr>
            <w:r>
              <w:rPr>
                <w:color w:val="000000"/>
                <w:sz w:val="24"/>
                <w:szCs w:val="24"/>
              </w:rPr>
              <w:t>36,041,346.18</w:t>
            </w:r>
          </w:p>
        </w:tc>
        <w:tc>
          <w:tcPr>
            <w:tcW w:w="1644" w:type="dxa"/>
            <w:vAlign w:val="center"/>
          </w:tcPr>
          <w:p w:rsidR="00A742F0" w:rsidRDefault="00010F9F">
            <w:pPr>
              <w:jc w:val="right"/>
            </w:pPr>
            <w:r>
              <w:rPr>
                <w:color w:val="000000"/>
                <w:sz w:val="24"/>
                <w:szCs w:val="24"/>
              </w:rPr>
              <w:t>3.04</w:t>
            </w:r>
          </w:p>
        </w:tc>
      </w:tr>
      <w:tr w:rsidR="00A742F0">
        <w:trPr>
          <w:jc w:val="center"/>
        </w:trPr>
        <w:tc>
          <w:tcPr>
            <w:tcW w:w="855" w:type="dxa"/>
            <w:vAlign w:val="center"/>
          </w:tcPr>
          <w:p w:rsidR="00A742F0" w:rsidRDefault="00010F9F">
            <w:pPr>
              <w:jc w:val="center"/>
            </w:pPr>
            <w:r>
              <w:rPr>
                <w:color w:val="000000"/>
                <w:sz w:val="24"/>
                <w:szCs w:val="24"/>
              </w:rPr>
              <w:t>9</w:t>
            </w:r>
          </w:p>
        </w:tc>
        <w:tc>
          <w:tcPr>
            <w:tcW w:w="1334" w:type="dxa"/>
            <w:vAlign w:val="center"/>
          </w:tcPr>
          <w:p w:rsidR="00A742F0" w:rsidRDefault="00010F9F">
            <w:pPr>
              <w:jc w:val="center"/>
            </w:pPr>
            <w:r>
              <w:rPr>
                <w:color w:val="000000"/>
                <w:sz w:val="24"/>
                <w:szCs w:val="24"/>
              </w:rPr>
              <w:t>000801</w:t>
            </w:r>
          </w:p>
        </w:tc>
        <w:tc>
          <w:tcPr>
            <w:tcW w:w="1777" w:type="dxa"/>
            <w:vAlign w:val="center"/>
          </w:tcPr>
          <w:p w:rsidR="00A742F0" w:rsidRDefault="00010F9F">
            <w:pPr>
              <w:jc w:val="center"/>
            </w:pPr>
            <w:r>
              <w:rPr>
                <w:color w:val="000000"/>
                <w:sz w:val="24"/>
                <w:szCs w:val="24"/>
              </w:rPr>
              <w:t>四川九洲</w:t>
            </w:r>
          </w:p>
        </w:tc>
        <w:tc>
          <w:tcPr>
            <w:tcW w:w="1334" w:type="dxa"/>
            <w:vAlign w:val="center"/>
          </w:tcPr>
          <w:p w:rsidR="00A742F0" w:rsidRDefault="00010F9F">
            <w:pPr>
              <w:jc w:val="right"/>
            </w:pPr>
            <w:r>
              <w:rPr>
                <w:color w:val="000000"/>
                <w:sz w:val="24"/>
                <w:szCs w:val="24"/>
              </w:rPr>
              <w:t>1,318,023</w:t>
            </w:r>
          </w:p>
        </w:tc>
        <w:tc>
          <w:tcPr>
            <w:tcW w:w="1924" w:type="dxa"/>
            <w:vAlign w:val="center"/>
          </w:tcPr>
          <w:p w:rsidR="00A742F0" w:rsidRDefault="00010F9F">
            <w:pPr>
              <w:jc w:val="right"/>
            </w:pPr>
            <w:r>
              <w:rPr>
                <w:color w:val="000000"/>
                <w:sz w:val="24"/>
                <w:szCs w:val="24"/>
              </w:rPr>
              <w:t>35,454,818.70</w:t>
            </w:r>
          </w:p>
        </w:tc>
        <w:tc>
          <w:tcPr>
            <w:tcW w:w="1644" w:type="dxa"/>
            <w:vAlign w:val="center"/>
          </w:tcPr>
          <w:p w:rsidR="00A742F0" w:rsidRDefault="00010F9F">
            <w:pPr>
              <w:jc w:val="right"/>
            </w:pPr>
            <w:r>
              <w:rPr>
                <w:color w:val="000000"/>
                <w:sz w:val="24"/>
                <w:szCs w:val="24"/>
              </w:rPr>
              <w:t>2.99</w:t>
            </w:r>
          </w:p>
        </w:tc>
      </w:tr>
      <w:tr w:rsidR="00A742F0">
        <w:trPr>
          <w:jc w:val="center"/>
        </w:trPr>
        <w:tc>
          <w:tcPr>
            <w:tcW w:w="855" w:type="dxa"/>
            <w:vAlign w:val="center"/>
          </w:tcPr>
          <w:p w:rsidR="00A742F0" w:rsidRDefault="00010F9F">
            <w:pPr>
              <w:jc w:val="center"/>
            </w:pPr>
            <w:r>
              <w:rPr>
                <w:color w:val="000000"/>
                <w:sz w:val="24"/>
                <w:szCs w:val="24"/>
              </w:rPr>
              <w:t>10</w:t>
            </w:r>
          </w:p>
        </w:tc>
        <w:tc>
          <w:tcPr>
            <w:tcW w:w="1334" w:type="dxa"/>
            <w:vAlign w:val="center"/>
          </w:tcPr>
          <w:p w:rsidR="00A742F0" w:rsidRDefault="00010F9F">
            <w:pPr>
              <w:jc w:val="center"/>
            </w:pPr>
            <w:r>
              <w:rPr>
                <w:color w:val="000000"/>
                <w:sz w:val="24"/>
                <w:szCs w:val="24"/>
              </w:rPr>
              <w:t>600389</w:t>
            </w:r>
          </w:p>
        </w:tc>
        <w:tc>
          <w:tcPr>
            <w:tcW w:w="1777" w:type="dxa"/>
            <w:vAlign w:val="center"/>
          </w:tcPr>
          <w:p w:rsidR="00A742F0" w:rsidRDefault="00010F9F">
            <w:pPr>
              <w:jc w:val="center"/>
            </w:pPr>
            <w:r>
              <w:rPr>
                <w:color w:val="000000"/>
                <w:sz w:val="24"/>
                <w:szCs w:val="24"/>
              </w:rPr>
              <w:t>江山股份</w:t>
            </w:r>
          </w:p>
        </w:tc>
        <w:tc>
          <w:tcPr>
            <w:tcW w:w="1334" w:type="dxa"/>
            <w:vAlign w:val="center"/>
          </w:tcPr>
          <w:p w:rsidR="00A742F0" w:rsidRDefault="00010F9F">
            <w:pPr>
              <w:jc w:val="right"/>
            </w:pPr>
            <w:r>
              <w:rPr>
                <w:color w:val="000000"/>
                <w:sz w:val="24"/>
                <w:szCs w:val="24"/>
              </w:rPr>
              <w:t>1,630,031</w:t>
            </w:r>
          </w:p>
        </w:tc>
        <w:tc>
          <w:tcPr>
            <w:tcW w:w="1924" w:type="dxa"/>
            <w:vAlign w:val="center"/>
          </w:tcPr>
          <w:p w:rsidR="00A742F0" w:rsidRDefault="00010F9F">
            <w:pPr>
              <w:jc w:val="right"/>
            </w:pPr>
            <w:r>
              <w:rPr>
                <w:color w:val="000000"/>
                <w:sz w:val="24"/>
                <w:szCs w:val="24"/>
              </w:rPr>
              <w:t>34,312,152.55</w:t>
            </w:r>
          </w:p>
        </w:tc>
        <w:tc>
          <w:tcPr>
            <w:tcW w:w="1644" w:type="dxa"/>
            <w:vAlign w:val="center"/>
          </w:tcPr>
          <w:p w:rsidR="00A742F0" w:rsidRDefault="00010F9F">
            <w:pPr>
              <w:jc w:val="right"/>
            </w:pPr>
            <w:r>
              <w:rPr>
                <w:color w:val="000000"/>
                <w:sz w:val="24"/>
                <w:szCs w:val="24"/>
              </w:rPr>
              <w:t>2.90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2,393,635.20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12,008,232.04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70,371.42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3,414,820.32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17,887,058.98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A742F0">
        <w:trPr>
          <w:jc w:val="center"/>
        </w:trPr>
        <w:tc>
          <w:tcPr>
            <w:tcW w:w="1129" w:type="dxa"/>
            <w:vAlign w:val="center"/>
          </w:tcPr>
          <w:p w:rsidR="00A742F0" w:rsidRDefault="00010F9F">
            <w:pPr>
              <w:jc w:val="center"/>
            </w:pPr>
            <w:r>
              <w:rPr>
                <w:color w:val="000000"/>
                <w:sz w:val="24"/>
                <w:szCs w:val="24"/>
              </w:rPr>
              <w:t>1</w:t>
            </w:r>
          </w:p>
        </w:tc>
        <w:tc>
          <w:tcPr>
            <w:tcW w:w="1356" w:type="dxa"/>
            <w:vAlign w:val="center"/>
          </w:tcPr>
          <w:p w:rsidR="00A742F0" w:rsidRDefault="00010F9F">
            <w:pPr>
              <w:jc w:val="center"/>
            </w:pPr>
            <w:r>
              <w:rPr>
                <w:color w:val="000000"/>
                <w:sz w:val="24"/>
                <w:szCs w:val="24"/>
              </w:rPr>
              <w:t>002353</w:t>
            </w:r>
          </w:p>
        </w:tc>
        <w:tc>
          <w:tcPr>
            <w:tcW w:w="1355" w:type="dxa"/>
            <w:vAlign w:val="center"/>
          </w:tcPr>
          <w:p w:rsidR="00A742F0" w:rsidRDefault="00010F9F">
            <w:pPr>
              <w:jc w:val="center"/>
            </w:pPr>
            <w:r>
              <w:rPr>
                <w:color w:val="000000"/>
                <w:sz w:val="24"/>
                <w:szCs w:val="24"/>
              </w:rPr>
              <w:t>杰瑞股份</w:t>
            </w:r>
          </w:p>
        </w:tc>
        <w:tc>
          <w:tcPr>
            <w:tcW w:w="1880" w:type="dxa"/>
            <w:vAlign w:val="center"/>
          </w:tcPr>
          <w:p w:rsidR="00A742F0" w:rsidRDefault="00010F9F">
            <w:pPr>
              <w:jc w:val="right"/>
            </w:pPr>
            <w:r>
              <w:rPr>
                <w:color w:val="000000"/>
                <w:sz w:val="24"/>
                <w:szCs w:val="24"/>
              </w:rPr>
              <w:t>47,152,422.42</w:t>
            </w:r>
          </w:p>
        </w:tc>
        <w:tc>
          <w:tcPr>
            <w:tcW w:w="1724" w:type="dxa"/>
            <w:vAlign w:val="center"/>
          </w:tcPr>
          <w:p w:rsidR="00A742F0" w:rsidRDefault="00010F9F">
            <w:pPr>
              <w:jc w:val="right"/>
            </w:pPr>
            <w:r>
              <w:rPr>
                <w:color w:val="000000"/>
                <w:sz w:val="24"/>
                <w:szCs w:val="24"/>
              </w:rPr>
              <w:t>3.98</w:t>
            </w:r>
          </w:p>
        </w:tc>
        <w:tc>
          <w:tcPr>
            <w:tcW w:w="1424" w:type="dxa"/>
            <w:vAlign w:val="center"/>
          </w:tcPr>
          <w:p w:rsidR="00A742F0" w:rsidRDefault="00010F9F">
            <w:pPr>
              <w:jc w:val="right"/>
            </w:pPr>
            <w:r>
              <w:rPr>
                <w:color w:val="000000"/>
                <w:sz w:val="24"/>
                <w:szCs w:val="24"/>
              </w:rPr>
              <w:t>重大事项</w:t>
            </w:r>
          </w:p>
        </w:tc>
      </w:tr>
      <w:tr w:rsidR="00A742F0">
        <w:trPr>
          <w:jc w:val="center"/>
        </w:trPr>
        <w:tc>
          <w:tcPr>
            <w:tcW w:w="1129" w:type="dxa"/>
            <w:vAlign w:val="center"/>
          </w:tcPr>
          <w:p w:rsidR="00A742F0" w:rsidRDefault="00010F9F">
            <w:pPr>
              <w:jc w:val="center"/>
            </w:pPr>
            <w:r>
              <w:rPr>
                <w:color w:val="000000"/>
                <w:sz w:val="24"/>
                <w:szCs w:val="24"/>
              </w:rPr>
              <w:t>2</w:t>
            </w:r>
          </w:p>
        </w:tc>
        <w:tc>
          <w:tcPr>
            <w:tcW w:w="1356" w:type="dxa"/>
            <w:vAlign w:val="center"/>
          </w:tcPr>
          <w:p w:rsidR="00A742F0" w:rsidRDefault="00010F9F">
            <w:pPr>
              <w:jc w:val="center"/>
            </w:pPr>
            <w:r>
              <w:rPr>
                <w:color w:val="000000"/>
                <w:sz w:val="24"/>
                <w:szCs w:val="24"/>
              </w:rPr>
              <w:t>600389</w:t>
            </w:r>
          </w:p>
        </w:tc>
        <w:tc>
          <w:tcPr>
            <w:tcW w:w="1355" w:type="dxa"/>
            <w:vAlign w:val="center"/>
          </w:tcPr>
          <w:p w:rsidR="00A742F0" w:rsidRDefault="00010F9F">
            <w:pPr>
              <w:jc w:val="center"/>
            </w:pPr>
            <w:r>
              <w:rPr>
                <w:color w:val="000000"/>
                <w:sz w:val="24"/>
                <w:szCs w:val="24"/>
              </w:rPr>
              <w:t>江山股份</w:t>
            </w:r>
          </w:p>
        </w:tc>
        <w:tc>
          <w:tcPr>
            <w:tcW w:w="1880" w:type="dxa"/>
            <w:vAlign w:val="center"/>
          </w:tcPr>
          <w:p w:rsidR="00A742F0" w:rsidRDefault="00010F9F">
            <w:pPr>
              <w:jc w:val="right"/>
            </w:pPr>
            <w:r>
              <w:rPr>
                <w:color w:val="000000"/>
                <w:sz w:val="24"/>
                <w:szCs w:val="24"/>
              </w:rPr>
              <w:t>34,312,152.55</w:t>
            </w:r>
          </w:p>
        </w:tc>
        <w:tc>
          <w:tcPr>
            <w:tcW w:w="1724" w:type="dxa"/>
            <w:vAlign w:val="center"/>
          </w:tcPr>
          <w:p w:rsidR="00A742F0" w:rsidRDefault="00010F9F">
            <w:pPr>
              <w:jc w:val="right"/>
            </w:pPr>
            <w:r>
              <w:rPr>
                <w:color w:val="000000"/>
                <w:sz w:val="24"/>
                <w:szCs w:val="24"/>
              </w:rPr>
              <w:t>2.90</w:t>
            </w:r>
          </w:p>
        </w:tc>
        <w:tc>
          <w:tcPr>
            <w:tcW w:w="1424" w:type="dxa"/>
            <w:vAlign w:val="center"/>
          </w:tcPr>
          <w:p w:rsidR="00A742F0" w:rsidRDefault="00010F9F">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453,576,306.10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163,686,069.94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87,356,438.23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529,905,937.81</w:t>
            </w:r>
          </w:p>
        </w:tc>
      </w:tr>
    </w:tbl>
    <w:p w:rsidR="00A742F0" w:rsidRDefault="00010F9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A742F0" w:rsidRDefault="00010F9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、中国证监会核准交银施罗德先进制造股票证券投资基金募集的文件；</w:t>
      </w:r>
      <w:r>
        <w:rPr>
          <w:color w:val="000000"/>
          <w:sz w:val="24"/>
          <w:szCs w:val="24"/>
        </w:rPr>
        <w:t xml:space="preserve"> </w:t>
      </w:r>
    </w:p>
    <w:p w:rsidR="00A742F0" w:rsidRDefault="00010F9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、《交银施罗德先进制造混合型证券投资基金基金合同》；</w:t>
      </w:r>
      <w:r>
        <w:rPr>
          <w:color w:val="000000"/>
          <w:sz w:val="24"/>
          <w:szCs w:val="24"/>
        </w:rPr>
        <w:t xml:space="preserve"> </w:t>
      </w:r>
    </w:p>
    <w:p w:rsidR="00A742F0" w:rsidRDefault="00010F9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、《交银施罗德先进制造混合型证券投资基金招募说明书》；</w:t>
      </w:r>
      <w:r>
        <w:rPr>
          <w:color w:val="000000"/>
          <w:sz w:val="24"/>
          <w:szCs w:val="24"/>
        </w:rPr>
        <w:t xml:space="preserve"> </w:t>
      </w:r>
    </w:p>
    <w:p w:rsidR="00A742F0" w:rsidRDefault="00010F9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、《交银施罗德先进制造混合型证券投资基金托管协议》；</w:t>
      </w:r>
    </w:p>
    <w:p w:rsidR="00A742F0" w:rsidRDefault="00010F9F">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、关于募集交银施罗德先进制造股票证券投资基金之法律意见书；</w:t>
      </w:r>
    </w:p>
    <w:p w:rsidR="00A742F0" w:rsidRDefault="00010F9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A742F0" w:rsidRDefault="00010F9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、报告期内交银施罗德先进制造混合型证券投资基金在指定报刊上各项公告的原稿。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A742F0" w:rsidRDefault="00010F9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56424D">
      <w:rPr>
        <w:noProof/>
        <w:kern w:val="0"/>
        <w:szCs w:val="21"/>
      </w:rPr>
      <w:t>7</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56424D">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0F9F"/>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708"/>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D7D03"/>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55DC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424D"/>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0B2C"/>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42F0"/>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01FA7-F2C8-4898-B842-6B21C785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11</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567</cp:revision>
  <dcterms:created xsi:type="dcterms:W3CDTF">2012-10-16T06:07:00Z</dcterms:created>
  <dcterms:modified xsi:type="dcterms:W3CDTF">2016-04-19T03:09:00Z</dcterms:modified>
</cp:coreProperties>
</file>