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0417">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F1B8A" w:rsidRDefault="00AB041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F1B8A" w:rsidRDefault="00AB0417">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F1B8A" w:rsidRDefault="00AB041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F1B8A" w:rsidRDefault="00AB041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F1B8A" w:rsidRDefault="00AB041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041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1,705,325,174.35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041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B0417" w:rsidRPr="00414345" w:rsidTr="00AB041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B0417" w:rsidRPr="00414345" w:rsidTr="00AB04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-148,218,335.38</w:t>
            </w:r>
          </w:p>
        </w:tc>
      </w:tr>
      <w:tr w:rsidR="00AB0417" w:rsidRPr="00414345" w:rsidTr="00AB04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-652,212,514.43</w:t>
            </w:r>
          </w:p>
        </w:tc>
      </w:tr>
      <w:tr w:rsidR="00AB0417" w:rsidRPr="00414345" w:rsidTr="00AB04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-0.4267</w:t>
            </w:r>
          </w:p>
        </w:tc>
      </w:tr>
      <w:tr w:rsidR="00AB0417" w:rsidRPr="00414345" w:rsidTr="00AB04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2,321,991,237.62</w:t>
            </w:r>
          </w:p>
        </w:tc>
      </w:tr>
      <w:tr w:rsidR="00AB0417" w:rsidRPr="00414345" w:rsidTr="00AB041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1.3616</w:t>
            </w:r>
          </w:p>
        </w:tc>
      </w:tr>
    </w:tbl>
    <w:p w:rsidR="00DF1B8A" w:rsidRDefault="00AB041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F86E34">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F1B8A">
        <w:trPr>
          <w:jc w:val="center"/>
        </w:trPr>
        <w:tc>
          <w:tcPr>
            <w:tcW w:w="1701" w:type="dxa"/>
            <w:vAlign w:val="center"/>
          </w:tcPr>
          <w:p w:rsidR="00DF1B8A" w:rsidRDefault="00AB0417">
            <w:pPr>
              <w:jc w:val="left"/>
            </w:pPr>
            <w:r>
              <w:rPr>
                <w:color w:val="000000"/>
                <w:sz w:val="24"/>
                <w:szCs w:val="24"/>
              </w:rPr>
              <w:t>过去三个月</w:t>
            </w:r>
          </w:p>
        </w:tc>
        <w:tc>
          <w:tcPr>
            <w:tcW w:w="1045" w:type="dxa"/>
            <w:vAlign w:val="center"/>
          </w:tcPr>
          <w:p w:rsidR="00DF1B8A" w:rsidRDefault="00AB0417">
            <w:pPr>
              <w:jc w:val="center"/>
            </w:pPr>
            <w:r>
              <w:rPr>
                <w:color w:val="000000"/>
                <w:sz w:val="24"/>
                <w:szCs w:val="24"/>
              </w:rPr>
              <w:t>-22.43%</w:t>
            </w:r>
          </w:p>
        </w:tc>
        <w:tc>
          <w:tcPr>
            <w:tcW w:w="1344" w:type="dxa"/>
            <w:vAlign w:val="center"/>
          </w:tcPr>
          <w:p w:rsidR="00DF1B8A" w:rsidRDefault="00AB0417">
            <w:pPr>
              <w:jc w:val="center"/>
            </w:pPr>
            <w:r>
              <w:rPr>
                <w:color w:val="000000"/>
                <w:sz w:val="24"/>
                <w:szCs w:val="24"/>
              </w:rPr>
              <w:t>3.83%</w:t>
            </w:r>
          </w:p>
        </w:tc>
        <w:tc>
          <w:tcPr>
            <w:tcW w:w="1194" w:type="dxa"/>
            <w:vAlign w:val="center"/>
          </w:tcPr>
          <w:p w:rsidR="00DF1B8A" w:rsidRDefault="00AB0417">
            <w:pPr>
              <w:jc w:val="center"/>
            </w:pPr>
            <w:r>
              <w:rPr>
                <w:color w:val="000000"/>
                <w:sz w:val="24"/>
                <w:szCs w:val="24"/>
              </w:rPr>
              <w:t>-13.54%</w:t>
            </w:r>
          </w:p>
        </w:tc>
        <w:tc>
          <w:tcPr>
            <w:tcW w:w="1492" w:type="dxa"/>
            <w:vAlign w:val="center"/>
          </w:tcPr>
          <w:p w:rsidR="00DF1B8A" w:rsidRDefault="00AB0417">
            <w:pPr>
              <w:jc w:val="center"/>
            </w:pPr>
            <w:r>
              <w:rPr>
                <w:color w:val="000000"/>
                <w:sz w:val="24"/>
                <w:szCs w:val="24"/>
              </w:rPr>
              <w:t>2.34%</w:t>
            </w:r>
          </w:p>
        </w:tc>
        <w:tc>
          <w:tcPr>
            <w:tcW w:w="1194" w:type="dxa"/>
            <w:vAlign w:val="center"/>
          </w:tcPr>
          <w:p w:rsidR="00DF1B8A" w:rsidRDefault="00AB0417">
            <w:pPr>
              <w:jc w:val="center"/>
            </w:pPr>
            <w:r>
              <w:rPr>
                <w:color w:val="000000"/>
                <w:sz w:val="24"/>
                <w:szCs w:val="24"/>
              </w:rPr>
              <w:t>-8.89%</w:t>
            </w:r>
          </w:p>
        </w:tc>
        <w:tc>
          <w:tcPr>
            <w:tcW w:w="898" w:type="dxa"/>
            <w:vAlign w:val="center"/>
          </w:tcPr>
          <w:p w:rsidR="00DF1B8A" w:rsidRDefault="00AB0417">
            <w:pPr>
              <w:jc w:val="center"/>
            </w:pPr>
            <w:r>
              <w:rPr>
                <w:color w:val="000000"/>
                <w:sz w:val="24"/>
                <w:szCs w:val="24"/>
              </w:rPr>
              <w:t>1.49%</w:t>
            </w:r>
          </w:p>
        </w:tc>
      </w:tr>
    </w:tbl>
    <w:p w:rsidR="00F86E34" w:rsidRDefault="00F86E34" w:rsidP="00F86E34">
      <w:pPr>
        <w:tabs>
          <w:tab w:val="left" w:pos="2268"/>
        </w:tabs>
        <w:autoSpaceDE w:val="0"/>
        <w:autoSpaceDN w:val="0"/>
        <w:adjustRightInd w:val="0"/>
        <w:spacing w:before="29" w:line="288" w:lineRule="auto"/>
        <w:jc w:val="left"/>
        <w:rPr>
          <w:color w:val="000000"/>
          <w:sz w:val="24"/>
          <w:szCs w:val="24"/>
        </w:rPr>
      </w:pPr>
      <w:r>
        <w:rPr>
          <w:rFonts w:hint="eastAsia"/>
          <w:color w:val="000000"/>
          <w:sz w:val="24"/>
          <w:szCs w:val="24"/>
        </w:rPr>
        <w:t>注：本基金业绩比较基准自</w:t>
      </w:r>
      <w:r>
        <w:rPr>
          <w:color w:val="000000"/>
          <w:sz w:val="24"/>
          <w:szCs w:val="24"/>
        </w:rPr>
        <w:t>2015</w:t>
      </w:r>
      <w:r>
        <w:rPr>
          <w:rFonts w:hint="eastAsia"/>
          <w:color w:val="000000"/>
          <w:sz w:val="24"/>
          <w:szCs w:val="24"/>
        </w:rPr>
        <w:t>年</w:t>
      </w:r>
      <w:r>
        <w:rPr>
          <w:color w:val="000000"/>
          <w:sz w:val="24"/>
          <w:szCs w:val="24"/>
        </w:rPr>
        <w:t>10</w:t>
      </w:r>
      <w:r>
        <w:rPr>
          <w:rFonts w:hint="eastAsia"/>
          <w:color w:val="000000"/>
          <w:sz w:val="24"/>
          <w:szCs w:val="24"/>
        </w:rPr>
        <w:t>月</w:t>
      </w:r>
      <w:r>
        <w:rPr>
          <w:color w:val="000000"/>
          <w:sz w:val="24"/>
          <w:szCs w:val="24"/>
        </w:rPr>
        <w:t>1</w:t>
      </w:r>
      <w:r>
        <w:rPr>
          <w:rFonts w:hint="eastAsia"/>
          <w:color w:val="000000"/>
          <w:sz w:val="24"/>
          <w:szCs w:val="24"/>
        </w:rPr>
        <w:t>日起，由</w:t>
      </w:r>
      <w:r>
        <w:rPr>
          <w:color w:val="000000"/>
          <w:sz w:val="24"/>
          <w:szCs w:val="24"/>
        </w:rPr>
        <w:t>“75%×</w:t>
      </w:r>
      <w:r>
        <w:rPr>
          <w:rFonts w:hint="eastAsia"/>
          <w:color w:val="000000"/>
          <w:sz w:val="24"/>
          <w:szCs w:val="24"/>
        </w:rPr>
        <w:t>中证</w:t>
      </w:r>
      <w:r>
        <w:rPr>
          <w:color w:val="000000"/>
          <w:sz w:val="24"/>
          <w:szCs w:val="24"/>
        </w:rPr>
        <w:t>700</w:t>
      </w:r>
      <w:r>
        <w:rPr>
          <w:rFonts w:hint="eastAsia"/>
          <w:color w:val="000000"/>
          <w:sz w:val="24"/>
          <w:szCs w:val="24"/>
        </w:rPr>
        <w:t>指数</w:t>
      </w:r>
      <w:r>
        <w:rPr>
          <w:color w:val="000000"/>
          <w:sz w:val="24"/>
          <w:szCs w:val="24"/>
        </w:rPr>
        <w:t>+25%×</w:t>
      </w:r>
      <w:r>
        <w:rPr>
          <w:rFonts w:hint="eastAsia"/>
          <w:color w:val="000000"/>
          <w:sz w:val="24"/>
          <w:szCs w:val="24"/>
        </w:rPr>
        <w:t>中信全债指数</w:t>
      </w:r>
      <w:r>
        <w:rPr>
          <w:color w:val="000000"/>
          <w:sz w:val="24"/>
          <w:szCs w:val="24"/>
        </w:rPr>
        <w:t>”</w:t>
      </w:r>
      <w:r>
        <w:rPr>
          <w:rFonts w:hint="eastAsia"/>
          <w:color w:val="000000"/>
          <w:sz w:val="24"/>
          <w:szCs w:val="24"/>
        </w:rPr>
        <w:t>变更为</w:t>
      </w:r>
      <w:r>
        <w:rPr>
          <w:color w:val="000000"/>
          <w:sz w:val="24"/>
          <w:szCs w:val="24"/>
        </w:rPr>
        <w:t>“75%×</w:t>
      </w:r>
      <w:r>
        <w:rPr>
          <w:rFonts w:hint="eastAsia"/>
          <w:color w:val="000000"/>
          <w:sz w:val="24"/>
          <w:szCs w:val="24"/>
        </w:rPr>
        <w:t>中证</w:t>
      </w:r>
      <w:r>
        <w:rPr>
          <w:color w:val="000000"/>
          <w:sz w:val="24"/>
          <w:szCs w:val="24"/>
        </w:rPr>
        <w:t>700</w:t>
      </w:r>
      <w:r>
        <w:rPr>
          <w:rFonts w:hint="eastAsia"/>
          <w:color w:val="000000"/>
          <w:sz w:val="24"/>
          <w:szCs w:val="24"/>
        </w:rPr>
        <w:t>指数</w:t>
      </w:r>
      <w:r>
        <w:rPr>
          <w:color w:val="000000"/>
          <w:sz w:val="24"/>
          <w:szCs w:val="24"/>
        </w:rPr>
        <w:t>+25%×</w:t>
      </w:r>
      <w:r>
        <w:rPr>
          <w:rFonts w:hint="eastAsia"/>
          <w:color w:val="000000"/>
          <w:sz w:val="24"/>
          <w:szCs w:val="24"/>
        </w:rPr>
        <w:t>中证综合债券指数</w:t>
      </w:r>
      <w:r>
        <w:rPr>
          <w:color w:val="000000"/>
          <w:sz w:val="24"/>
          <w:szCs w:val="24"/>
        </w:rPr>
        <w:t>”</w:t>
      </w:r>
      <w:r>
        <w:rPr>
          <w:rFonts w:hint="eastAsia"/>
          <w:color w:val="000000"/>
          <w:sz w:val="24"/>
          <w:szCs w:val="24"/>
        </w:rPr>
        <w:t>，</w:t>
      </w:r>
      <w:r>
        <w:rPr>
          <w:color w:val="000000"/>
          <w:sz w:val="24"/>
          <w:szCs w:val="24"/>
        </w:rPr>
        <w:t>3.2.2</w:t>
      </w:r>
      <w:r>
        <w:rPr>
          <w:rFonts w:hint="eastAsia"/>
          <w:color w:val="000000"/>
          <w:sz w:val="24"/>
          <w:szCs w:val="24"/>
        </w:rPr>
        <w:t>同。详情见本基金管理人于</w:t>
      </w:r>
      <w:r>
        <w:rPr>
          <w:color w:val="000000"/>
          <w:sz w:val="24"/>
          <w:szCs w:val="24"/>
        </w:rPr>
        <w:t>2015</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28</w:t>
      </w:r>
      <w:r>
        <w:rPr>
          <w:rFonts w:hint="eastAsia"/>
          <w:color w:val="000000"/>
          <w:sz w:val="24"/>
          <w:szCs w:val="24"/>
        </w:rPr>
        <w:t>日发布的《交银施罗德基金管理有限公司关于旗下部分基金业绩比较基准变更并修改基金合同相关内容的公告》。</w:t>
      </w:r>
    </w:p>
    <w:p w:rsidR="004061AC" w:rsidRPr="00F86E34"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AB041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F1B8A">
        <w:trPr>
          <w:jc w:val="center"/>
        </w:trPr>
        <w:tc>
          <w:tcPr>
            <w:tcW w:w="846" w:type="dxa"/>
            <w:vAlign w:val="center"/>
          </w:tcPr>
          <w:p w:rsidR="00DF1B8A" w:rsidRDefault="00AB0417">
            <w:pPr>
              <w:jc w:val="center"/>
            </w:pPr>
            <w:r>
              <w:rPr>
                <w:color w:val="000000"/>
                <w:sz w:val="24"/>
                <w:szCs w:val="24"/>
              </w:rPr>
              <w:t>芮晨</w:t>
            </w:r>
          </w:p>
        </w:tc>
        <w:tc>
          <w:tcPr>
            <w:tcW w:w="845" w:type="dxa"/>
            <w:vAlign w:val="center"/>
          </w:tcPr>
          <w:p w:rsidR="00DF1B8A" w:rsidRDefault="00AB0417">
            <w:pPr>
              <w:jc w:val="center"/>
            </w:pPr>
            <w:r>
              <w:rPr>
                <w:color w:val="000000"/>
                <w:sz w:val="24"/>
                <w:szCs w:val="24"/>
              </w:rPr>
              <w:t>交银先锋混合的基金经理</w:t>
            </w:r>
          </w:p>
        </w:tc>
        <w:tc>
          <w:tcPr>
            <w:tcW w:w="1549" w:type="dxa"/>
            <w:vAlign w:val="center"/>
          </w:tcPr>
          <w:p w:rsidR="00DF1B8A" w:rsidRDefault="00AB0417">
            <w:pPr>
              <w:jc w:val="center"/>
            </w:pPr>
            <w:r>
              <w:rPr>
                <w:color w:val="000000"/>
                <w:sz w:val="24"/>
                <w:szCs w:val="24"/>
              </w:rPr>
              <w:t>2015-05-18</w:t>
            </w:r>
          </w:p>
        </w:tc>
        <w:tc>
          <w:tcPr>
            <w:tcW w:w="1548" w:type="dxa"/>
            <w:vAlign w:val="center"/>
          </w:tcPr>
          <w:p w:rsidR="00DF1B8A" w:rsidRDefault="00AB0417">
            <w:pPr>
              <w:jc w:val="center"/>
            </w:pPr>
            <w:r>
              <w:rPr>
                <w:color w:val="000000"/>
                <w:sz w:val="24"/>
                <w:szCs w:val="24"/>
              </w:rPr>
              <w:t>-</w:t>
            </w:r>
          </w:p>
        </w:tc>
        <w:tc>
          <w:tcPr>
            <w:tcW w:w="1407" w:type="dxa"/>
            <w:vAlign w:val="center"/>
          </w:tcPr>
          <w:p w:rsidR="00DF1B8A" w:rsidRDefault="00AB0417">
            <w:pPr>
              <w:jc w:val="center"/>
            </w:pPr>
            <w:r>
              <w:rPr>
                <w:color w:val="000000"/>
                <w:sz w:val="24"/>
                <w:szCs w:val="24"/>
              </w:rPr>
              <w:t>9</w:t>
            </w:r>
            <w:r>
              <w:rPr>
                <w:color w:val="000000"/>
                <w:sz w:val="24"/>
                <w:szCs w:val="24"/>
              </w:rPr>
              <w:t>年</w:t>
            </w:r>
          </w:p>
        </w:tc>
        <w:tc>
          <w:tcPr>
            <w:tcW w:w="2673" w:type="dxa"/>
            <w:vAlign w:val="center"/>
          </w:tcPr>
          <w:p w:rsidR="00DF1B8A" w:rsidRDefault="00AB0417">
            <w:r>
              <w:rPr>
                <w:color w:val="000000"/>
                <w:sz w:val="24"/>
                <w:szCs w:val="24"/>
              </w:rPr>
              <w:t>芮晨先生，内蒙古科技大学工学士。历任深圳尚诚资产管理有限公司研究员、研究副总监，国联安基金管理有限公司行业研究员、投资经理，</w:t>
            </w:r>
            <w:r>
              <w:rPr>
                <w:color w:val="000000"/>
                <w:sz w:val="24"/>
                <w:szCs w:val="24"/>
              </w:rPr>
              <w:t>2013</w:t>
            </w:r>
            <w:r>
              <w:rPr>
                <w:color w:val="000000"/>
                <w:sz w:val="24"/>
                <w:szCs w:val="24"/>
              </w:rPr>
              <w:t>年</w:t>
            </w:r>
            <w:r>
              <w:rPr>
                <w:color w:val="000000"/>
                <w:sz w:val="24"/>
                <w:szCs w:val="24"/>
              </w:rPr>
              <w:t>-2014</w:t>
            </w:r>
            <w:r>
              <w:rPr>
                <w:color w:val="000000"/>
                <w:sz w:val="24"/>
                <w:szCs w:val="24"/>
              </w:rPr>
              <w:t>年任浙商证券资产管理有限公司投资主办。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F1B8A" w:rsidRDefault="00AB041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F1B8A" w:rsidRDefault="00AB041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F1B8A" w:rsidRDefault="00AB041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AA0415" w:rsidRPr="00AA0415" w:rsidRDefault="00AA0415" w:rsidP="00C15CAC">
      <w:pPr>
        <w:spacing w:before="29" w:line="288" w:lineRule="auto"/>
        <w:ind w:firstLineChars="200" w:firstLine="480"/>
        <w:rPr>
          <w:rFonts w:hint="eastAsia"/>
          <w:color w:val="000000"/>
          <w:sz w:val="24"/>
          <w:szCs w:val="24"/>
        </w:rPr>
      </w:pPr>
      <w:bookmarkStart w:id="0" w:name="_GoBack"/>
      <w:bookmarkEnd w:id="0"/>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F1B8A" w:rsidRDefault="00AB0417">
      <w:pPr>
        <w:spacing w:before="29" w:line="288" w:lineRule="auto"/>
        <w:ind w:firstLineChars="200" w:firstLine="480"/>
        <w:rPr>
          <w:color w:val="000000"/>
          <w:sz w:val="24"/>
          <w:szCs w:val="24"/>
        </w:rPr>
      </w:pPr>
      <w:r>
        <w:rPr>
          <w:color w:val="000000"/>
          <w:sz w:val="24"/>
          <w:szCs w:val="24"/>
        </w:rPr>
        <w:t>一季度，基本面方面，延续</w:t>
      </w:r>
      <w:r>
        <w:rPr>
          <w:color w:val="000000"/>
          <w:sz w:val="24"/>
          <w:szCs w:val="24"/>
        </w:rPr>
        <w:t>2015</w:t>
      </w:r>
      <w:r>
        <w:rPr>
          <w:color w:val="000000"/>
          <w:sz w:val="24"/>
          <w:szCs w:val="24"/>
        </w:rPr>
        <w:t>年全年的特征，传统经济继续低位徘徊，新兴产业保持热度。市场层面，由于</w:t>
      </w:r>
      <w:r>
        <w:rPr>
          <w:color w:val="000000"/>
          <w:sz w:val="24"/>
          <w:szCs w:val="24"/>
        </w:rPr>
        <w:t>2016</w:t>
      </w:r>
      <w:r>
        <w:rPr>
          <w:color w:val="000000"/>
          <w:sz w:val="24"/>
          <w:szCs w:val="24"/>
        </w:rPr>
        <w:t>年年初人民币汇率突然波动，造成市场预期的混乱，市场开始调整，同时熔断机制放大了调整的幅度。但统观一季度，人民币贬值一致预期逐步削弱，美国加息延后，同时市场已经部分反映了美国加息的不利影响。从新兴产业的基本面和市场的流动性看，我们认为代表新兴产业的创业板仍处于向上的趋势当中。</w:t>
      </w:r>
    </w:p>
    <w:p w:rsidR="00DF1B8A" w:rsidRDefault="00AB0417">
      <w:pPr>
        <w:spacing w:before="29" w:line="288" w:lineRule="auto"/>
        <w:ind w:firstLineChars="200" w:firstLine="480"/>
        <w:rPr>
          <w:color w:val="000000"/>
          <w:sz w:val="24"/>
          <w:szCs w:val="24"/>
        </w:rPr>
      </w:pPr>
      <w:r>
        <w:rPr>
          <w:color w:val="000000"/>
          <w:sz w:val="24"/>
          <w:szCs w:val="24"/>
        </w:rPr>
        <w:t>一季度，本基金净值调整幅度较大。原因在于对于人民币汇率突然调整带来短期市场波动，未能充分地及时反应。</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w:t>
      </w:r>
      <w:r w:rsidRPr="00414345">
        <w:rPr>
          <w:color w:val="000000"/>
          <w:sz w:val="24"/>
          <w:szCs w:val="24"/>
        </w:rPr>
        <w:t>2016</w:t>
      </w:r>
      <w:r w:rsidRPr="00414345">
        <w:rPr>
          <w:color w:val="000000"/>
          <w:sz w:val="24"/>
          <w:szCs w:val="24"/>
        </w:rPr>
        <w:t>年二季度，我们认为在市场长期向上的趋势中，寻找新兴产业里可能长大的好公司，才是带来收益的重要途径，我们将保持风格不变。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 xml:space="preserve"> 1.3616 </w:t>
      </w:r>
      <w:r w:rsidRPr="00414345">
        <w:rPr>
          <w:color w:val="000000"/>
          <w:sz w:val="24"/>
          <w:szCs w:val="24"/>
        </w:rPr>
        <w:t>元，本报告期份额净值增长率为</w:t>
      </w:r>
      <w:r w:rsidRPr="00414345">
        <w:rPr>
          <w:color w:val="000000"/>
          <w:sz w:val="24"/>
          <w:szCs w:val="24"/>
        </w:rPr>
        <w:t>-22.43%</w:t>
      </w:r>
      <w:r w:rsidRPr="00414345">
        <w:rPr>
          <w:color w:val="000000"/>
          <w:sz w:val="24"/>
          <w:szCs w:val="24"/>
        </w:rPr>
        <w:t>，同期业绩比较基准增长率为</w:t>
      </w:r>
      <w:r w:rsidRPr="00414345">
        <w:rPr>
          <w:color w:val="000000"/>
          <w:sz w:val="24"/>
          <w:szCs w:val="24"/>
        </w:rPr>
        <w:t>-13.54%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041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2,117,512,740.01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90.71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2,117,512,740.01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90.71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115,195,623.27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4.94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101,540,351.22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4.35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2,334,248,714.50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94,470,355.59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1,248,515,272.71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100,874,758.20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615,158,450.63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58,493,902.88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2,117,512,740.01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91.19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F1B8A">
        <w:trPr>
          <w:jc w:val="center"/>
        </w:trPr>
        <w:tc>
          <w:tcPr>
            <w:tcW w:w="855" w:type="dxa"/>
            <w:vAlign w:val="center"/>
          </w:tcPr>
          <w:p w:rsidR="00DF1B8A" w:rsidRDefault="00AB0417">
            <w:pPr>
              <w:jc w:val="center"/>
            </w:pPr>
            <w:r>
              <w:rPr>
                <w:color w:val="000000"/>
                <w:sz w:val="24"/>
                <w:szCs w:val="24"/>
              </w:rPr>
              <w:t>1</w:t>
            </w:r>
          </w:p>
        </w:tc>
        <w:tc>
          <w:tcPr>
            <w:tcW w:w="1334" w:type="dxa"/>
            <w:vAlign w:val="center"/>
          </w:tcPr>
          <w:p w:rsidR="00DF1B8A" w:rsidRDefault="00AB0417">
            <w:pPr>
              <w:jc w:val="center"/>
            </w:pPr>
            <w:r>
              <w:rPr>
                <w:color w:val="000000"/>
                <w:sz w:val="24"/>
                <w:szCs w:val="24"/>
              </w:rPr>
              <w:t>300365</w:t>
            </w:r>
          </w:p>
        </w:tc>
        <w:tc>
          <w:tcPr>
            <w:tcW w:w="1777" w:type="dxa"/>
            <w:vAlign w:val="center"/>
          </w:tcPr>
          <w:p w:rsidR="00DF1B8A" w:rsidRDefault="00AB0417">
            <w:pPr>
              <w:jc w:val="center"/>
            </w:pPr>
            <w:r>
              <w:rPr>
                <w:color w:val="000000"/>
                <w:sz w:val="24"/>
                <w:szCs w:val="24"/>
              </w:rPr>
              <w:t>恒华科技</w:t>
            </w:r>
          </w:p>
        </w:tc>
        <w:tc>
          <w:tcPr>
            <w:tcW w:w="1334" w:type="dxa"/>
            <w:vAlign w:val="center"/>
          </w:tcPr>
          <w:p w:rsidR="00DF1B8A" w:rsidRDefault="00AB0417">
            <w:pPr>
              <w:jc w:val="right"/>
            </w:pPr>
            <w:r>
              <w:rPr>
                <w:color w:val="000000"/>
                <w:sz w:val="24"/>
                <w:szCs w:val="24"/>
              </w:rPr>
              <w:t>6,486,639</w:t>
            </w:r>
          </w:p>
        </w:tc>
        <w:tc>
          <w:tcPr>
            <w:tcW w:w="1924" w:type="dxa"/>
            <w:vAlign w:val="center"/>
          </w:tcPr>
          <w:p w:rsidR="00DF1B8A" w:rsidRDefault="00AB0417">
            <w:pPr>
              <w:jc w:val="right"/>
            </w:pPr>
            <w:r>
              <w:rPr>
                <w:color w:val="000000"/>
                <w:sz w:val="24"/>
                <w:szCs w:val="24"/>
              </w:rPr>
              <w:t>228,329,692.80</w:t>
            </w:r>
          </w:p>
        </w:tc>
        <w:tc>
          <w:tcPr>
            <w:tcW w:w="1644" w:type="dxa"/>
            <w:vAlign w:val="center"/>
          </w:tcPr>
          <w:p w:rsidR="00DF1B8A" w:rsidRDefault="00AB0417">
            <w:pPr>
              <w:jc w:val="right"/>
            </w:pPr>
            <w:r>
              <w:rPr>
                <w:color w:val="000000"/>
                <w:sz w:val="24"/>
                <w:szCs w:val="24"/>
              </w:rPr>
              <w:t>9.83</w:t>
            </w:r>
          </w:p>
        </w:tc>
      </w:tr>
      <w:tr w:rsidR="00DF1B8A">
        <w:trPr>
          <w:jc w:val="center"/>
        </w:trPr>
        <w:tc>
          <w:tcPr>
            <w:tcW w:w="855" w:type="dxa"/>
            <w:vAlign w:val="center"/>
          </w:tcPr>
          <w:p w:rsidR="00DF1B8A" w:rsidRDefault="00AB0417">
            <w:pPr>
              <w:jc w:val="center"/>
            </w:pPr>
            <w:r>
              <w:rPr>
                <w:color w:val="000000"/>
                <w:sz w:val="24"/>
                <w:szCs w:val="24"/>
              </w:rPr>
              <w:t>2</w:t>
            </w:r>
          </w:p>
        </w:tc>
        <w:tc>
          <w:tcPr>
            <w:tcW w:w="1334" w:type="dxa"/>
            <w:vAlign w:val="center"/>
          </w:tcPr>
          <w:p w:rsidR="00DF1B8A" w:rsidRDefault="00AB0417">
            <w:pPr>
              <w:jc w:val="center"/>
            </w:pPr>
            <w:r>
              <w:rPr>
                <w:color w:val="000000"/>
                <w:sz w:val="24"/>
                <w:szCs w:val="24"/>
              </w:rPr>
              <w:t>002098</w:t>
            </w:r>
          </w:p>
        </w:tc>
        <w:tc>
          <w:tcPr>
            <w:tcW w:w="1777" w:type="dxa"/>
            <w:vAlign w:val="center"/>
          </w:tcPr>
          <w:p w:rsidR="00DF1B8A" w:rsidRDefault="00AB0417">
            <w:pPr>
              <w:jc w:val="center"/>
            </w:pPr>
            <w:r>
              <w:rPr>
                <w:color w:val="000000"/>
                <w:sz w:val="24"/>
                <w:szCs w:val="24"/>
              </w:rPr>
              <w:t>浔兴股份</w:t>
            </w:r>
          </w:p>
        </w:tc>
        <w:tc>
          <w:tcPr>
            <w:tcW w:w="1334" w:type="dxa"/>
            <w:vAlign w:val="center"/>
          </w:tcPr>
          <w:p w:rsidR="00DF1B8A" w:rsidRDefault="00AB0417">
            <w:pPr>
              <w:jc w:val="right"/>
            </w:pPr>
            <w:r>
              <w:rPr>
                <w:color w:val="000000"/>
                <w:sz w:val="24"/>
                <w:szCs w:val="24"/>
              </w:rPr>
              <w:t>16,819,074</w:t>
            </w:r>
          </w:p>
        </w:tc>
        <w:tc>
          <w:tcPr>
            <w:tcW w:w="1924" w:type="dxa"/>
            <w:vAlign w:val="center"/>
          </w:tcPr>
          <w:p w:rsidR="00DF1B8A" w:rsidRDefault="00AB0417">
            <w:pPr>
              <w:jc w:val="right"/>
            </w:pPr>
            <w:r>
              <w:rPr>
                <w:color w:val="000000"/>
                <w:sz w:val="24"/>
                <w:szCs w:val="24"/>
              </w:rPr>
              <w:t>206,370,037.98</w:t>
            </w:r>
          </w:p>
        </w:tc>
        <w:tc>
          <w:tcPr>
            <w:tcW w:w="1644" w:type="dxa"/>
            <w:vAlign w:val="center"/>
          </w:tcPr>
          <w:p w:rsidR="00DF1B8A" w:rsidRDefault="00AB0417">
            <w:pPr>
              <w:jc w:val="right"/>
            </w:pPr>
            <w:r>
              <w:rPr>
                <w:color w:val="000000"/>
                <w:sz w:val="24"/>
                <w:szCs w:val="24"/>
              </w:rPr>
              <w:t>8.89</w:t>
            </w:r>
          </w:p>
        </w:tc>
      </w:tr>
      <w:tr w:rsidR="00DF1B8A">
        <w:trPr>
          <w:jc w:val="center"/>
        </w:trPr>
        <w:tc>
          <w:tcPr>
            <w:tcW w:w="855" w:type="dxa"/>
            <w:vAlign w:val="center"/>
          </w:tcPr>
          <w:p w:rsidR="00DF1B8A" w:rsidRDefault="00AB0417">
            <w:pPr>
              <w:jc w:val="center"/>
            </w:pPr>
            <w:r>
              <w:rPr>
                <w:color w:val="000000"/>
                <w:sz w:val="24"/>
                <w:szCs w:val="24"/>
              </w:rPr>
              <w:t>3</w:t>
            </w:r>
          </w:p>
        </w:tc>
        <w:tc>
          <w:tcPr>
            <w:tcW w:w="1334" w:type="dxa"/>
            <w:vAlign w:val="center"/>
          </w:tcPr>
          <w:p w:rsidR="00DF1B8A" w:rsidRDefault="00AB0417">
            <w:pPr>
              <w:jc w:val="center"/>
            </w:pPr>
            <w:r>
              <w:rPr>
                <w:color w:val="000000"/>
                <w:sz w:val="24"/>
                <w:szCs w:val="24"/>
              </w:rPr>
              <w:t>300279</w:t>
            </w:r>
          </w:p>
        </w:tc>
        <w:tc>
          <w:tcPr>
            <w:tcW w:w="1777" w:type="dxa"/>
            <w:vAlign w:val="center"/>
          </w:tcPr>
          <w:p w:rsidR="00DF1B8A" w:rsidRDefault="00AB0417">
            <w:pPr>
              <w:jc w:val="center"/>
            </w:pPr>
            <w:r>
              <w:rPr>
                <w:color w:val="000000"/>
                <w:sz w:val="24"/>
                <w:szCs w:val="24"/>
              </w:rPr>
              <w:t>和晶科技</w:t>
            </w:r>
          </w:p>
        </w:tc>
        <w:tc>
          <w:tcPr>
            <w:tcW w:w="1334" w:type="dxa"/>
            <w:vAlign w:val="center"/>
          </w:tcPr>
          <w:p w:rsidR="00DF1B8A" w:rsidRDefault="00AB0417">
            <w:pPr>
              <w:jc w:val="right"/>
            </w:pPr>
            <w:r>
              <w:rPr>
                <w:color w:val="000000"/>
                <w:sz w:val="24"/>
                <w:szCs w:val="24"/>
              </w:rPr>
              <w:t>6,205,203</w:t>
            </w:r>
          </w:p>
        </w:tc>
        <w:tc>
          <w:tcPr>
            <w:tcW w:w="1924" w:type="dxa"/>
            <w:vAlign w:val="center"/>
          </w:tcPr>
          <w:p w:rsidR="00DF1B8A" w:rsidRDefault="00AB0417">
            <w:pPr>
              <w:jc w:val="right"/>
            </w:pPr>
            <w:r>
              <w:rPr>
                <w:color w:val="000000"/>
                <w:sz w:val="24"/>
                <w:szCs w:val="24"/>
              </w:rPr>
              <w:t>201,048,577.20</w:t>
            </w:r>
          </w:p>
        </w:tc>
        <w:tc>
          <w:tcPr>
            <w:tcW w:w="1644" w:type="dxa"/>
            <w:vAlign w:val="center"/>
          </w:tcPr>
          <w:p w:rsidR="00DF1B8A" w:rsidRDefault="00AB0417">
            <w:pPr>
              <w:jc w:val="right"/>
            </w:pPr>
            <w:r>
              <w:rPr>
                <w:color w:val="000000"/>
                <w:sz w:val="24"/>
                <w:szCs w:val="24"/>
              </w:rPr>
              <w:t>8.66</w:t>
            </w:r>
          </w:p>
        </w:tc>
      </w:tr>
      <w:tr w:rsidR="00DF1B8A">
        <w:trPr>
          <w:jc w:val="center"/>
        </w:trPr>
        <w:tc>
          <w:tcPr>
            <w:tcW w:w="855" w:type="dxa"/>
            <w:vAlign w:val="center"/>
          </w:tcPr>
          <w:p w:rsidR="00DF1B8A" w:rsidRDefault="00AB0417">
            <w:pPr>
              <w:jc w:val="center"/>
            </w:pPr>
            <w:r>
              <w:rPr>
                <w:color w:val="000000"/>
                <w:sz w:val="24"/>
                <w:szCs w:val="24"/>
              </w:rPr>
              <w:t>4</w:t>
            </w:r>
          </w:p>
        </w:tc>
        <w:tc>
          <w:tcPr>
            <w:tcW w:w="1334" w:type="dxa"/>
            <w:vAlign w:val="center"/>
          </w:tcPr>
          <w:p w:rsidR="00DF1B8A" w:rsidRDefault="00AB0417">
            <w:pPr>
              <w:jc w:val="center"/>
            </w:pPr>
            <w:r>
              <w:rPr>
                <w:color w:val="000000"/>
                <w:sz w:val="24"/>
                <w:szCs w:val="24"/>
              </w:rPr>
              <w:t>002605</w:t>
            </w:r>
          </w:p>
        </w:tc>
        <w:tc>
          <w:tcPr>
            <w:tcW w:w="1777" w:type="dxa"/>
            <w:vAlign w:val="center"/>
          </w:tcPr>
          <w:p w:rsidR="00DF1B8A" w:rsidRDefault="00AB0417">
            <w:pPr>
              <w:jc w:val="center"/>
            </w:pPr>
            <w:r>
              <w:rPr>
                <w:color w:val="000000"/>
                <w:sz w:val="24"/>
                <w:szCs w:val="24"/>
              </w:rPr>
              <w:t>姚记扑克</w:t>
            </w:r>
          </w:p>
        </w:tc>
        <w:tc>
          <w:tcPr>
            <w:tcW w:w="1334" w:type="dxa"/>
            <w:vAlign w:val="center"/>
          </w:tcPr>
          <w:p w:rsidR="00DF1B8A" w:rsidRDefault="00AB0417">
            <w:pPr>
              <w:jc w:val="right"/>
            </w:pPr>
            <w:r>
              <w:rPr>
                <w:color w:val="000000"/>
                <w:sz w:val="24"/>
                <w:szCs w:val="24"/>
              </w:rPr>
              <w:t>10,622,355</w:t>
            </w:r>
          </w:p>
        </w:tc>
        <w:tc>
          <w:tcPr>
            <w:tcW w:w="1924" w:type="dxa"/>
            <w:vAlign w:val="center"/>
          </w:tcPr>
          <w:p w:rsidR="00DF1B8A" w:rsidRDefault="00AB0417">
            <w:pPr>
              <w:jc w:val="right"/>
            </w:pPr>
            <w:r>
              <w:rPr>
                <w:color w:val="000000"/>
                <w:sz w:val="24"/>
                <w:szCs w:val="24"/>
              </w:rPr>
              <w:t>184,191,635.70</w:t>
            </w:r>
          </w:p>
        </w:tc>
        <w:tc>
          <w:tcPr>
            <w:tcW w:w="1644" w:type="dxa"/>
            <w:vAlign w:val="center"/>
          </w:tcPr>
          <w:p w:rsidR="00DF1B8A" w:rsidRDefault="00AB0417">
            <w:pPr>
              <w:jc w:val="right"/>
            </w:pPr>
            <w:r>
              <w:rPr>
                <w:color w:val="000000"/>
                <w:sz w:val="24"/>
                <w:szCs w:val="24"/>
              </w:rPr>
              <w:t>7.93</w:t>
            </w:r>
          </w:p>
        </w:tc>
      </w:tr>
      <w:tr w:rsidR="00DF1B8A">
        <w:trPr>
          <w:jc w:val="center"/>
        </w:trPr>
        <w:tc>
          <w:tcPr>
            <w:tcW w:w="855" w:type="dxa"/>
            <w:vAlign w:val="center"/>
          </w:tcPr>
          <w:p w:rsidR="00DF1B8A" w:rsidRDefault="00AB0417">
            <w:pPr>
              <w:jc w:val="center"/>
            </w:pPr>
            <w:r>
              <w:rPr>
                <w:color w:val="000000"/>
                <w:sz w:val="24"/>
                <w:szCs w:val="24"/>
              </w:rPr>
              <w:t>5</w:t>
            </w:r>
          </w:p>
        </w:tc>
        <w:tc>
          <w:tcPr>
            <w:tcW w:w="1334" w:type="dxa"/>
            <w:vAlign w:val="center"/>
          </w:tcPr>
          <w:p w:rsidR="00DF1B8A" w:rsidRDefault="00AB0417">
            <w:pPr>
              <w:jc w:val="center"/>
            </w:pPr>
            <w:r>
              <w:rPr>
                <w:color w:val="000000"/>
                <w:sz w:val="24"/>
                <w:szCs w:val="24"/>
              </w:rPr>
              <w:t>300226</w:t>
            </w:r>
          </w:p>
        </w:tc>
        <w:tc>
          <w:tcPr>
            <w:tcW w:w="1777" w:type="dxa"/>
            <w:vAlign w:val="center"/>
          </w:tcPr>
          <w:p w:rsidR="00DF1B8A" w:rsidRDefault="00AB0417">
            <w:pPr>
              <w:jc w:val="center"/>
            </w:pPr>
            <w:r>
              <w:rPr>
                <w:color w:val="000000"/>
                <w:sz w:val="24"/>
                <w:szCs w:val="24"/>
              </w:rPr>
              <w:t>上海钢联</w:t>
            </w:r>
          </w:p>
        </w:tc>
        <w:tc>
          <w:tcPr>
            <w:tcW w:w="1334" w:type="dxa"/>
            <w:vAlign w:val="center"/>
          </w:tcPr>
          <w:p w:rsidR="00DF1B8A" w:rsidRDefault="00AB0417">
            <w:pPr>
              <w:jc w:val="right"/>
            </w:pPr>
            <w:r>
              <w:rPr>
                <w:color w:val="000000"/>
                <w:sz w:val="24"/>
                <w:szCs w:val="24"/>
              </w:rPr>
              <w:t>2,728,368</w:t>
            </w:r>
          </w:p>
        </w:tc>
        <w:tc>
          <w:tcPr>
            <w:tcW w:w="1924" w:type="dxa"/>
            <w:vAlign w:val="center"/>
          </w:tcPr>
          <w:p w:rsidR="00DF1B8A" w:rsidRDefault="00AB0417">
            <w:pPr>
              <w:jc w:val="right"/>
            </w:pPr>
            <w:r>
              <w:rPr>
                <w:color w:val="000000"/>
                <w:sz w:val="24"/>
                <w:szCs w:val="24"/>
              </w:rPr>
              <w:t>127,824,040.80</w:t>
            </w:r>
          </w:p>
        </w:tc>
        <w:tc>
          <w:tcPr>
            <w:tcW w:w="1644" w:type="dxa"/>
            <w:vAlign w:val="center"/>
          </w:tcPr>
          <w:p w:rsidR="00DF1B8A" w:rsidRDefault="00AB0417">
            <w:pPr>
              <w:jc w:val="right"/>
            </w:pPr>
            <w:r>
              <w:rPr>
                <w:color w:val="000000"/>
                <w:sz w:val="24"/>
                <w:szCs w:val="24"/>
              </w:rPr>
              <w:t>5.50</w:t>
            </w:r>
          </w:p>
        </w:tc>
      </w:tr>
      <w:tr w:rsidR="00DF1B8A">
        <w:trPr>
          <w:jc w:val="center"/>
        </w:trPr>
        <w:tc>
          <w:tcPr>
            <w:tcW w:w="855" w:type="dxa"/>
            <w:vAlign w:val="center"/>
          </w:tcPr>
          <w:p w:rsidR="00DF1B8A" w:rsidRDefault="00AB0417">
            <w:pPr>
              <w:jc w:val="center"/>
            </w:pPr>
            <w:r>
              <w:rPr>
                <w:color w:val="000000"/>
                <w:sz w:val="24"/>
                <w:szCs w:val="24"/>
              </w:rPr>
              <w:t>6</w:t>
            </w:r>
          </w:p>
        </w:tc>
        <w:tc>
          <w:tcPr>
            <w:tcW w:w="1334" w:type="dxa"/>
            <w:vAlign w:val="center"/>
          </w:tcPr>
          <w:p w:rsidR="00DF1B8A" w:rsidRDefault="00AB0417">
            <w:pPr>
              <w:jc w:val="center"/>
            </w:pPr>
            <w:r>
              <w:rPr>
                <w:color w:val="000000"/>
                <w:sz w:val="24"/>
                <w:szCs w:val="24"/>
              </w:rPr>
              <w:t>300329</w:t>
            </w:r>
          </w:p>
        </w:tc>
        <w:tc>
          <w:tcPr>
            <w:tcW w:w="1777" w:type="dxa"/>
            <w:vAlign w:val="center"/>
          </w:tcPr>
          <w:p w:rsidR="00DF1B8A" w:rsidRDefault="00AB0417">
            <w:pPr>
              <w:jc w:val="center"/>
            </w:pPr>
            <w:r>
              <w:rPr>
                <w:color w:val="000000"/>
                <w:sz w:val="24"/>
                <w:szCs w:val="24"/>
              </w:rPr>
              <w:t>海伦钢琴</w:t>
            </w:r>
          </w:p>
        </w:tc>
        <w:tc>
          <w:tcPr>
            <w:tcW w:w="1334" w:type="dxa"/>
            <w:vAlign w:val="center"/>
          </w:tcPr>
          <w:p w:rsidR="00DF1B8A" w:rsidRDefault="00AB0417">
            <w:pPr>
              <w:jc w:val="right"/>
            </w:pPr>
            <w:r>
              <w:rPr>
                <w:color w:val="000000"/>
                <w:sz w:val="24"/>
                <w:szCs w:val="24"/>
              </w:rPr>
              <w:t>4,143,920</w:t>
            </w:r>
          </w:p>
        </w:tc>
        <w:tc>
          <w:tcPr>
            <w:tcW w:w="1924" w:type="dxa"/>
            <w:vAlign w:val="center"/>
          </w:tcPr>
          <w:p w:rsidR="00DF1B8A" w:rsidRDefault="00AB0417">
            <w:pPr>
              <w:jc w:val="right"/>
            </w:pPr>
            <w:r>
              <w:rPr>
                <w:color w:val="000000"/>
                <w:sz w:val="24"/>
                <w:szCs w:val="24"/>
              </w:rPr>
              <w:t>111,512,887.20</w:t>
            </w:r>
          </w:p>
        </w:tc>
        <w:tc>
          <w:tcPr>
            <w:tcW w:w="1644" w:type="dxa"/>
            <w:vAlign w:val="center"/>
          </w:tcPr>
          <w:p w:rsidR="00DF1B8A" w:rsidRDefault="00AB0417">
            <w:pPr>
              <w:jc w:val="right"/>
            </w:pPr>
            <w:r>
              <w:rPr>
                <w:color w:val="000000"/>
                <w:sz w:val="24"/>
                <w:szCs w:val="24"/>
              </w:rPr>
              <w:t>4.80</w:t>
            </w:r>
          </w:p>
        </w:tc>
      </w:tr>
      <w:tr w:rsidR="00DF1B8A">
        <w:trPr>
          <w:jc w:val="center"/>
        </w:trPr>
        <w:tc>
          <w:tcPr>
            <w:tcW w:w="855" w:type="dxa"/>
            <w:vAlign w:val="center"/>
          </w:tcPr>
          <w:p w:rsidR="00DF1B8A" w:rsidRDefault="00AB0417">
            <w:pPr>
              <w:jc w:val="center"/>
            </w:pPr>
            <w:r>
              <w:rPr>
                <w:color w:val="000000"/>
                <w:sz w:val="24"/>
                <w:szCs w:val="24"/>
              </w:rPr>
              <w:t>7</w:t>
            </w:r>
          </w:p>
        </w:tc>
        <w:tc>
          <w:tcPr>
            <w:tcW w:w="1334" w:type="dxa"/>
            <w:vAlign w:val="center"/>
          </w:tcPr>
          <w:p w:rsidR="00DF1B8A" w:rsidRDefault="00AB0417">
            <w:pPr>
              <w:jc w:val="center"/>
            </w:pPr>
            <w:r>
              <w:rPr>
                <w:color w:val="000000"/>
                <w:sz w:val="24"/>
                <w:szCs w:val="24"/>
              </w:rPr>
              <w:t>002094</w:t>
            </w:r>
          </w:p>
        </w:tc>
        <w:tc>
          <w:tcPr>
            <w:tcW w:w="1777" w:type="dxa"/>
            <w:vAlign w:val="center"/>
          </w:tcPr>
          <w:p w:rsidR="00DF1B8A" w:rsidRDefault="00AB0417">
            <w:pPr>
              <w:jc w:val="center"/>
            </w:pPr>
            <w:r>
              <w:rPr>
                <w:color w:val="000000"/>
                <w:sz w:val="24"/>
                <w:szCs w:val="24"/>
              </w:rPr>
              <w:t>青岛金王</w:t>
            </w:r>
          </w:p>
        </w:tc>
        <w:tc>
          <w:tcPr>
            <w:tcW w:w="1334" w:type="dxa"/>
            <w:vAlign w:val="center"/>
          </w:tcPr>
          <w:p w:rsidR="00DF1B8A" w:rsidRDefault="00AB0417">
            <w:pPr>
              <w:jc w:val="right"/>
            </w:pPr>
            <w:r>
              <w:rPr>
                <w:color w:val="000000"/>
                <w:sz w:val="24"/>
                <w:szCs w:val="24"/>
              </w:rPr>
              <w:t>4,596,801</w:t>
            </w:r>
          </w:p>
        </w:tc>
        <w:tc>
          <w:tcPr>
            <w:tcW w:w="1924" w:type="dxa"/>
            <w:vAlign w:val="center"/>
          </w:tcPr>
          <w:p w:rsidR="00DF1B8A" w:rsidRDefault="00AB0417">
            <w:pPr>
              <w:jc w:val="right"/>
            </w:pPr>
            <w:r>
              <w:rPr>
                <w:color w:val="000000"/>
                <w:sz w:val="24"/>
                <w:szCs w:val="24"/>
              </w:rPr>
              <w:t>105,726,423.00</w:t>
            </w:r>
          </w:p>
        </w:tc>
        <w:tc>
          <w:tcPr>
            <w:tcW w:w="1644" w:type="dxa"/>
            <w:vAlign w:val="center"/>
          </w:tcPr>
          <w:p w:rsidR="00DF1B8A" w:rsidRDefault="00AB0417">
            <w:pPr>
              <w:jc w:val="right"/>
            </w:pPr>
            <w:r>
              <w:rPr>
                <w:color w:val="000000"/>
                <w:sz w:val="24"/>
                <w:szCs w:val="24"/>
              </w:rPr>
              <w:t>4.55</w:t>
            </w:r>
          </w:p>
        </w:tc>
      </w:tr>
      <w:tr w:rsidR="00DF1B8A">
        <w:trPr>
          <w:jc w:val="center"/>
        </w:trPr>
        <w:tc>
          <w:tcPr>
            <w:tcW w:w="855" w:type="dxa"/>
            <w:vAlign w:val="center"/>
          </w:tcPr>
          <w:p w:rsidR="00DF1B8A" w:rsidRDefault="00AB0417">
            <w:pPr>
              <w:jc w:val="center"/>
            </w:pPr>
            <w:r>
              <w:rPr>
                <w:color w:val="000000"/>
                <w:sz w:val="24"/>
                <w:szCs w:val="24"/>
              </w:rPr>
              <w:t>8</w:t>
            </w:r>
          </w:p>
        </w:tc>
        <w:tc>
          <w:tcPr>
            <w:tcW w:w="1334" w:type="dxa"/>
            <w:vAlign w:val="center"/>
          </w:tcPr>
          <w:p w:rsidR="00DF1B8A" w:rsidRDefault="00AB0417">
            <w:pPr>
              <w:jc w:val="center"/>
            </w:pPr>
            <w:r>
              <w:rPr>
                <w:color w:val="000000"/>
                <w:sz w:val="24"/>
                <w:szCs w:val="24"/>
              </w:rPr>
              <w:t>300016</w:t>
            </w:r>
          </w:p>
        </w:tc>
        <w:tc>
          <w:tcPr>
            <w:tcW w:w="1777" w:type="dxa"/>
            <w:vAlign w:val="center"/>
          </w:tcPr>
          <w:p w:rsidR="00DF1B8A" w:rsidRDefault="00AB0417">
            <w:pPr>
              <w:jc w:val="center"/>
            </w:pPr>
            <w:r>
              <w:rPr>
                <w:color w:val="000000"/>
                <w:sz w:val="24"/>
                <w:szCs w:val="24"/>
              </w:rPr>
              <w:t>北陆药业</w:t>
            </w:r>
          </w:p>
        </w:tc>
        <w:tc>
          <w:tcPr>
            <w:tcW w:w="1334" w:type="dxa"/>
            <w:vAlign w:val="center"/>
          </w:tcPr>
          <w:p w:rsidR="00DF1B8A" w:rsidRDefault="00AB0417">
            <w:pPr>
              <w:jc w:val="right"/>
            </w:pPr>
            <w:r>
              <w:rPr>
                <w:color w:val="000000"/>
                <w:sz w:val="24"/>
                <w:szCs w:val="24"/>
              </w:rPr>
              <w:t>4,456,506</w:t>
            </w:r>
          </w:p>
        </w:tc>
        <w:tc>
          <w:tcPr>
            <w:tcW w:w="1924" w:type="dxa"/>
            <w:vAlign w:val="center"/>
          </w:tcPr>
          <w:p w:rsidR="00DF1B8A" w:rsidRDefault="00AB0417">
            <w:pPr>
              <w:jc w:val="right"/>
            </w:pPr>
            <w:r>
              <w:rPr>
                <w:color w:val="000000"/>
                <w:sz w:val="24"/>
                <w:szCs w:val="24"/>
              </w:rPr>
              <w:t>103,792,024.74</w:t>
            </w:r>
          </w:p>
        </w:tc>
        <w:tc>
          <w:tcPr>
            <w:tcW w:w="1644" w:type="dxa"/>
            <w:vAlign w:val="center"/>
          </w:tcPr>
          <w:p w:rsidR="00DF1B8A" w:rsidRDefault="00AB0417">
            <w:pPr>
              <w:jc w:val="right"/>
            </w:pPr>
            <w:r>
              <w:rPr>
                <w:color w:val="000000"/>
                <w:sz w:val="24"/>
                <w:szCs w:val="24"/>
              </w:rPr>
              <w:t>4.47</w:t>
            </w:r>
          </w:p>
        </w:tc>
      </w:tr>
      <w:tr w:rsidR="00DF1B8A">
        <w:trPr>
          <w:jc w:val="center"/>
        </w:trPr>
        <w:tc>
          <w:tcPr>
            <w:tcW w:w="855" w:type="dxa"/>
            <w:vAlign w:val="center"/>
          </w:tcPr>
          <w:p w:rsidR="00DF1B8A" w:rsidRDefault="00AB0417">
            <w:pPr>
              <w:jc w:val="center"/>
            </w:pPr>
            <w:r>
              <w:rPr>
                <w:color w:val="000000"/>
                <w:sz w:val="24"/>
                <w:szCs w:val="24"/>
              </w:rPr>
              <w:t>9</w:t>
            </w:r>
          </w:p>
        </w:tc>
        <w:tc>
          <w:tcPr>
            <w:tcW w:w="1334" w:type="dxa"/>
            <w:vAlign w:val="center"/>
          </w:tcPr>
          <w:p w:rsidR="00DF1B8A" w:rsidRDefault="00AB0417">
            <w:pPr>
              <w:jc w:val="center"/>
            </w:pPr>
            <w:r>
              <w:rPr>
                <w:color w:val="000000"/>
                <w:sz w:val="24"/>
                <w:szCs w:val="24"/>
              </w:rPr>
              <w:t>300262</w:t>
            </w:r>
          </w:p>
        </w:tc>
        <w:tc>
          <w:tcPr>
            <w:tcW w:w="1777" w:type="dxa"/>
            <w:vAlign w:val="center"/>
          </w:tcPr>
          <w:p w:rsidR="00DF1B8A" w:rsidRDefault="00AB0417">
            <w:pPr>
              <w:jc w:val="center"/>
            </w:pPr>
            <w:r>
              <w:rPr>
                <w:color w:val="000000"/>
                <w:sz w:val="24"/>
                <w:szCs w:val="24"/>
              </w:rPr>
              <w:t>巴安水务</w:t>
            </w:r>
          </w:p>
        </w:tc>
        <w:tc>
          <w:tcPr>
            <w:tcW w:w="1334" w:type="dxa"/>
            <w:vAlign w:val="center"/>
          </w:tcPr>
          <w:p w:rsidR="00DF1B8A" w:rsidRDefault="00AB0417">
            <w:pPr>
              <w:jc w:val="right"/>
            </w:pPr>
            <w:r>
              <w:rPr>
                <w:color w:val="000000"/>
                <w:sz w:val="24"/>
                <w:szCs w:val="24"/>
              </w:rPr>
              <w:t>6,770,118</w:t>
            </w:r>
          </w:p>
        </w:tc>
        <w:tc>
          <w:tcPr>
            <w:tcW w:w="1924" w:type="dxa"/>
            <w:vAlign w:val="center"/>
          </w:tcPr>
          <w:p w:rsidR="00DF1B8A" w:rsidRDefault="00AB0417">
            <w:pPr>
              <w:jc w:val="right"/>
            </w:pPr>
            <w:r>
              <w:rPr>
                <w:color w:val="000000"/>
                <w:sz w:val="24"/>
                <w:szCs w:val="24"/>
              </w:rPr>
              <w:t>100,874,758.20</w:t>
            </w:r>
          </w:p>
        </w:tc>
        <w:tc>
          <w:tcPr>
            <w:tcW w:w="1644" w:type="dxa"/>
            <w:vAlign w:val="center"/>
          </w:tcPr>
          <w:p w:rsidR="00DF1B8A" w:rsidRDefault="00AB0417">
            <w:pPr>
              <w:jc w:val="right"/>
            </w:pPr>
            <w:r>
              <w:rPr>
                <w:color w:val="000000"/>
                <w:sz w:val="24"/>
                <w:szCs w:val="24"/>
              </w:rPr>
              <w:t>4.34</w:t>
            </w:r>
          </w:p>
        </w:tc>
      </w:tr>
      <w:tr w:rsidR="00DF1B8A">
        <w:trPr>
          <w:jc w:val="center"/>
        </w:trPr>
        <w:tc>
          <w:tcPr>
            <w:tcW w:w="855" w:type="dxa"/>
            <w:vAlign w:val="center"/>
          </w:tcPr>
          <w:p w:rsidR="00DF1B8A" w:rsidRDefault="00AB0417">
            <w:pPr>
              <w:jc w:val="center"/>
            </w:pPr>
            <w:r>
              <w:rPr>
                <w:color w:val="000000"/>
                <w:sz w:val="24"/>
                <w:szCs w:val="24"/>
              </w:rPr>
              <w:t>10</w:t>
            </w:r>
          </w:p>
        </w:tc>
        <w:tc>
          <w:tcPr>
            <w:tcW w:w="1334" w:type="dxa"/>
            <w:vAlign w:val="center"/>
          </w:tcPr>
          <w:p w:rsidR="00DF1B8A" w:rsidRDefault="00AB0417">
            <w:pPr>
              <w:jc w:val="center"/>
            </w:pPr>
            <w:r>
              <w:rPr>
                <w:color w:val="000000"/>
                <w:sz w:val="24"/>
                <w:szCs w:val="24"/>
              </w:rPr>
              <w:t>002554</w:t>
            </w:r>
          </w:p>
        </w:tc>
        <w:tc>
          <w:tcPr>
            <w:tcW w:w="1777" w:type="dxa"/>
            <w:vAlign w:val="center"/>
          </w:tcPr>
          <w:p w:rsidR="00DF1B8A" w:rsidRDefault="00AB0417">
            <w:pPr>
              <w:jc w:val="center"/>
            </w:pPr>
            <w:r>
              <w:rPr>
                <w:color w:val="000000"/>
                <w:sz w:val="24"/>
                <w:szCs w:val="24"/>
              </w:rPr>
              <w:t>惠博普</w:t>
            </w:r>
          </w:p>
        </w:tc>
        <w:tc>
          <w:tcPr>
            <w:tcW w:w="1334" w:type="dxa"/>
            <w:vAlign w:val="center"/>
          </w:tcPr>
          <w:p w:rsidR="00DF1B8A" w:rsidRDefault="00AB0417">
            <w:pPr>
              <w:jc w:val="right"/>
            </w:pPr>
            <w:r>
              <w:rPr>
                <w:color w:val="000000"/>
                <w:sz w:val="24"/>
                <w:szCs w:val="24"/>
              </w:rPr>
              <w:t>6,666,927</w:t>
            </w:r>
          </w:p>
        </w:tc>
        <w:tc>
          <w:tcPr>
            <w:tcW w:w="1924" w:type="dxa"/>
            <w:vAlign w:val="center"/>
          </w:tcPr>
          <w:p w:rsidR="00DF1B8A" w:rsidRDefault="00AB0417">
            <w:pPr>
              <w:jc w:val="right"/>
            </w:pPr>
            <w:r>
              <w:rPr>
                <w:color w:val="000000"/>
                <w:sz w:val="24"/>
                <w:szCs w:val="24"/>
              </w:rPr>
              <w:t>94,470,355.59</w:t>
            </w:r>
          </w:p>
        </w:tc>
        <w:tc>
          <w:tcPr>
            <w:tcW w:w="1644" w:type="dxa"/>
            <w:vAlign w:val="center"/>
          </w:tcPr>
          <w:p w:rsidR="00DF1B8A" w:rsidRDefault="00AB0417">
            <w:pPr>
              <w:jc w:val="right"/>
            </w:pPr>
            <w:r>
              <w:rPr>
                <w:color w:val="000000"/>
                <w:sz w:val="24"/>
                <w:szCs w:val="24"/>
              </w:rPr>
              <w:t>4.07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2,005,453.29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7,499,111.44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44,650.40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91,991,136.09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101,540,351.22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F1B8A">
        <w:trPr>
          <w:jc w:val="center"/>
        </w:trPr>
        <w:tc>
          <w:tcPr>
            <w:tcW w:w="1129" w:type="dxa"/>
            <w:vAlign w:val="center"/>
          </w:tcPr>
          <w:p w:rsidR="00DF1B8A" w:rsidRDefault="00AB0417">
            <w:pPr>
              <w:jc w:val="center"/>
            </w:pPr>
            <w:r>
              <w:rPr>
                <w:color w:val="000000"/>
                <w:sz w:val="24"/>
                <w:szCs w:val="24"/>
              </w:rPr>
              <w:t>1</w:t>
            </w:r>
          </w:p>
        </w:tc>
        <w:tc>
          <w:tcPr>
            <w:tcW w:w="1356" w:type="dxa"/>
            <w:vAlign w:val="center"/>
          </w:tcPr>
          <w:p w:rsidR="00DF1B8A" w:rsidRDefault="00AB0417">
            <w:pPr>
              <w:jc w:val="center"/>
            </w:pPr>
            <w:r>
              <w:rPr>
                <w:color w:val="000000"/>
                <w:sz w:val="24"/>
                <w:szCs w:val="24"/>
              </w:rPr>
              <w:t>002605</w:t>
            </w:r>
          </w:p>
        </w:tc>
        <w:tc>
          <w:tcPr>
            <w:tcW w:w="1355" w:type="dxa"/>
            <w:vAlign w:val="center"/>
          </w:tcPr>
          <w:p w:rsidR="00DF1B8A" w:rsidRDefault="00AB0417">
            <w:pPr>
              <w:jc w:val="center"/>
            </w:pPr>
            <w:r>
              <w:rPr>
                <w:color w:val="000000"/>
                <w:sz w:val="24"/>
                <w:szCs w:val="24"/>
              </w:rPr>
              <w:t>姚记扑克</w:t>
            </w:r>
          </w:p>
        </w:tc>
        <w:tc>
          <w:tcPr>
            <w:tcW w:w="1880" w:type="dxa"/>
            <w:vAlign w:val="center"/>
          </w:tcPr>
          <w:p w:rsidR="00DF1B8A" w:rsidRDefault="00AB0417">
            <w:pPr>
              <w:jc w:val="right"/>
            </w:pPr>
            <w:r>
              <w:rPr>
                <w:color w:val="000000"/>
                <w:sz w:val="24"/>
                <w:szCs w:val="24"/>
              </w:rPr>
              <w:t>184,191,635.70</w:t>
            </w:r>
          </w:p>
        </w:tc>
        <w:tc>
          <w:tcPr>
            <w:tcW w:w="1724" w:type="dxa"/>
            <w:vAlign w:val="center"/>
          </w:tcPr>
          <w:p w:rsidR="00DF1B8A" w:rsidRDefault="00AB0417">
            <w:pPr>
              <w:jc w:val="right"/>
            </w:pPr>
            <w:r>
              <w:rPr>
                <w:color w:val="000000"/>
                <w:sz w:val="24"/>
                <w:szCs w:val="24"/>
              </w:rPr>
              <w:t>7.93</w:t>
            </w:r>
          </w:p>
        </w:tc>
        <w:tc>
          <w:tcPr>
            <w:tcW w:w="1424" w:type="dxa"/>
            <w:vAlign w:val="center"/>
          </w:tcPr>
          <w:p w:rsidR="00DF1B8A" w:rsidRDefault="00AB0417">
            <w:pPr>
              <w:jc w:val="right"/>
            </w:pPr>
            <w:r>
              <w:rPr>
                <w:color w:val="000000"/>
                <w:sz w:val="24"/>
                <w:szCs w:val="24"/>
              </w:rPr>
              <w:t>重大事项</w:t>
            </w:r>
          </w:p>
        </w:tc>
      </w:tr>
      <w:tr w:rsidR="00DF1B8A">
        <w:trPr>
          <w:jc w:val="center"/>
        </w:trPr>
        <w:tc>
          <w:tcPr>
            <w:tcW w:w="1129" w:type="dxa"/>
            <w:vAlign w:val="center"/>
          </w:tcPr>
          <w:p w:rsidR="00DF1B8A" w:rsidRDefault="00AB0417">
            <w:pPr>
              <w:jc w:val="center"/>
            </w:pPr>
            <w:r>
              <w:rPr>
                <w:color w:val="000000"/>
                <w:sz w:val="24"/>
                <w:szCs w:val="24"/>
              </w:rPr>
              <w:t>2</w:t>
            </w:r>
          </w:p>
        </w:tc>
        <w:tc>
          <w:tcPr>
            <w:tcW w:w="1356" w:type="dxa"/>
            <w:vAlign w:val="center"/>
          </w:tcPr>
          <w:p w:rsidR="00DF1B8A" w:rsidRDefault="00AB0417">
            <w:pPr>
              <w:jc w:val="center"/>
            </w:pPr>
            <w:r>
              <w:rPr>
                <w:color w:val="000000"/>
                <w:sz w:val="24"/>
                <w:szCs w:val="24"/>
              </w:rPr>
              <w:t>300226</w:t>
            </w:r>
          </w:p>
        </w:tc>
        <w:tc>
          <w:tcPr>
            <w:tcW w:w="1355" w:type="dxa"/>
            <w:vAlign w:val="center"/>
          </w:tcPr>
          <w:p w:rsidR="00DF1B8A" w:rsidRDefault="00AB0417">
            <w:pPr>
              <w:jc w:val="center"/>
            </w:pPr>
            <w:r>
              <w:rPr>
                <w:color w:val="000000"/>
                <w:sz w:val="24"/>
                <w:szCs w:val="24"/>
              </w:rPr>
              <w:t>上海钢联</w:t>
            </w:r>
          </w:p>
        </w:tc>
        <w:tc>
          <w:tcPr>
            <w:tcW w:w="1880" w:type="dxa"/>
            <w:vAlign w:val="center"/>
          </w:tcPr>
          <w:p w:rsidR="00DF1B8A" w:rsidRDefault="00AB0417">
            <w:pPr>
              <w:jc w:val="right"/>
            </w:pPr>
            <w:r>
              <w:rPr>
                <w:color w:val="000000"/>
                <w:sz w:val="24"/>
                <w:szCs w:val="24"/>
              </w:rPr>
              <w:t>127,824,040.80</w:t>
            </w:r>
          </w:p>
        </w:tc>
        <w:tc>
          <w:tcPr>
            <w:tcW w:w="1724" w:type="dxa"/>
            <w:vAlign w:val="center"/>
          </w:tcPr>
          <w:p w:rsidR="00DF1B8A" w:rsidRDefault="00AB0417">
            <w:pPr>
              <w:jc w:val="right"/>
            </w:pPr>
            <w:r>
              <w:rPr>
                <w:color w:val="000000"/>
                <w:sz w:val="24"/>
                <w:szCs w:val="24"/>
              </w:rPr>
              <w:t>5.50</w:t>
            </w:r>
          </w:p>
        </w:tc>
        <w:tc>
          <w:tcPr>
            <w:tcW w:w="1424" w:type="dxa"/>
            <w:vAlign w:val="center"/>
          </w:tcPr>
          <w:p w:rsidR="00DF1B8A" w:rsidRDefault="00AB0417">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1,313,635,714.40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1,163,664,958.26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771,975,498.31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1,705,325,174.35</w:t>
            </w:r>
          </w:p>
        </w:tc>
      </w:tr>
    </w:tbl>
    <w:p w:rsidR="00DF1B8A" w:rsidRDefault="00AB041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0417">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041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F1B8A" w:rsidRDefault="00AB041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DF1B8A" w:rsidRDefault="00AB041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DF1B8A" w:rsidRDefault="00AB041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DF1B8A" w:rsidRDefault="00AB041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DF1B8A" w:rsidRDefault="00AB0417">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DF1B8A" w:rsidRDefault="00AB0417">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DF1B8A" w:rsidRDefault="00AB0417">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F1B8A" w:rsidRDefault="00AB041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DF1B8A">
      <w:rPr>
        <w:kern w:val="0"/>
        <w:szCs w:val="21"/>
      </w:rPr>
      <w:fldChar w:fldCharType="begin"/>
    </w:r>
    <w:r>
      <w:rPr>
        <w:kern w:val="0"/>
        <w:szCs w:val="21"/>
      </w:rPr>
      <w:instrText xml:space="preserve"> PAGE </w:instrText>
    </w:r>
    <w:r w:rsidR="00DF1B8A">
      <w:rPr>
        <w:kern w:val="0"/>
        <w:szCs w:val="21"/>
      </w:rPr>
      <w:fldChar w:fldCharType="separate"/>
    </w:r>
    <w:r w:rsidR="00AA0415">
      <w:rPr>
        <w:noProof/>
        <w:kern w:val="0"/>
        <w:szCs w:val="21"/>
      </w:rPr>
      <w:t>5</w:t>
    </w:r>
    <w:r w:rsidR="00DF1B8A">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DF1B8A">
      <w:rPr>
        <w:kern w:val="0"/>
        <w:szCs w:val="21"/>
      </w:rPr>
      <w:fldChar w:fldCharType="begin"/>
    </w:r>
    <w:r>
      <w:rPr>
        <w:kern w:val="0"/>
        <w:szCs w:val="21"/>
      </w:rPr>
      <w:instrText xml:space="preserve"> NUMPAGES </w:instrText>
    </w:r>
    <w:r w:rsidR="00DF1B8A">
      <w:rPr>
        <w:kern w:val="0"/>
        <w:szCs w:val="21"/>
      </w:rPr>
      <w:fldChar w:fldCharType="separate"/>
    </w:r>
    <w:r w:rsidR="00AA0415">
      <w:rPr>
        <w:noProof/>
        <w:kern w:val="0"/>
        <w:szCs w:val="21"/>
      </w:rPr>
      <w:t>11</w:t>
    </w:r>
    <w:r w:rsidR="00DF1B8A">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0415"/>
    <w:rsid w:val="00AA3A38"/>
    <w:rsid w:val="00AA4F94"/>
    <w:rsid w:val="00AA6513"/>
    <w:rsid w:val="00AB0417"/>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1B8A"/>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6E34"/>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364F693-080A-42D0-8B03-692F8919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26C9-CEAE-49A4-AFE4-5BD5B33E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11</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564</cp:revision>
  <dcterms:created xsi:type="dcterms:W3CDTF">2012-10-16T06:07:00Z</dcterms:created>
  <dcterms:modified xsi:type="dcterms:W3CDTF">2016-04-18T06:00:00Z</dcterms:modified>
</cp:coreProperties>
</file>