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46F89" w:rsidRDefault="00B2396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126,507,414.86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23960" w:rsidRPr="00414345" w:rsidTr="00B2396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23960" w:rsidRPr="00414345" w:rsidTr="00B239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-25,648,320.31</w:t>
            </w:r>
          </w:p>
        </w:tc>
      </w:tr>
      <w:tr w:rsidR="00B23960" w:rsidRPr="00414345" w:rsidTr="00B239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-36,396,964.35</w:t>
            </w:r>
          </w:p>
        </w:tc>
      </w:tr>
      <w:tr w:rsidR="00B23960" w:rsidRPr="00414345" w:rsidTr="00B239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-0.3063</w:t>
            </w:r>
          </w:p>
        </w:tc>
      </w:tr>
      <w:tr w:rsidR="00B23960" w:rsidRPr="00414345" w:rsidTr="00B239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288,276,809.19</w:t>
            </w:r>
          </w:p>
        </w:tc>
      </w:tr>
      <w:tr w:rsidR="00B23960" w:rsidRPr="00414345" w:rsidTr="00B2396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2.279</w:t>
            </w:r>
          </w:p>
        </w:tc>
      </w:tr>
    </w:tbl>
    <w:p w:rsidR="00146F89" w:rsidRDefault="00B239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8609E5">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46F89">
        <w:trPr>
          <w:jc w:val="center"/>
        </w:trPr>
        <w:tc>
          <w:tcPr>
            <w:tcW w:w="1701" w:type="dxa"/>
            <w:vAlign w:val="center"/>
          </w:tcPr>
          <w:p w:rsidR="00146F89" w:rsidRDefault="00B23960">
            <w:pPr>
              <w:jc w:val="left"/>
            </w:pPr>
            <w:r>
              <w:rPr>
                <w:color w:val="000000"/>
                <w:sz w:val="24"/>
                <w:szCs w:val="24"/>
              </w:rPr>
              <w:t>过去三个月</w:t>
            </w:r>
          </w:p>
        </w:tc>
        <w:tc>
          <w:tcPr>
            <w:tcW w:w="1045" w:type="dxa"/>
            <w:vAlign w:val="center"/>
          </w:tcPr>
          <w:p w:rsidR="00146F89" w:rsidRDefault="00B23960">
            <w:pPr>
              <w:jc w:val="center"/>
            </w:pPr>
            <w:r>
              <w:rPr>
                <w:color w:val="000000"/>
                <w:sz w:val="24"/>
                <w:szCs w:val="24"/>
              </w:rPr>
              <w:t>-12.46%</w:t>
            </w:r>
          </w:p>
        </w:tc>
        <w:tc>
          <w:tcPr>
            <w:tcW w:w="1344" w:type="dxa"/>
            <w:vAlign w:val="center"/>
          </w:tcPr>
          <w:p w:rsidR="00146F89" w:rsidRDefault="00B23960">
            <w:pPr>
              <w:jc w:val="center"/>
            </w:pPr>
            <w:r>
              <w:rPr>
                <w:color w:val="000000"/>
                <w:sz w:val="24"/>
                <w:szCs w:val="24"/>
              </w:rPr>
              <w:t>2.39%</w:t>
            </w:r>
          </w:p>
        </w:tc>
        <w:tc>
          <w:tcPr>
            <w:tcW w:w="1194" w:type="dxa"/>
            <w:vAlign w:val="center"/>
          </w:tcPr>
          <w:p w:rsidR="00146F89" w:rsidRDefault="00B23960">
            <w:pPr>
              <w:jc w:val="center"/>
            </w:pPr>
            <w:r>
              <w:rPr>
                <w:color w:val="000000"/>
                <w:sz w:val="24"/>
                <w:szCs w:val="24"/>
              </w:rPr>
              <w:t>-7.67%</w:t>
            </w:r>
          </w:p>
        </w:tc>
        <w:tc>
          <w:tcPr>
            <w:tcW w:w="1492" w:type="dxa"/>
            <w:vAlign w:val="center"/>
          </w:tcPr>
          <w:p w:rsidR="00146F89" w:rsidRDefault="00B23960">
            <w:pPr>
              <w:jc w:val="center"/>
            </w:pPr>
            <w:r>
              <w:rPr>
                <w:color w:val="000000"/>
                <w:sz w:val="24"/>
                <w:szCs w:val="24"/>
              </w:rPr>
              <w:t>1.46%</w:t>
            </w:r>
          </w:p>
        </w:tc>
        <w:tc>
          <w:tcPr>
            <w:tcW w:w="1194" w:type="dxa"/>
            <w:vAlign w:val="center"/>
          </w:tcPr>
          <w:p w:rsidR="00146F89" w:rsidRDefault="00B23960">
            <w:pPr>
              <w:jc w:val="center"/>
            </w:pPr>
            <w:r>
              <w:rPr>
                <w:color w:val="000000"/>
                <w:sz w:val="24"/>
                <w:szCs w:val="24"/>
              </w:rPr>
              <w:t>-4.79%</w:t>
            </w:r>
          </w:p>
        </w:tc>
        <w:tc>
          <w:tcPr>
            <w:tcW w:w="898" w:type="dxa"/>
            <w:vAlign w:val="center"/>
          </w:tcPr>
          <w:p w:rsidR="00146F89" w:rsidRDefault="00B23960">
            <w:pPr>
              <w:jc w:val="center"/>
            </w:pPr>
            <w:r>
              <w:rPr>
                <w:color w:val="000000"/>
                <w:sz w:val="24"/>
                <w:szCs w:val="24"/>
              </w:rPr>
              <w:t>0.93%</w:t>
            </w:r>
          </w:p>
        </w:tc>
      </w:tr>
    </w:tbl>
    <w:p w:rsidR="008609E5" w:rsidRDefault="008609E5" w:rsidP="008609E5">
      <w:pPr>
        <w:autoSpaceDE w:val="0"/>
        <w:autoSpaceDN w:val="0"/>
        <w:adjustRightInd w:val="0"/>
        <w:spacing w:before="29" w:line="288" w:lineRule="auto"/>
        <w:jc w:val="left"/>
        <w:rPr>
          <w:color w:val="000000"/>
          <w:kern w:val="0"/>
          <w:sz w:val="24"/>
          <w:szCs w:val="24"/>
        </w:rPr>
      </w:pPr>
      <w:bookmarkStart w:id="0" w:name="_GoBack"/>
      <w:r>
        <w:rPr>
          <w:rFonts w:hint="eastAsia"/>
          <w:color w:val="000000"/>
          <w:kern w:val="0"/>
          <w:sz w:val="24"/>
          <w:szCs w:val="24"/>
        </w:rPr>
        <w:t>注：本基金业绩比较基准自</w:t>
      </w:r>
      <w:r>
        <w:rPr>
          <w:color w:val="000000"/>
          <w:kern w:val="0"/>
          <w:sz w:val="24"/>
          <w:szCs w:val="24"/>
        </w:rPr>
        <w:t>2015</w:t>
      </w:r>
      <w:r>
        <w:rPr>
          <w:rFonts w:hint="eastAsia"/>
          <w:color w:val="000000"/>
          <w:kern w:val="0"/>
          <w:sz w:val="24"/>
          <w:szCs w:val="24"/>
        </w:rPr>
        <w:t>年</w:t>
      </w:r>
      <w:r>
        <w:rPr>
          <w:color w:val="000000"/>
          <w:kern w:val="0"/>
          <w:sz w:val="24"/>
          <w:szCs w:val="24"/>
        </w:rPr>
        <w:t>10</w:t>
      </w:r>
      <w:r>
        <w:rPr>
          <w:rFonts w:hint="eastAsia"/>
          <w:color w:val="000000"/>
          <w:kern w:val="0"/>
          <w:sz w:val="24"/>
          <w:szCs w:val="24"/>
        </w:rPr>
        <w:t>月</w:t>
      </w:r>
      <w:r>
        <w:rPr>
          <w:color w:val="000000"/>
          <w:kern w:val="0"/>
          <w:sz w:val="24"/>
          <w:szCs w:val="24"/>
        </w:rPr>
        <w:t>1</w:t>
      </w:r>
      <w:r>
        <w:rPr>
          <w:rFonts w:hint="eastAsia"/>
          <w:color w:val="000000"/>
          <w:kern w:val="0"/>
          <w:sz w:val="24"/>
          <w:szCs w:val="24"/>
        </w:rPr>
        <w:t>日起，由</w:t>
      </w:r>
      <w:r>
        <w:rPr>
          <w:color w:val="000000"/>
          <w:kern w:val="0"/>
          <w:sz w:val="24"/>
          <w:szCs w:val="24"/>
        </w:rPr>
        <w:t>“60%×</w:t>
      </w:r>
      <w:r>
        <w:rPr>
          <w:rFonts w:hint="eastAsia"/>
          <w:color w:val="000000"/>
          <w:kern w:val="0"/>
          <w:sz w:val="24"/>
          <w:szCs w:val="24"/>
        </w:rPr>
        <w:t>沪深</w:t>
      </w:r>
      <w:r>
        <w:rPr>
          <w:color w:val="000000"/>
          <w:kern w:val="0"/>
          <w:sz w:val="24"/>
          <w:szCs w:val="24"/>
        </w:rPr>
        <w:t>300</w:t>
      </w:r>
      <w:r>
        <w:rPr>
          <w:rFonts w:hint="eastAsia"/>
          <w:color w:val="000000"/>
          <w:kern w:val="0"/>
          <w:sz w:val="24"/>
          <w:szCs w:val="24"/>
        </w:rPr>
        <w:t>指数收益率</w:t>
      </w:r>
      <w:r>
        <w:rPr>
          <w:color w:val="000000"/>
          <w:kern w:val="0"/>
          <w:sz w:val="24"/>
          <w:szCs w:val="24"/>
        </w:rPr>
        <w:t>+40%×</w:t>
      </w:r>
      <w:r>
        <w:rPr>
          <w:rFonts w:hint="eastAsia"/>
          <w:color w:val="000000"/>
          <w:kern w:val="0"/>
          <w:sz w:val="24"/>
          <w:szCs w:val="24"/>
        </w:rPr>
        <w:t>中信标普全债指数收益率</w:t>
      </w:r>
      <w:r>
        <w:rPr>
          <w:color w:val="000000"/>
          <w:kern w:val="0"/>
          <w:sz w:val="24"/>
          <w:szCs w:val="24"/>
        </w:rPr>
        <w:t>”</w:t>
      </w:r>
      <w:r>
        <w:rPr>
          <w:rFonts w:hint="eastAsia"/>
          <w:color w:val="000000"/>
          <w:kern w:val="0"/>
          <w:sz w:val="24"/>
          <w:szCs w:val="24"/>
        </w:rPr>
        <w:t>变更为</w:t>
      </w:r>
      <w:r>
        <w:rPr>
          <w:color w:val="000000"/>
          <w:kern w:val="0"/>
          <w:sz w:val="24"/>
          <w:szCs w:val="24"/>
        </w:rPr>
        <w:t>“60%×</w:t>
      </w:r>
      <w:r>
        <w:rPr>
          <w:rFonts w:hint="eastAsia"/>
          <w:color w:val="000000"/>
          <w:kern w:val="0"/>
          <w:sz w:val="24"/>
          <w:szCs w:val="24"/>
        </w:rPr>
        <w:t>沪深</w:t>
      </w:r>
      <w:r>
        <w:rPr>
          <w:color w:val="000000"/>
          <w:kern w:val="0"/>
          <w:sz w:val="24"/>
          <w:szCs w:val="24"/>
        </w:rPr>
        <w:t>300</w:t>
      </w:r>
      <w:r>
        <w:rPr>
          <w:rFonts w:hint="eastAsia"/>
          <w:color w:val="000000"/>
          <w:kern w:val="0"/>
          <w:sz w:val="24"/>
          <w:szCs w:val="24"/>
        </w:rPr>
        <w:t>指数收益率</w:t>
      </w:r>
      <w:r>
        <w:rPr>
          <w:color w:val="000000"/>
          <w:kern w:val="0"/>
          <w:sz w:val="24"/>
          <w:szCs w:val="24"/>
        </w:rPr>
        <w:t>+40%×</w:t>
      </w:r>
      <w:r>
        <w:rPr>
          <w:rFonts w:hint="eastAsia"/>
          <w:color w:val="000000"/>
          <w:kern w:val="0"/>
          <w:sz w:val="24"/>
          <w:szCs w:val="24"/>
        </w:rPr>
        <w:t>中证综合债券指数收益率</w:t>
      </w:r>
      <w:r>
        <w:rPr>
          <w:color w:val="000000"/>
          <w:kern w:val="0"/>
          <w:sz w:val="24"/>
          <w:szCs w:val="24"/>
        </w:rPr>
        <w:t>”</w:t>
      </w:r>
      <w:r>
        <w:rPr>
          <w:rFonts w:hint="eastAsia"/>
          <w:color w:val="000000"/>
          <w:kern w:val="0"/>
          <w:sz w:val="24"/>
          <w:szCs w:val="24"/>
        </w:rPr>
        <w:t>，</w:t>
      </w:r>
      <w:r>
        <w:rPr>
          <w:color w:val="000000"/>
          <w:kern w:val="0"/>
          <w:sz w:val="24"/>
          <w:szCs w:val="24"/>
        </w:rPr>
        <w:t>3.2.2</w:t>
      </w:r>
      <w:r>
        <w:rPr>
          <w:rFonts w:hint="eastAsia"/>
          <w:color w:val="000000"/>
          <w:kern w:val="0"/>
          <w:sz w:val="24"/>
          <w:szCs w:val="24"/>
        </w:rPr>
        <w:t>同。详情见本基金管理人于</w:t>
      </w:r>
      <w:r>
        <w:rPr>
          <w:color w:val="000000"/>
          <w:kern w:val="0"/>
          <w:sz w:val="24"/>
          <w:szCs w:val="24"/>
        </w:rPr>
        <w:t>2015</w:t>
      </w:r>
      <w:r>
        <w:rPr>
          <w:rFonts w:hint="eastAsia"/>
          <w:color w:val="000000"/>
          <w:kern w:val="0"/>
          <w:sz w:val="24"/>
          <w:szCs w:val="24"/>
        </w:rPr>
        <w:t>年</w:t>
      </w:r>
      <w:r>
        <w:rPr>
          <w:color w:val="000000"/>
          <w:kern w:val="0"/>
          <w:sz w:val="24"/>
          <w:szCs w:val="24"/>
        </w:rPr>
        <w:t>9</w:t>
      </w:r>
      <w:r>
        <w:rPr>
          <w:rFonts w:hint="eastAsia"/>
          <w:color w:val="000000"/>
          <w:kern w:val="0"/>
          <w:sz w:val="24"/>
          <w:szCs w:val="24"/>
        </w:rPr>
        <w:t>月</w:t>
      </w:r>
      <w:r>
        <w:rPr>
          <w:color w:val="000000"/>
          <w:kern w:val="0"/>
          <w:sz w:val="24"/>
          <w:szCs w:val="24"/>
        </w:rPr>
        <w:t>28</w:t>
      </w:r>
      <w:r>
        <w:rPr>
          <w:rFonts w:hint="eastAsia"/>
          <w:color w:val="000000"/>
          <w:kern w:val="0"/>
          <w:sz w:val="24"/>
          <w:szCs w:val="24"/>
        </w:rPr>
        <w:t>日发布的《交银施罗德基金管理有限公司关于旗下部分基金业绩比较基准变更并修改基金合同相关内容的公告》。</w:t>
      </w:r>
    </w:p>
    <w:bookmarkEnd w:id="0"/>
    <w:p w:rsidR="004061AC" w:rsidRPr="008609E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B23960" w:rsidRPr="00414345">
        <w:rPr>
          <w:rFonts w:ascii="Times New Roman" w:hAnsi="Times New Roman" w:cs="Times New Roman"/>
          <w:sz w:val="24"/>
          <w:szCs w:val="24"/>
        </w:rPr>
        <w:t>20</w:t>
      </w:r>
      <w:r w:rsidR="00B23960">
        <w:rPr>
          <w:rFonts w:ascii="Times New Roman" w:hAnsi="Times New Roman" w:cs="Times New Roman"/>
          <w:sz w:val="24"/>
          <w:szCs w:val="24"/>
        </w:rPr>
        <w:t>12</w:t>
      </w:r>
      <w:r w:rsidR="00B23960" w:rsidRPr="00414345">
        <w:rPr>
          <w:rFonts w:ascii="Times New Roman" w:hAnsi="Times New Roman" w:cs="Times New Roman"/>
          <w:sz w:val="24"/>
          <w:szCs w:val="24"/>
        </w:rPr>
        <w:t>年</w:t>
      </w:r>
      <w:r w:rsidR="00B23960">
        <w:rPr>
          <w:rFonts w:ascii="Times New Roman" w:hAnsi="Times New Roman" w:cs="Times New Roman"/>
          <w:sz w:val="24"/>
          <w:szCs w:val="24"/>
        </w:rPr>
        <w:t>2</w:t>
      </w:r>
      <w:r w:rsidR="00B23960" w:rsidRPr="00414345">
        <w:rPr>
          <w:rFonts w:ascii="Times New Roman" w:hAnsi="Times New Roman" w:cs="Times New Roman"/>
          <w:sz w:val="24"/>
          <w:szCs w:val="24"/>
        </w:rPr>
        <w:t>月</w:t>
      </w:r>
      <w:r w:rsidR="00B23960">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46F89">
        <w:trPr>
          <w:jc w:val="center"/>
        </w:trPr>
        <w:tc>
          <w:tcPr>
            <w:tcW w:w="846" w:type="dxa"/>
            <w:vAlign w:val="center"/>
          </w:tcPr>
          <w:p w:rsidR="00146F89" w:rsidRDefault="00B23960">
            <w:pPr>
              <w:jc w:val="center"/>
            </w:pPr>
            <w:r>
              <w:rPr>
                <w:color w:val="000000"/>
                <w:sz w:val="24"/>
                <w:szCs w:val="24"/>
              </w:rPr>
              <w:t>何帅</w:t>
            </w:r>
          </w:p>
        </w:tc>
        <w:tc>
          <w:tcPr>
            <w:tcW w:w="845" w:type="dxa"/>
            <w:vAlign w:val="center"/>
          </w:tcPr>
          <w:p w:rsidR="00146F89" w:rsidRDefault="00B23960">
            <w:pPr>
              <w:jc w:val="center"/>
            </w:pPr>
            <w:r>
              <w:rPr>
                <w:color w:val="000000"/>
                <w:sz w:val="24"/>
                <w:szCs w:val="24"/>
              </w:rPr>
              <w:t>交银优势行业混合、交银阿尔法核心混合的基金经理</w:t>
            </w:r>
          </w:p>
        </w:tc>
        <w:tc>
          <w:tcPr>
            <w:tcW w:w="1549" w:type="dxa"/>
            <w:vAlign w:val="center"/>
          </w:tcPr>
          <w:p w:rsidR="00146F89" w:rsidRDefault="00B23960">
            <w:pPr>
              <w:jc w:val="center"/>
            </w:pPr>
            <w:r>
              <w:rPr>
                <w:color w:val="000000"/>
                <w:sz w:val="24"/>
                <w:szCs w:val="24"/>
              </w:rPr>
              <w:t>2015-07-09</w:t>
            </w:r>
          </w:p>
        </w:tc>
        <w:tc>
          <w:tcPr>
            <w:tcW w:w="1548" w:type="dxa"/>
            <w:vAlign w:val="center"/>
          </w:tcPr>
          <w:p w:rsidR="00146F89" w:rsidRDefault="00B23960">
            <w:pPr>
              <w:jc w:val="center"/>
            </w:pPr>
            <w:r>
              <w:rPr>
                <w:color w:val="000000"/>
                <w:sz w:val="24"/>
                <w:szCs w:val="24"/>
              </w:rPr>
              <w:t>-</w:t>
            </w:r>
          </w:p>
        </w:tc>
        <w:tc>
          <w:tcPr>
            <w:tcW w:w="1407" w:type="dxa"/>
            <w:vAlign w:val="center"/>
          </w:tcPr>
          <w:p w:rsidR="00146F89" w:rsidRDefault="00B23960">
            <w:pPr>
              <w:jc w:val="center"/>
            </w:pPr>
            <w:r>
              <w:rPr>
                <w:color w:val="000000"/>
                <w:sz w:val="24"/>
                <w:szCs w:val="24"/>
              </w:rPr>
              <w:t>6</w:t>
            </w:r>
            <w:r>
              <w:rPr>
                <w:color w:val="000000"/>
                <w:sz w:val="24"/>
                <w:szCs w:val="24"/>
              </w:rPr>
              <w:t>年</w:t>
            </w:r>
          </w:p>
        </w:tc>
        <w:tc>
          <w:tcPr>
            <w:tcW w:w="2673" w:type="dxa"/>
            <w:vAlign w:val="center"/>
          </w:tcPr>
          <w:p w:rsidR="00146F89" w:rsidRDefault="00B23960">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46F89" w:rsidRDefault="00B2396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46F89" w:rsidRDefault="00B2396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46F89" w:rsidRDefault="00B2396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8609E5" w:rsidRPr="00414345" w:rsidRDefault="008609E5"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46F89" w:rsidRDefault="00B23960">
      <w:pPr>
        <w:spacing w:before="29" w:line="288" w:lineRule="auto"/>
        <w:ind w:firstLineChars="200" w:firstLine="480"/>
        <w:rPr>
          <w:color w:val="000000"/>
          <w:sz w:val="24"/>
          <w:szCs w:val="24"/>
        </w:rPr>
      </w:pPr>
      <w:r>
        <w:rPr>
          <w:color w:val="000000"/>
          <w:sz w:val="24"/>
          <w:szCs w:val="24"/>
        </w:rPr>
        <w:t>2016</w:t>
      </w:r>
      <w:r>
        <w:rPr>
          <w:color w:val="000000"/>
          <w:sz w:val="24"/>
          <w:szCs w:val="24"/>
        </w:rPr>
        <w:t>年初人民币超预期贬值及货币宽松预期的下降，使</w:t>
      </w:r>
      <w:r>
        <w:rPr>
          <w:color w:val="000000"/>
          <w:sz w:val="24"/>
          <w:szCs w:val="24"/>
        </w:rPr>
        <w:t>A</w:t>
      </w:r>
      <w:r>
        <w:rPr>
          <w:color w:val="000000"/>
          <w:sz w:val="24"/>
          <w:szCs w:val="24"/>
        </w:rPr>
        <w:t>股市场在</w:t>
      </w:r>
      <w:r>
        <w:rPr>
          <w:color w:val="000000"/>
          <w:sz w:val="24"/>
          <w:szCs w:val="24"/>
        </w:rPr>
        <w:t>1</w:t>
      </w:r>
      <w:r>
        <w:rPr>
          <w:color w:val="000000"/>
          <w:sz w:val="24"/>
          <w:szCs w:val="24"/>
        </w:rPr>
        <w:t>月份出现快速下跌。春节过后，伴随着银行信贷超预期和美联储加息预期延后，市场风险偏好有所回升。就整个一季度而言，市场仍旧跌幅较大，超出</w:t>
      </w:r>
      <w:r>
        <w:rPr>
          <w:color w:val="000000"/>
          <w:sz w:val="24"/>
          <w:szCs w:val="24"/>
        </w:rPr>
        <w:t>2015</w:t>
      </w:r>
      <w:r>
        <w:rPr>
          <w:color w:val="000000"/>
          <w:sz w:val="24"/>
          <w:szCs w:val="24"/>
        </w:rPr>
        <w:t>年年底的预期。以高估值、中小市值为主的创业板跌幅大于上证指数的跌幅，而板块中农、林、牧、渔、采掘等通胀主题相关行业有较好表现。而</w:t>
      </w:r>
      <w:r>
        <w:rPr>
          <w:color w:val="000000"/>
          <w:sz w:val="24"/>
          <w:szCs w:val="24"/>
        </w:rPr>
        <w:t>2015</w:t>
      </w:r>
      <w:r>
        <w:rPr>
          <w:color w:val="000000"/>
          <w:sz w:val="24"/>
          <w:szCs w:val="24"/>
        </w:rPr>
        <w:t>年年底预期较高的计算机、传媒等新兴成长行业跌幅居前。</w:t>
      </w:r>
    </w:p>
    <w:p w:rsidR="00146F89" w:rsidRDefault="00B23960">
      <w:pPr>
        <w:spacing w:before="29" w:line="288" w:lineRule="auto"/>
        <w:ind w:firstLineChars="200" w:firstLine="480"/>
        <w:rPr>
          <w:color w:val="000000"/>
          <w:sz w:val="24"/>
          <w:szCs w:val="24"/>
        </w:rPr>
      </w:pPr>
      <w:r>
        <w:rPr>
          <w:color w:val="000000"/>
          <w:sz w:val="24"/>
          <w:szCs w:val="24"/>
        </w:rPr>
        <w:t>本基金一直以挖掘成长性行业为主要投资方向，但一季度成长股整体估值下降较为明显，造成基金净值下跌，受益于整体仓位中性偏下，跌幅略小于行业平均水平。在组合变化上，一季度主要减持了估值较高、业绩兑现周期较长的成长股，部分增持了今年行业景气度向上的行业，如农业，并继续挖掘具备长期增长潜力的行业及相关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展望二季度，在基建投入加大的刺激下经济可能短期企稳，但中长期国内经济仍只有依靠改革转型。从风险偏好来看，二季度美联储加息可能继续推迟，而前期</w:t>
      </w:r>
      <w:r w:rsidRPr="00414345">
        <w:rPr>
          <w:color w:val="000000"/>
          <w:sz w:val="24"/>
          <w:szCs w:val="24"/>
        </w:rPr>
        <w:t>CPI</w:t>
      </w:r>
      <w:r w:rsidRPr="00414345">
        <w:rPr>
          <w:color w:val="000000"/>
          <w:sz w:val="24"/>
          <w:szCs w:val="24"/>
        </w:rPr>
        <w:t>压力由于蔬菜价格开始回落也可能企稳，风险偏好可能暂时处于稳定状态。挖掘优秀成长性行业及公司仍是本基金坚持的投资方法，并努力为基金持有者实现较好回报。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2.279</w:t>
      </w:r>
      <w:r w:rsidRPr="00414345">
        <w:rPr>
          <w:color w:val="000000"/>
          <w:sz w:val="24"/>
          <w:szCs w:val="24"/>
        </w:rPr>
        <w:t>元，本报告期份额净值增长率为</w:t>
      </w:r>
      <w:r w:rsidRPr="00414345">
        <w:rPr>
          <w:color w:val="000000"/>
          <w:sz w:val="24"/>
          <w:szCs w:val="24"/>
        </w:rPr>
        <w:t>-12.46%</w:t>
      </w:r>
      <w:r w:rsidRPr="00414345">
        <w:rPr>
          <w:color w:val="000000"/>
          <w:sz w:val="24"/>
          <w:szCs w:val="24"/>
        </w:rPr>
        <w:t>，同期业绩比较基准增长率为</w:t>
      </w:r>
      <w:r w:rsidRPr="00414345">
        <w:rPr>
          <w:color w:val="000000"/>
          <w:sz w:val="24"/>
          <w:szCs w:val="24"/>
        </w:rPr>
        <w:t>-7.67%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188,484,064.92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188,484,064.92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82,639,700.16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28.33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10,539,873.56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291,671,638.64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105,049,966.59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7,029,576.00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18,101,112.94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7,726,965.12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13,310,915.82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26,891,534.61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10,373,993.84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188,484,064.92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65.38</w:t>
            </w:r>
          </w:p>
        </w:tc>
      </w:tr>
    </w:tbl>
    <w:p w:rsidR="00294D05" w:rsidRDefault="00294D0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46F89">
        <w:trPr>
          <w:jc w:val="center"/>
        </w:trPr>
        <w:tc>
          <w:tcPr>
            <w:tcW w:w="855" w:type="dxa"/>
            <w:vAlign w:val="center"/>
          </w:tcPr>
          <w:p w:rsidR="00146F89" w:rsidRDefault="00B23960">
            <w:pPr>
              <w:jc w:val="center"/>
            </w:pPr>
            <w:r>
              <w:rPr>
                <w:color w:val="000000"/>
                <w:sz w:val="24"/>
                <w:szCs w:val="24"/>
              </w:rPr>
              <w:t>1</w:t>
            </w:r>
          </w:p>
        </w:tc>
        <w:tc>
          <w:tcPr>
            <w:tcW w:w="1334" w:type="dxa"/>
            <w:vAlign w:val="center"/>
          </w:tcPr>
          <w:p w:rsidR="00146F89" w:rsidRDefault="00B23960">
            <w:pPr>
              <w:jc w:val="center"/>
            </w:pPr>
            <w:r>
              <w:rPr>
                <w:color w:val="000000"/>
                <w:sz w:val="24"/>
                <w:szCs w:val="24"/>
              </w:rPr>
              <w:t>600054</w:t>
            </w:r>
          </w:p>
        </w:tc>
        <w:tc>
          <w:tcPr>
            <w:tcW w:w="1777" w:type="dxa"/>
            <w:vAlign w:val="center"/>
          </w:tcPr>
          <w:p w:rsidR="00146F89" w:rsidRDefault="00B23960">
            <w:pPr>
              <w:jc w:val="center"/>
            </w:pPr>
            <w:r>
              <w:rPr>
                <w:color w:val="000000"/>
                <w:sz w:val="24"/>
                <w:szCs w:val="24"/>
              </w:rPr>
              <w:t>黄山旅游</w:t>
            </w:r>
          </w:p>
        </w:tc>
        <w:tc>
          <w:tcPr>
            <w:tcW w:w="1334" w:type="dxa"/>
            <w:vAlign w:val="center"/>
          </w:tcPr>
          <w:p w:rsidR="00146F89" w:rsidRDefault="00B23960">
            <w:pPr>
              <w:jc w:val="right"/>
            </w:pPr>
            <w:r>
              <w:rPr>
                <w:color w:val="000000"/>
                <w:sz w:val="24"/>
                <w:szCs w:val="24"/>
              </w:rPr>
              <w:t>1,097,982</w:t>
            </w:r>
          </w:p>
        </w:tc>
        <w:tc>
          <w:tcPr>
            <w:tcW w:w="1924" w:type="dxa"/>
            <w:vAlign w:val="center"/>
          </w:tcPr>
          <w:p w:rsidR="00146F89" w:rsidRDefault="00B23960">
            <w:pPr>
              <w:jc w:val="right"/>
            </w:pPr>
            <w:r>
              <w:rPr>
                <w:color w:val="000000"/>
                <w:sz w:val="24"/>
                <w:szCs w:val="24"/>
              </w:rPr>
              <w:t>26,483,325.84</w:t>
            </w:r>
          </w:p>
        </w:tc>
        <w:tc>
          <w:tcPr>
            <w:tcW w:w="1644" w:type="dxa"/>
            <w:vAlign w:val="center"/>
          </w:tcPr>
          <w:p w:rsidR="00146F89" w:rsidRDefault="00B23960">
            <w:pPr>
              <w:jc w:val="right"/>
            </w:pPr>
            <w:r>
              <w:rPr>
                <w:color w:val="000000"/>
                <w:sz w:val="24"/>
                <w:szCs w:val="24"/>
              </w:rPr>
              <w:t>9.19</w:t>
            </w:r>
          </w:p>
        </w:tc>
      </w:tr>
      <w:tr w:rsidR="00146F89">
        <w:trPr>
          <w:jc w:val="center"/>
        </w:trPr>
        <w:tc>
          <w:tcPr>
            <w:tcW w:w="855" w:type="dxa"/>
            <w:vAlign w:val="center"/>
          </w:tcPr>
          <w:p w:rsidR="00146F89" w:rsidRDefault="00B23960">
            <w:pPr>
              <w:jc w:val="center"/>
            </w:pPr>
            <w:r>
              <w:rPr>
                <w:color w:val="000000"/>
                <w:sz w:val="24"/>
                <w:szCs w:val="24"/>
              </w:rPr>
              <w:t>2</w:t>
            </w:r>
          </w:p>
        </w:tc>
        <w:tc>
          <w:tcPr>
            <w:tcW w:w="1334" w:type="dxa"/>
            <w:vAlign w:val="center"/>
          </w:tcPr>
          <w:p w:rsidR="00146F89" w:rsidRDefault="00B23960">
            <w:pPr>
              <w:jc w:val="center"/>
            </w:pPr>
            <w:r>
              <w:rPr>
                <w:color w:val="000000"/>
                <w:sz w:val="24"/>
                <w:szCs w:val="24"/>
              </w:rPr>
              <w:t>002131</w:t>
            </w:r>
          </w:p>
        </w:tc>
        <w:tc>
          <w:tcPr>
            <w:tcW w:w="1777" w:type="dxa"/>
            <w:vAlign w:val="center"/>
          </w:tcPr>
          <w:p w:rsidR="00146F89" w:rsidRDefault="00B23960">
            <w:pPr>
              <w:jc w:val="center"/>
            </w:pPr>
            <w:r>
              <w:rPr>
                <w:color w:val="000000"/>
                <w:sz w:val="24"/>
                <w:szCs w:val="24"/>
              </w:rPr>
              <w:t>利欧股份</w:t>
            </w:r>
          </w:p>
        </w:tc>
        <w:tc>
          <w:tcPr>
            <w:tcW w:w="1334" w:type="dxa"/>
            <w:vAlign w:val="center"/>
          </w:tcPr>
          <w:p w:rsidR="00146F89" w:rsidRDefault="00B23960">
            <w:pPr>
              <w:jc w:val="right"/>
            </w:pPr>
            <w:r>
              <w:rPr>
                <w:color w:val="000000"/>
                <w:sz w:val="24"/>
                <w:szCs w:val="24"/>
              </w:rPr>
              <w:t>835,983</w:t>
            </w:r>
          </w:p>
        </w:tc>
        <w:tc>
          <w:tcPr>
            <w:tcW w:w="1924" w:type="dxa"/>
            <w:vAlign w:val="center"/>
          </w:tcPr>
          <w:p w:rsidR="00146F89" w:rsidRDefault="00B23960">
            <w:pPr>
              <w:jc w:val="right"/>
            </w:pPr>
            <w:r>
              <w:rPr>
                <w:color w:val="000000"/>
                <w:sz w:val="24"/>
                <w:szCs w:val="24"/>
              </w:rPr>
              <w:t>14,036,154.57</w:t>
            </w:r>
          </w:p>
        </w:tc>
        <w:tc>
          <w:tcPr>
            <w:tcW w:w="1644" w:type="dxa"/>
            <w:vAlign w:val="center"/>
          </w:tcPr>
          <w:p w:rsidR="00146F89" w:rsidRDefault="00B23960">
            <w:pPr>
              <w:jc w:val="right"/>
            </w:pPr>
            <w:r>
              <w:rPr>
                <w:color w:val="000000"/>
                <w:sz w:val="24"/>
                <w:szCs w:val="24"/>
              </w:rPr>
              <w:t>4.87</w:t>
            </w:r>
          </w:p>
        </w:tc>
      </w:tr>
      <w:tr w:rsidR="00146F89">
        <w:trPr>
          <w:jc w:val="center"/>
        </w:trPr>
        <w:tc>
          <w:tcPr>
            <w:tcW w:w="855" w:type="dxa"/>
            <w:vAlign w:val="center"/>
          </w:tcPr>
          <w:p w:rsidR="00146F89" w:rsidRDefault="00B23960">
            <w:pPr>
              <w:jc w:val="center"/>
            </w:pPr>
            <w:r>
              <w:rPr>
                <w:color w:val="000000"/>
                <w:sz w:val="24"/>
                <w:szCs w:val="24"/>
              </w:rPr>
              <w:t>3</w:t>
            </w:r>
          </w:p>
        </w:tc>
        <w:tc>
          <w:tcPr>
            <w:tcW w:w="1334" w:type="dxa"/>
            <w:vAlign w:val="center"/>
          </w:tcPr>
          <w:p w:rsidR="00146F89" w:rsidRDefault="00B23960">
            <w:pPr>
              <w:jc w:val="center"/>
            </w:pPr>
            <w:r>
              <w:rPr>
                <w:color w:val="000000"/>
                <w:sz w:val="24"/>
                <w:szCs w:val="24"/>
              </w:rPr>
              <w:t>300161</w:t>
            </w:r>
          </w:p>
        </w:tc>
        <w:tc>
          <w:tcPr>
            <w:tcW w:w="1777" w:type="dxa"/>
            <w:vAlign w:val="center"/>
          </w:tcPr>
          <w:p w:rsidR="00146F89" w:rsidRDefault="00B23960">
            <w:pPr>
              <w:jc w:val="center"/>
            </w:pPr>
            <w:r>
              <w:rPr>
                <w:color w:val="000000"/>
                <w:sz w:val="24"/>
                <w:szCs w:val="24"/>
              </w:rPr>
              <w:t>华中数控</w:t>
            </w:r>
          </w:p>
        </w:tc>
        <w:tc>
          <w:tcPr>
            <w:tcW w:w="1334" w:type="dxa"/>
            <w:vAlign w:val="center"/>
          </w:tcPr>
          <w:p w:rsidR="00146F89" w:rsidRDefault="00B23960">
            <w:pPr>
              <w:jc w:val="right"/>
            </w:pPr>
            <w:r>
              <w:rPr>
                <w:color w:val="000000"/>
                <w:sz w:val="24"/>
                <w:szCs w:val="24"/>
              </w:rPr>
              <w:t>537,638</w:t>
            </w:r>
          </w:p>
        </w:tc>
        <w:tc>
          <w:tcPr>
            <w:tcW w:w="1924" w:type="dxa"/>
            <w:vAlign w:val="center"/>
          </w:tcPr>
          <w:p w:rsidR="00146F89" w:rsidRDefault="00B23960">
            <w:pPr>
              <w:jc w:val="right"/>
            </w:pPr>
            <w:r>
              <w:rPr>
                <w:color w:val="000000"/>
                <w:sz w:val="24"/>
                <w:szCs w:val="24"/>
              </w:rPr>
              <w:t>12,365,674.00</w:t>
            </w:r>
          </w:p>
        </w:tc>
        <w:tc>
          <w:tcPr>
            <w:tcW w:w="1644" w:type="dxa"/>
            <w:vAlign w:val="center"/>
          </w:tcPr>
          <w:p w:rsidR="00146F89" w:rsidRDefault="00B23960">
            <w:pPr>
              <w:jc w:val="right"/>
            </w:pPr>
            <w:r>
              <w:rPr>
                <w:color w:val="000000"/>
                <w:sz w:val="24"/>
                <w:szCs w:val="24"/>
              </w:rPr>
              <w:t>4.29</w:t>
            </w:r>
          </w:p>
        </w:tc>
      </w:tr>
      <w:tr w:rsidR="00146F89">
        <w:trPr>
          <w:jc w:val="center"/>
        </w:trPr>
        <w:tc>
          <w:tcPr>
            <w:tcW w:w="855" w:type="dxa"/>
            <w:vAlign w:val="center"/>
          </w:tcPr>
          <w:p w:rsidR="00146F89" w:rsidRDefault="00B23960">
            <w:pPr>
              <w:jc w:val="center"/>
            </w:pPr>
            <w:r>
              <w:rPr>
                <w:color w:val="000000"/>
                <w:sz w:val="24"/>
                <w:szCs w:val="24"/>
              </w:rPr>
              <w:t>4</w:t>
            </w:r>
          </w:p>
        </w:tc>
        <w:tc>
          <w:tcPr>
            <w:tcW w:w="1334" w:type="dxa"/>
            <w:vAlign w:val="center"/>
          </w:tcPr>
          <w:p w:rsidR="00146F89" w:rsidRDefault="00B23960">
            <w:pPr>
              <w:jc w:val="center"/>
            </w:pPr>
            <w:r>
              <w:rPr>
                <w:color w:val="000000"/>
                <w:sz w:val="24"/>
                <w:szCs w:val="24"/>
              </w:rPr>
              <w:t>002045</w:t>
            </w:r>
          </w:p>
        </w:tc>
        <w:tc>
          <w:tcPr>
            <w:tcW w:w="1777" w:type="dxa"/>
            <w:vAlign w:val="center"/>
          </w:tcPr>
          <w:p w:rsidR="00146F89" w:rsidRDefault="00B23960">
            <w:pPr>
              <w:jc w:val="center"/>
            </w:pPr>
            <w:r>
              <w:rPr>
                <w:color w:val="000000"/>
                <w:sz w:val="24"/>
                <w:szCs w:val="24"/>
              </w:rPr>
              <w:t>国光电器</w:t>
            </w:r>
          </w:p>
        </w:tc>
        <w:tc>
          <w:tcPr>
            <w:tcW w:w="1334" w:type="dxa"/>
            <w:vAlign w:val="center"/>
          </w:tcPr>
          <w:p w:rsidR="00146F89" w:rsidRDefault="00B23960">
            <w:pPr>
              <w:jc w:val="right"/>
            </w:pPr>
            <w:r>
              <w:rPr>
                <w:color w:val="000000"/>
                <w:sz w:val="24"/>
                <w:szCs w:val="24"/>
              </w:rPr>
              <w:t>925,821</w:t>
            </w:r>
          </w:p>
        </w:tc>
        <w:tc>
          <w:tcPr>
            <w:tcW w:w="1924" w:type="dxa"/>
            <w:vAlign w:val="center"/>
          </w:tcPr>
          <w:p w:rsidR="00146F89" w:rsidRDefault="00B23960">
            <w:pPr>
              <w:jc w:val="right"/>
            </w:pPr>
            <w:r>
              <w:rPr>
                <w:color w:val="000000"/>
                <w:sz w:val="24"/>
                <w:szCs w:val="24"/>
              </w:rPr>
              <w:t>12,341,193.93</w:t>
            </w:r>
          </w:p>
        </w:tc>
        <w:tc>
          <w:tcPr>
            <w:tcW w:w="1644" w:type="dxa"/>
            <w:vAlign w:val="center"/>
          </w:tcPr>
          <w:p w:rsidR="00146F89" w:rsidRDefault="00B23960">
            <w:pPr>
              <w:jc w:val="right"/>
            </w:pPr>
            <w:r>
              <w:rPr>
                <w:color w:val="000000"/>
                <w:sz w:val="24"/>
                <w:szCs w:val="24"/>
              </w:rPr>
              <w:t>4.28</w:t>
            </w:r>
          </w:p>
        </w:tc>
      </w:tr>
      <w:tr w:rsidR="00146F89">
        <w:trPr>
          <w:jc w:val="center"/>
        </w:trPr>
        <w:tc>
          <w:tcPr>
            <w:tcW w:w="855" w:type="dxa"/>
            <w:vAlign w:val="center"/>
          </w:tcPr>
          <w:p w:rsidR="00146F89" w:rsidRDefault="00B23960">
            <w:pPr>
              <w:jc w:val="center"/>
            </w:pPr>
            <w:r>
              <w:rPr>
                <w:color w:val="000000"/>
                <w:sz w:val="24"/>
                <w:szCs w:val="24"/>
              </w:rPr>
              <w:t>5</w:t>
            </w:r>
          </w:p>
        </w:tc>
        <w:tc>
          <w:tcPr>
            <w:tcW w:w="1334" w:type="dxa"/>
            <w:vAlign w:val="center"/>
          </w:tcPr>
          <w:p w:rsidR="00146F89" w:rsidRDefault="00B23960">
            <w:pPr>
              <w:jc w:val="center"/>
            </w:pPr>
            <w:r>
              <w:rPr>
                <w:color w:val="000000"/>
                <w:sz w:val="24"/>
                <w:szCs w:val="24"/>
              </w:rPr>
              <w:t>002311</w:t>
            </w:r>
          </w:p>
        </w:tc>
        <w:tc>
          <w:tcPr>
            <w:tcW w:w="1777" w:type="dxa"/>
            <w:vAlign w:val="center"/>
          </w:tcPr>
          <w:p w:rsidR="00146F89" w:rsidRDefault="00B23960">
            <w:pPr>
              <w:jc w:val="center"/>
            </w:pPr>
            <w:r>
              <w:rPr>
                <w:color w:val="000000"/>
                <w:sz w:val="24"/>
                <w:szCs w:val="24"/>
              </w:rPr>
              <w:t>海大集团</w:t>
            </w:r>
          </w:p>
        </w:tc>
        <w:tc>
          <w:tcPr>
            <w:tcW w:w="1334" w:type="dxa"/>
            <w:vAlign w:val="center"/>
          </w:tcPr>
          <w:p w:rsidR="00146F89" w:rsidRDefault="00B23960">
            <w:pPr>
              <w:jc w:val="right"/>
            </w:pPr>
            <w:r>
              <w:rPr>
                <w:color w:val="000000"/>
                <w:sz w:val="24"/>
                <w:szCs w:val="24"/>
              </w:rPr>
              <w:t>658,000</w:t>
            </w:r>
          </w:p>
        </w:tc>
        <w:tc>
          <w:tcPr>
            <w:tcW w:w="1924" w:type="dxa"/>
            <w:vAlign w:val="center"/>
          </w:tcPr>
          <w:p w:rsidR="00146F89" w:rsidRDefault="00B23960">
            <w:pPr>
              <w:jc w:val="right"/>
            </w:pPr>
            <w:r>
              <w:rPr>
                <w:color w:val="000000"/>
                <w:sz w:val="24"/>
                <w:szCs w:val="24"/>
              </w:rPr>
              <w:t>10,699,080.00</w:t>
            </w:r>
          </w:p>
        </w:tc>
        <w:tc>
          <w:tcPr>
            <w:tcW w:w="1644" w:type="dxa"/>
            <w:vAlign w:val="center"/>
          </w:tcPr>
          <w:p w:rsidR="00146F89" w:rsidRDefault="00B23960">
            <w:pPr>
              <w:jc w:val="right"/>
            </w:pPr>
            <w:r>
              <w:rPr>
                <w:color w:val="000000"/>
                <w:sz w:val="24"/>
                <w:szCs w:val="24"/>
              </w:rPr>
              <w:t>3.71</w:t>
            </w:r>
          </w:p>
        </w:tc>
      </w:tr>
      <w:tr w:rsidR="00146F89">
        <w:trPr>
          <w:jc w:val="center"/>
        </w:trPr>
        <w:tc>
          <w:tcPr>
            <w:tcW w:w="855" w:type="dxa"/>
            <w:vAlign w:val="center"/>
          </w:tcPr>
          <w:p w:rsidR="00146F89" w:rsidRDefault="00B23960">
            <w:pPr>
              <w:jc w:val="center"/>
            </w:pPr>
            <w:r>
              <w:rPr>
                <w:color w:val="000000"/>
                <w:sz w:val="24"/>
                <w:szCs w:val="24"/>
              </w:rPr>
              <w:t>6</w:t>
            </w:r>
          </w:p>
        </w:tc>
        <w:tc>
          <w:tcPr>
            <w:tcW w:w="1334" w:type="dxa"/>
            <w:vAlign w:val="center"/>
          </w:tcPr>
          <w:p w:rsidR="00146F89" w:rsidRDefault="00B23960">
            <w:pPr>
              <w:jc w:val="center"/>
            </w:pPr>
            <w:r>
              <w:rPr>
                <w:color w:val="000000"/>
                <w:sz w:val="24"/>
                <w:szCs w:val="24"/>
              </w:rPr>
              <w:t>300347</w:t>
            </w:r>
          </w:p>
        </w:tc>
        <w:tc>
          <w:tcPr>
            <w:tcW w:w="1777" w:type="dxa"/>
            <w:vAlign w:val="center"/>
          </w:tcPr>
          <w:p w:rsidR="00146F89" w:rsidRDefault="00B23960">
            <w:pPr>
              <w:jc w:val="center"/>
            </w:pPr>
            <w:r>
              <w:rPr>
                <w:color w:val="000000"/>
                <w:sz w:val="24"/>
                <w:szCs w:val="24"/>
              </w:rPr>
              <w:t>泰格医药</w:t>
            </w:r>
          </w:p>
        </w:tc>
        <w:tc>
          <w:tcPr>
            <w:tcW w:w="1334" w:type="dxa"/>
            <w:vAlign w:val="center"/>
          </w:tcPr>
          <w:p w:rsidR="00146F89" w:rsidRDefault="00B23960">
            <w:pPr>
              <w:jc w:val="right"/>
            </w:pPr>
            <w:r>
              <w:rPr>
                <w:color w:val="000000"/>
                <w:sz w:val="24"/>
                <w:szCs w:val="24"/>
              </w:rPr>
              <w:t>378,061</w:t>
            </w:r>
          </w:p>
        </w:tc>
        <w:tc>
          <w:tcPr>
            <w:tcW w:w="1924" w:type="dxa"/>
            <w:vAlign w:val="center"/>
          </w:tcPr>
          <w:p w:rsidR="00146F89" w:rsidRDefault="00B23960">
            <w:pPr>
              <w:jc w:val="right"/>
            </w:pPr>
            <w:r>
              <w:rPr>
                <w:color w:val="000000"/>
                <w:sz w:val="24"/>
                <w:szCs w:val="24"/>
              </w:rPr>
              <w:t>10,373,993.84</w:t>
            </w:r>
          </w:p>
        </w:tc>
        <w:tc>
          <w:tcPr>
            <w:tcW w:w="1644" w:type="dxa"/>
            <w:vAlign w:val="center"/>
          </w:tcPr>
          <w:p w:rsidR="00146F89" w:rsidRDefault="00B23960">
            <w:pPr>
              <w:jc w:val="right"/>
            </w:pPr>
            <w:r>
              <w:rPr>
                <w:color w:val="000000"/>
                <w:sz w:val="24"/>
                <w:szCs w:val="24"/>
              </w:rPr>
              <w:t>3.60</w:t>
            </w:r>
          </w:p>
        </w:tc>
      </w:tr>
      <w:tr w:rsidR="00146F89">
        <w:trPr>
          <w:jc w:val="center"/>
        </w:trPr>
        <w:tc>
          <w:tcPr>
            <w:tcW w:w="855" w:type="dxa"/>
            <w:vAlign w:val="center"/>
          </w:tcPr>
          <w:p w:rsidR="00146F89" w:rsidRDefault="00B23960">
            <w:pPr>
              <w:jc w:val="center"/>
            </w:pPr>
            <w:r>
              <w:rPr>
                <w:color w:val="000000"/>
                <w:sz w:val="24"/>
                <w:szCs w:val="24"/>
              </w:rPr>
              <w:t>7</w:t>
            </w:r>
          </w:p>
        </w:tc>
        <w:tc>
          <w:tcPr>
            <w:tcW w:w="1334" w:type="dxa"/>
            <w:vAlign w:val="center"/>
          </w:tcPr>
          <w:p w:rsidR="00146F89" w:rsidRDefault="00B23960">
            <w:pPr>
              <w:jc w:val="center"/>
            </w:pPr>
            <w:r>
              <w:rPr>
                <w:color w:val="000000"/>
                <w:sz w:val="24"/>
                <w:szCs w:val="24"/>
              </w:rPr>
              <w:t>002548</w:t>
            </w:r>
          </w:p>
        </w:tc>
        <w:tc>
          <w:tcPr>
            <w:tcW w:w="1777" w:type="dxa"/>
            <w:vAlign w:val="center"/>
          </w:tcPr>
          <w:p w:rsidR="00146F89" w:rsidRDefault="00B23960">
            <w:pPr>
              <w:jc w:val="center"/>
            </w:pPr>
            <w:r>
              <w:rPr>
                <w:color w:val="000000"/>
                <w:sz w:val="24"/>
                <w:szCs w:val="24"/>
              </w:rPr>
              <w:t>金新农</w:t>
            </w:r>
          </w:p>
        </w:tc>
        <w:tc>
          <w:tcPr>
            <w:tcW w:w="1334" w:type="dxa"/>
            <w:vAlign w:val="center"/>
          </w:tcPr>
          <w:p w:rsidR="00146F89" w:rsidRDefault="00B23960">
            <w:pPr>
              <w:jc w:val="right"/>
            </w:pPr>
            <w:r>
              <w:rPr>
                <w:color w:val="000000"/>
                <w:sz w:val="24"/>
                <w:szCs w:val="24"/>
              </w:rPr>
              <w:t>524,000</w:t>
            </w:r>
          </w:p>
        </w:tc>
        <w:tc>
          <w:tcPr>
            <w:tcW w:w="1924" w:type="dxa"/>
            <w:vAlign w:val="center"/>
          </w:tcPr>
          <w:p w:rsidR="00146F89" w:rsidRDefault="00B23960">
            <w:pPr>
              <w:jc w:val="right"/>
            </w:pPr>
            <w:r>
              <w:rPr>
                <w:color w:val="000000"/>
                <w:sz w:val="24"/>
                <w:szCs w:val="24"/>
              </w:rPr>
              <w:t>8,729,840.00</w:t>
            </w:r>
          </w:p>
        </w:tc>
        <w:tc>
          <w:tcPr>
            <w:tcW w:w="1644" w:type="dxa"/>
            <w:vAlign w:val="center"/>
          </w:tcPr>
          <w:p w:rsidR="00146F89" w:rsidRDefault="00B23960">
            <w:pPr>
              <w:jc w:val="right"/>
            </w:pPr>
            <w:r>
              <w:rPr>
                <w:color w:val="000000"/>
                <w:sz w:val="24"/>
                <w:szCs w:val="24"/>
              </w:rPr>
              <w:t>3.03</w:t>
            </w:r>
          </w:p>
        </w:tc>
      </w:tr>
      <w:tr w:rsidR="00146F89">
        <w:trPr>
          <w:jc w:val="center"/>
        </w:trPr>
        <w:tc>
          <w:tcPr>
            <w:tcW w:w="855" w:type="dxa"/>
            <w:vAlign w:val="center"/>
          </w:tcPr>
          <w:p w:rsidR="00146F89" w:rsidRDefault="00B23960">
            <w:pPr>
              <w:jc w:val="center"/>
            </w:pPr>
            <w:r>
              <w:rPr>
                <w:color w:val="000000"/>
                <w:sz w:val="24"/>
                <w:szCs w:val="24"/>
              </w:rPr>
              <w:t>8</w:t>
            </w:r>
          </w:p>
        </w:tc>
        <w:tc>
          <w:tcPr>
            <w:tcW w:w="1334" w:type="dxa"/>
            <w:vAlign w:val="center"/>
          </w:tcPr>
          <w:p w:rsidR="00146F89" w:rsidRDefault="00B23960">
            <w:pPr>
              <w:jc w:val="center"/>
            </w:pPr>
            <w:r>
              <w:rPr>
                <w:color w:val="000000"/>
                <w:sz w:val="24"/>
                <w:szCs w:val="24"/>
              </w:rPr>
              <w:t>000061</w:t>
            </w:r>
          </w:p>
        </w:tc>
        <w:tc>
          <w:tcPr>
            <w:tcW w:w="1777" w:type="dxa"/>
            <w:vAlign w:val="center"/>
          </w:tcPr>
          <w:p w:rsidR="00146F89" w:rsidRDefault="00B23960">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146F89" w:rsidRDefault="00B23960">
            <w:pPr>
              <w:jc w:val="right"/>
            </w:pPr>
            <w:r>
              <w:rPr>
                <w:color w:val="000000"/>
                <w:sz w:val="24"/>
                <w:szCs w:val="24"/>
              </w:rPr>
              <w:t>639,171</w:t>
            </w:r>
          </w:p>
        </w:tc>
        <w:tc>
          <w:tcPr>
            <w:tcW w:w="1924" w:type="dxa"/>
            <w:vAlign w:val="center"/>
          </w:tcPr>
          <w:p w:rsidR="00146F89" w:rsidRDefault="00B23960">
            <w:pPr>
              <w:jc w:val="right"/>
            </w:pPr>
            <w:r>
              <w:rPr>
                <w:color w:val="000000"/>
                <w:sz w:val="24"/>
                <w:szCs w:val="24"/>
              </w:rPr>
              <w:t>8,347,573.26</w:t>
            </w:r>
          </w:p>
        </w:tc>
        <w:tc>
          <w:tcPr>
            <w:tcW w:w="1644" w:type="dxa"/>
            <w:vAlign w:val="center"/>
          </w:tcPr>
          <w:p w:rsidR="00146F89" w:rsidRDefault="00B23960">
            <w:pPr>
              <w:jc w:val="right"/>
            </w:pPr>
            <w:r>
              <w:rPr>
                <w:color w:val="000000"/>
                <w:sz w:val="24"/>
                <w:szCs w:val="24"/>
              </w:rPr>
              <w:t>2.90</w:t>
            </w:r>
          </w:p>
        </w:tc>
      </w:tr>
      <w:tr w:rsidR="00146F89">
        <w:trPr>
          <w:jc w:val="center"/>
        </w:trPr>
        <w:tc>
          <w:tcPr>
            <w:tcW w:w="855" w:type="dxa"/>
            <w:vAlign w:val="center"/>
          </w:tcPr>
          <w:p w:rsidR="00146F89" w:rsidRDefault="00B23960">
            <w:pPr>
              <w:jc w:val="center"/>
            </w:pPr>
            <w:r>
              <w:rPr>
                <w:color w:val="000000"/>
                <w:sz w:val="24"/>
                <w:szCs w:val="24"/>
              </w:rPr>
              <w:t>9</w:t>
            </w:r>
          </w:p>
        </w:tc>
        <w:tc>
          <w:tcPr>
            <w:tcW w:w="1334" w:type="dxa"/>
            <w:vAlign w:val="center"/>
          </w:tcPr>
          <w:p w:rsidR="00146F89" w:rsidRDefault="00B23960">
            <w:pPr>
              <w:jc w:val="center"/>
            </w:pPr>
            <w:r>
              <w:rPr>
                <w:color w:val="000000"/>
                <w:sz w:val="24"/>
                <w:szCs w:val="24"/>
              </w:rPr>
              <w:t>002502</w:t>
            </w:r>
          </w:p>
        </w:tc>
        <w:tc>
          <w:tcPr>
            <w:tcW w:w="1777" w:type="dxa"/>
            <w:vAlign w:val="center"/>
          </w:tcPr>
          <w:p w:rsidR="00146F89" w:rsidRDefault="00B23960">
            <w:pPr>
              <w:jc w:val="center"/>
            </w:pPr>
            <w:r>
              <w:rPr>
                <w:color w:val="000000"/>
                <w:sz w:val="24"/>
                <w:szCs w:val="24"/>
              </w:rPr>
              <w:t>骅威股份</w:t>
            </w:r>
          </w:p>
        </w:tc>
        <w:tc>
          <w:tcPr>
            <w:tcW w:w="1334" w:type="dxa"/>
            <w:vAlign w:val="center"/>
          </w:tcPr>
          <w:p w:rsidR="00146F89" w:rsidRDefault="00B23960">
            <w:pPr>
              <w:jc w:val="right"/>
            </w:pPr>
            <w:r>
              <w:rPr>
                <w:color w:val="000000"/>
                <w:sz w:val="24"/>
                <w:szCs w:val="24"/>
              </w:rPr>
              <w:t>302,963</w:t>
            </w:r>
          </w:p>
        </w:tc>
        <w:tc>
          <w:tcPr>
            <w:tcW w:w="1924" w:type="dxa"/>
            <w:vAlign w:val="center"/>
          </w:tcPr>
          <w:p w:rsidR="00146F89" w:rsidRDefault="00B23960">
            <w:pPr>
              <w:jc w:val="right"/>
            </w:pPr>
            <w:r>
              <w:rPr>
                <w:color w:val="000000"/>
                <w:sz w:val="24"/>
                <w:szCs w:val="24"/>
              </w:rPr>
              <w:t>8,304,215.83</w:t>
            </w:r>
          </w:p>
        </w:tc>
        <w:tc>
          <w:tcPr>
            <w:tcW w:w="1644" w:type="dxa"/>
            <w:vAlign w:val="center"/>
          </w:tcPr>
          <w:p w:rsidR="00146F89" w:rsidRDefault="00B23960">
            <w:pPr>
              <w:jc w:val="right"/>
            </w:pPr>
            <w:r>
              <w:rPr>
                <w:color w:val="000000"/>
                <w:sz w:val="24"/>
                <w:szCs w:val="24"/>
              </w:rPr>
              <w:t>2.88</w:t>
            </w:r>
          </w:p>
        </w:tc>
      </w:tr>
      <w:tr w:rsidR="00146F89">
        <w:trPr>
          <w:jc w:val="center"/>
        </w:trPr>
        <w:tc>
          <w:tcPr>
            <w:tcW w:w="855" w:type="dxa"/>
            <w:vAlign w:val="center"/>
          </w:tcPr>
          <w:p w:rsidR="00146F89" w:rsidRDefault="00B23960">
            <w:pPr>
              <w:jc w:val="center"/>
            </w:pPr>
            <w:r>
              <w:rPr>
                <w:color w:val="000000"/>
                <w:sz w:val="24"/>
                <w:szCs w:val="24"/>
              </w:rPr>
              <w:t>10</w:t>
            </w:r>
          </w:p>
        </w:tc>
        <w:tc>
          <w:tcPr>
            <w:tcW w:w="1334" w:type="dxa"/>
            <w:vAlign w:val="center"/>
          </w:tcPr>
          <w:p w:rsidR="00146F89" w:rsidRDefault="00B23960">
            <w:pPr>
              <w:jc w:val="center"/>
            </w:pPr>
            <w:r>
              <w:rPr>
                <w:color w:val="000000"/>
                <w:sz w:val="24"/>
                <w:szCs w:val="24"/>
              </w:rPr>
              <w:t>601169</w:t>
            </w:r>
          </w:p>
        </w:tc>
        <w:tc>
          <w:tcPr>
            <w:tcW w:w="1777" w:type="dxa"/>
            <w:vAlign w:val="center"/>
          </w:tcPr>
          <w:p w:rsidR="00146F89" w:rsidRDefault="00B23960">
            <w:pPr>
              <w:jc w:val="center"/>
            </w:pPr>
            <w:r>
              <w:rPr>
                <w:color w:val="000000"/>
                <w:sz w:val="24"/>
                <w:szCs w:val="24"/>
              </w:rPr>
              <w:t>北京银行</w:t>
            </w:r>
          </w:p>
        </w:tc>
        <w:tc>
          <w:tcPr>
            <w:tcW w:w="1334" w:type="dxa"/>
            <w:vAlign w:val="center"/>
          </w:tcPr>
          <w:p w:rsidR="00146F89" w:rsidRDefault="00B23960">
            <w:pPr>
              <w:jc w:val="right"/>
            </w:pPr>
            <w:r>
              <w:rPr>
                <w:color w:val="000000"/>
                <w:sz w:val="24"/>
                <w:szCs w:val="24"/>
              </w:rPr>
              <w:t>766,564</w:t>
            </w:r>
          </w:p>
        </w:tc>
        <w:tc>
          <w:tcPr>
            <w:tcW w:w="1924" w:type="dxa"/>
            <w:vAlign w:val="center"/>
          </w:tcPr>
          <w:p w:rsidR="00146F89" w:rsidRDefault="00B23960">
            <w:pPr>
              <w:jc w:val="right"/>
            </w:pPr>
            <w:r>
              <w:rPr>
                <w:color w:val="000000"/>
                <w:sz w:val="24"/>
                <w:szCs w:val="24"/>
              </w:rPr>
              <w:t>7,726,965.12</w:t>
            </w:r>
          </w:p>
        </w:tc>
        <w:tc>
          <w:tcPr>
            <w:tcW w:w="1644" w:type="dxa"/>
            <w:vAlign w:val="center"/>
          </w:tcPr>
          <w:p w:rsidR="00146F89" w:rsidRDefault="00B23960">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46F89">
        <w:trPr>
          <w:jc w:val="center"/>
        </w:trPr>
        <w:tc>
          <w:tcPr>
            <w:tcW w:w="850" w:type="dxa"/>
            <w:vAlign w:val="center"/>
          </w:tcPr>
          <w:p w:rsidR="00146F89" w:rsidRDefault="00B23960">
            <w:pPr>
              <w:jc w:val="center"/>
            </w:pPr>
            <w:r>
              <w:rPr>
                <w:color w:val="000000"/>
                <w:sz w:val="24"/>
                <w:szCs w:val="24"/>
              </w:rPr>
              <w:t>1</w:t>
            </w:r>
          </w:p>
        </w:tc>
        <w:tc>
          <w:tcPr>
            <w:tcW w:w="1475" w:type="dxa"/>
            <w:vAlign w:val="center"/>
          </w:tcPr>
          <w:p w:rsidR="00146F89" w:rsidRDefault="00B23960">
            <w:pPr>
              <w:jc w:val="center"/>
            </w:pPr>
            <w:r>
              <w:rPr>
                <w:color w:val="000000"/>
                <w:sz w:val="24"/>
                <w:szCs w:val="24"/>
              </w:rPr>
              <w:t>150211</w:t>
            </w:r>
          </w:p>
        </w:tc>
        <w:tc>
          <w:tcPr>
            <w:tcW w:w="1769" w:type="dxa"/>
            <w:vAlign w:val="center"/>
          </w:tcPr>
          <w:p w:rsidR="00146F89" w:rsidRDefault="00B23960">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146F89" w:rsidRDefault="00B23960">
            <w:pPr>
              <w:jc w:val="right"/>
            </w:pPr>
            <w:r>
              <w:rPr>
                <w:color w:val="000000"/>
                <w:sz w:val="24"/>
                <w:szCs w:val="24"/>
              </w:rPr>
              <w:t>100,000</w:t>
            </w:r>
          </w:p>
        </w:tc>
        <w:tc>
          <w:tcPr>
            <w:tcW w:w="2150" w:type="dxa"/>
            <w:vAlign w:val="center"/>
          </w:tcPr>
          <w:p w:rsidR="00146F89" w:rsidRDefault="00B23960">
            <w:pPr>
              <w:jc w:val="right"/>
            </w:pPr>
            <w:r>
              <w:rPr>
                <w:color w:val="000000"/>
                <w:sz w:val="24"/>
                <w:szCs w:val="24"/>
              </w:rPr>
              <w:t>10,008,000.00</w:t>
            </w:r>
          </w:p>
        </w:tc>
        <w:tc>
          <w:tcPr>
            <w:tcW w:w="1237" w:type="dxa"/>
            <w:vAlign w:val="center"/>
          </w:tcPr>
          <w:p w:rsidR="00146F89" w:rsidRDefault="00B23960">
            <w:pPr>
              <w:jc w:val="right"/>
            </w:pPr>
            <w:r>
              <w:rPr>
                <w:color w:val="000000"/>
                <w:sz w:val="24"/>
                <w:szCs w:val="24"/>
              </w:rPr>
              <w:t>3.47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441,273.27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4,390,183.78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306,225.61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5,402,190.90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10,539,873.56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109,825,066.69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22,994,854.30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6,312,506.13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126,507,414.86</w:t>
            </w:r>
          </w:p>
        </w:tc>
      </w:tr>
    </w:tbl>
    <w:p w:rsidR="00146F89" w:rsidRDefault="00B239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46F89" w:rsidRDefault="00B2396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146F89" w:rsidRDefault="00B23960">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146F89" w:rsidRDefault="00B23960">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146F89" w:rsidRDefault="00B2396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146F89" w:rsidRDefault="00B23960">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146F89" w:rsidRDefault="00B23960">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146F89" w:rsidRDefault="00B23960">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146F89" w:rsidRDefault="00B23960">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46F89" w:rsidRDefault="00B2396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D5186">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D5186">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6F89"/>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4D05"/>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09E5"/>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3960"/>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186"/>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A8BE-E557-41E9-91C6-5BF26C0B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11</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565</cp:revision>
  <dcterms:created xsi:type="dcterms:W3CDTF">2012-10-16T06:07:00Z</dcterms:created>
  <dcterms:modified xsi:type="dcterms:W3CDTF">2016-04-19T02:59:00Z</dcterms:modified>
</cp:coreProperties>
</file>