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A002D9">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A002D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1,409,245,333.04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1,046,357,558.63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362,887,774.41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A002D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14,436,338.21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4,549,968.72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8,310,451.20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2,664,445.36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1,063,771,497.28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367,565,231.30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1.0129</w:t>
            </w:r>
          </w:p>
        </w:tc>
      </w:tr>
    </w:tbl>
    <w:p w:rsidR="00B641B8" w:rsidRDefault="00B8194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41B8">
        <w:trPr>
          <w:jc w:val="center"/>
        </w:trPr>
        <w:tc>
          <w:tcPr>
            <w:tcW w:w="1266" w:type="dxa"/>
            <w:vAlign w:val="center"/>
          </w:tcPr>
          <w:p w:rsidR="00B641B8" w:rsidRDefault="00B8194A">
            <w:pPr>
              <w:jc w:val="left"/>
            </w:pPr>
            <w:r>
              <w:rPr>
                <w:color w:val="000000"/>
                <w:sz w:val="24"/>
              </w:rPr>
              <w:t>过去三个月</w:t>
            </w:r>
          </w:p>
        </w:tc>
        <w:tc>
          <w:tcPr>
            <w:tcW w:w="1267" w:type="dxa"/>
            <w:vAlign w:val="center"/>
          </w:tcPr>
          <w:p w:rsidR="00B641B8" w:rsidRDefault="00B8194A">
            <w:pPr>
              <w:jc w:val="center"/>
            </w:pPr>
            <w:r>
              <w:rPr>
                <w:color w:val="000000"/>
                <w:sz w:val="24"/>
              </w:rPr>
              <w:t>0.82%</w:t>
            </w:r>
          </w:p>
        </w:tc>
        <w:tc>
          <w:tcPr>
            <w:tcW w:w="1267" w:type="dxa"/>
            <w:vAlign w:val="center"/>
          </w:tcPr>
          <w:p w:rsidR="00B641B8" w:rsidRDefault="00B8194A">
            <w:pPr>
              <w:jc w:val="center"/>
            </w:pPr>
            <w:r>
              <w:rPr>
                <w:color w:val="000000"/>
                <w:sz w:val="24"/>
              </w:rPr>
              <w:t>0.08%</w:t>
            </w:r>
          </w:p>
        </w:tc>
        <w:tc>
          <w:tcPr>
            <w:tcW w:w="1267" w:type="dxa"/>
            <w:vAlign w:val="center"/>
          </w:tcPr>
          <w:p w:rsidR="00B641B8" w:rsidRDefault="00B8194A">
            <w:pPr>
              <w:jc w:val="center"/>
            </w:pPr>
            <w:r>
              <w:rPr>
                <w:color w:val="000000"/>
                <w:sz w:val="24"/>
              </w:rPr>
              <w:t>-1.27%</w:t>
            </w:r>
          </w:p>
        </w:tc>
        <w:tc>
          <w:tcPr>
            <w:tcW w:w="1267" w:type="dxa"/>
            <w:vAlign w:val="center"/>
          </w:tcPr>
          <w:p w:rsidR="00B641B8" w:rsidRDefault="00B8194A">
            <w:pPr>
              <w:jc w:val="center"/>
            </w:pPr>
            <w:r>
              <w:rPr>
                <w:color w:val="000000"/>
                <w:sz w:val="24"/>
              </w:rPr>
              <w:t>0.08%</w:t>
            </w:r>
          </w:p>
        </w:tc>
        <w:tc>
          <w:tcPr>
            <w:tcW w:w="1267" w:type="dxa"/>
            <w:vAlign w:val="center"/>
          </w:tcPr>
          <w:p w:rsidR="00B641B8" w:rsidRDefault="00B8194A">
            <w:pPr>
              <w:jc w:val="center"/>
            </w:pPr>
            <w:r>
              <w:rPr>
                <w:color w:val="000000"/>
                <w:sz w:val="24"/>
              </w:rPr>
              <w:t>2.09%</w:t>
            </w:r>
          </w:p>
        </w:tc>
        <w:tc>
          <w:tcPr>
            <w:tcW w:w="1267" w:type="dxa"/>
            <w:vAlign w:val="center"/>
          </w:tcPr>
          <w:p w:rsidR="00B641B8" w:rsidRDefault="00B8194A">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41B8">
        <w:trPr>
          <w:jc w:val="center"/>
        </w:trPr>
        <w:tc>
          <w:tcPr>
            <w:tcW w:w="1266" w:type="dxa"/>
            <w:vAlign w:val="center"/>
          </w:tcPr>
          <w:p w:rsidR="00B641B8" w:rsidRDefault="00B8194A">
            <w:pPr>
              <w:jc w:val="left"/>
            </w:pPr>
            <w:r>
              <w:rPr>
                <w:color w:val="000000"/>
                <w:sz w:val="24"/>
              </w:rPr>
              <w:t>过去三个月</w:t>
            </w:r>
          </w:p>
        </w:tc>
        <w:tc>
          <w:tcPr>
            <w:tcW w:w="1267" w:type="dxa"/>
            <w:vAlign w:val="center"/>
          </w:tcPr>
          <w:p w:rsidR="00B641B8" w:rsidRDefault="00B8194A">
            <w:pPr>
              <w:jc w:val="center"/>
            </w:pPr>
            <w:r>
              <w:rPr>
                <w:color w:val="000000"/>
                <w:sz w:val="24"/>
              </w:rPr>
              <w:t>0.71%</w:t>
            </w:r>
          </w:p>
        </w:tc>
        <w:tc>
          <w:tcPr>
            <w:tcW w:w="1267" w:type="dxa"/>
            <w:vAlign w:val="center"/>
          </w:tcPr>
          <w:p w:rsidR="00B641B8" w:rsidRDefault="00B8194A">
            <w:pPr>
              <w:jc w:val="center"/>
            </w:pPr>
            <w:r>
              <w:rPr>
                <w:color w:val="000000"/>
                <w:sz w:val="24"/>
              </w:rPr>
              <w:t>0.08%</w:t>
            </w:r>
          </w:p>
        </w:tc>
        <w:tc>
          <w:tcPr>
            <w:tcW w:w="1267" w:type="dxa"/>
            <w:vAlign w:val="center"/>
          </w:tcPr>
          <w:p w:rsidR="00B641B8" w:rsidRDefault="00B8194A">
            <w:pPr>
              <w:jc w:val="center"/>
            </w:pPr>
            <w:r>
              <w:rPr>
                <w:color w:val="000000"/>
                <w:sz w:val="24"/>
              </w:rPr>
              <w:t>-1.27%</w:t>
            </w:r>
          </w:p>
        </w:tc>
        <w:tc>
          <w:tcPr>
            <w:tcW w:w="1267" w:type="dxa"/>
            <w:vAlign w:val="center"/>
          </w:tcPr>
          <w:p w:rsidR="00B641B8" w:rsidRDefault="00B8194A">
            <w:pPr>
              <w:jc w:val="center"/>
            </w:pPr>
            <w:r>
              <w:rPr>
                <w:color w:val="000000"/>
                <w:sz w:val="24"/>
              </w:rPr>
              <w:t>0.08%</w:t>
            </w:r>
          </w:p>
        </w:tc>
        <w:tc>
          <w:tcPr>
            <w:tcW w:w="1267" w:type="dxa"/>
            <w:vAlign w:val="center"/>
          </w:tcPr>
          <w:p w:rsidR="00B641B8" w:rsidRDefault="00B8194A">
            <w:pPr>
              <w:jc w:val="center"/>
            </w:pPr>
            <w:r>
              <w:rPr>
                <w:color w:val="000000"/>
                <w:sz w:val="24"/>
              </w:rPr>
              <w:t>1.98%</w:t>
            </w:r>
          </w:p>
        </w:tc>
        <w:tc>
          <w:tcPr>
            <w:tcW w:w="1267" w:type="dxa"/>
            <w:vAlign w:val="center"/>
          </w:tcPr>
          <w:p w:rsidR="00B641B8" w:rsidRDefault="00B8194A">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bookmarkStart w:id="0" w:name="_GoBack"/>
      <w:bookmarkEnd w:id="0"/>
    </w:p>
    <w:p w:rsidR="009238DB" w:rsidRPr="007F52FA" w:rsidRDefault="009238DB" w:rsidP="00A002D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641B8">
        <w:trPr>
          <w:jc w:val="center"/>
        </w:trPr>
        <w:tc>
          <w:tcPr>
            <w:tcW w:w="946" w:type="dxa"/>
            <w:vAlign w:val="center"/>
          </w:tcPr>
          <w:p w:rsidR="00B641B8" w:rsidRDefault="00B8194A">
            <w:pPr>
              <w:jc w:val="center"/>
            </w:pPr>
            <w:r>
              <w:rPr>
                <w:color w:val="000000"/>
                <w:sz w:val="24"/>
              </w:rPr>
              <w:t>孙超</w:t>
            </w:r>
          </w:p>
        </w:tc>
        <w:tc>
          <w:tcPr>
            <w:tcW w:w="924" w:type="dxa"/>
            <w:vAlign w:val="center"/>
          </w:tcPr>
          <w:p w:rsidR="00B641B8" w:rsidRDefault="00B8194A">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w:t>
            </w:r>
            <w:r w:rsidR="00A11526">
              <w:rPr>
                <w:rFonts w:hint="eastAsia"/>
                <w:color w:val="000000"/>
                <w:sz w:val="24"/>
              </w:rPr>
              <w:t>混合</w:t>
            </w:r>
            <w:r>
              <w:rPr>
                <w:color w:val="000000"/>
                <w:sz w:val="24"/>
              </w:rPr>
              <w:t>的基金经理</w:t>
            </w:r>
          </w:p>
        </w:tc>
        <w:tc>
          <w:tcPr>
            <w:tcW w:w="1202" w:type="dxa"/>
            <w:vAlign w:val="center"/>
          </w:tcPr>
          <w:p w:rsidR="00B641B8" w:rsidRDefault="00B8194A">
            <w:pPr>
              <w:jc w:val="center"/>
            </w:pPr>
            <w:r>
              <w:rPr>
                <w:color w:val="000000"/>
                <w:sz w:val="24"/>
              </w:rPr>
              <w:t>2015-07-18</w:t>
            </w:r>
          </w:p>
        </w:tc>
        <w:tc>
          <w:tcPr>
            <w:tcW w:w="1300" w:type="dxa"/>
            <w:vAlign w:val="center"/>
          </w:tcPr>
          <w:p w:rsidR="00B641B8" w:rsidRDefault="00B8194A">
            <w:pPr>
              <w:jc w:val="center"/>
            </w:pPr>
            <w:r>
              <w:rPr>
                <w:color w:val="000000"/>
                <w:sz w:val="24"/>
              </w:rPr>
              <w:t>-</w:t>
            </w:r>
          </w:p>
        </w:tc>
        <w:tc>
          <w:tcPr>
            <w:tcW w:w="1245" w:type="dxa"/>
            <w:vAlign w:val="center"/>
          </w:tcPr>
          <w:p w:rsidR="00B641B8" w:rsidRDefault="00B8194A">
            <w:pPr>
              <w:jc w:val="center"/>
            </w:pPr>
            <w:r>
              <w:rPr>
                <w:color w:val="000000"/>
                <w:sz w:val="24"/>
              </w:rPr>
              <w:t>5</w:t>
            </w:r>
            <w:r>
              <w:rPr>
                <w:color w:val="000000"/>
                <w:sz w:val="24"/>
              </w:rPr>
              <w:t>年</w:t>
            </w:r>
          </w:p>
        </w:tc>
        <w:tc>
          <w:tcPr>
            <w:tcW w:w="3251" w:type="dxa"/>
            <w:vAlign w:val="center"/>
          </w:tcPr>
          <w:p w:rsidR="00B641B8" w:rsidRDefault="00B8194A">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641B8" w:rsidRDefault="00B8194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41B8" w:rsidRDefault="00B8194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41B8" w:rsidRDefault="00B8194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1D33FD" w:rsidRPr="001D33FD" w:rsidRDefault="001D33FD"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641B8" w:rsidRDefault="00B8194A">
      <w:pPr>
        <w:spacing w:before="29" w:line="288" w:lineRule="auto"/>
        <w:ind w:firstLineChars="200" w:firstLine="480"/>
        <w:rPr>
          <w:color w:val="000000"/>
          <w:sz w:val="24"/>
        </w:rPr>
      </w:pPr>
      <w:r>
        <w:rPr>
          <w:color w:val="000000"/>
          <w:sz w:val="24"/>
        </w:rPr>
        <w:t>股票市场方面，一季度的</w:t>
      </w:r>
      <w:r>
        <w:rPr>
          <w:color w:val="000000"/>
          <w:sz w:val="24"/>
        </w:rPr>
        <w:t>A</w:t>
      </w:r>
      <w:r>
        <w:rPr>
          <w:color w:val="000000"/>
          <w:sz w:val="24"/>
        </w:rPr>
        <w:t>股市场在经历了初期的大幅下跌后呈现盘整震荡的趋势。</w:t>
      </w:r>
      <w:r>
        <w:rPr>
          <w:color w:val="000000"/>
          <w:sz w:val="24"/>
        </w:rPr>
        <w:t>1</w:t>
      </w:r>
      <w:r>
        <w:rPr>
          <w:color w:val="000000"/>
          <w:sz w:val="24"/>
        </w:rPr>
        <w:t>月份在对中国经济下行的担忧叠加美联储加息预期下，人民币汇率出现大幅波动，引起市场恐慌，</w:t>
      </w:r>
      <w:r>
        <w:rPr>
          <w:color w:val="000000"/>
          <w:sz w:val="24"/>
        </w:rPr>
        <w:t>A</w:t>
      </w:r>
      <w:r>
        <w:rPr>
          <w:color w:val="000000"/>
          <w:sz w:val="24"/>
        </w:rPr>
        <w:t>股快速下跌。在熔断机制的影响下，</w:t>
      </w:r>
      <w:r>
        <w:rPr>
          <w:color w:val="000000"/>
          <w:sz w:val="24"/>
        </w:rPr>
        <w:t>A</w:t>
      </w:r>
      <w:r>
        <w:rPr>
          <w:color w:val="000000"/>
          <w:sz w:val="24"/>
        </w:rPr>
        <w:t>股市场流动性出现问题，造成连续恐慌性下跌。随着熔断机制取消，市场逐步下探寻底。</w:t>
      </w:r>
      <w:r>
        <w:rPr>
          <w:color w:val="000000"/>
          <w:sz w:val="24"/>
        </w:rPr>
        <w:t>2</w:t>
      </w:r>
      <w:r>
        <w:rPr>
          <w:color w:val="000000"/>
          <w:sz w:val="24"/>
        </w:rPr>
        <w:t>月份、</w:t>
      </w:r>
      <w:r>
        <w:rPr>
          <w:color w:val="000000"/>
          <w:sz w:val="24"/>
        </w:rPr>
        <w:t>3</w:t>
      </w:r>
      <w:r>
        <w:rPr>
          <w:color w:val="000000"/>
          <w:sz w:val="24"/>
        </w:rPr>
        <w:t>月份政策开始支持房地产发展，市场逐步企稳回升，之后由于市场对政府稳增长的经济预期以及</w:t>
      </w:r>
      <w:r>
        <w:rPr>
          <w:color w:val="000000"/>
          <w:sz w:val="24"/>
        </w:rPr>
        <w:t>CPI</w:t>
      </w:r>
      <w:r>
        <w:rPr>
          <w:color w:val="000000"/>
          <w:sz w:val="24"/>
        </w:rPr>
        <w:t>等经济数据的好转，在房地产市场的回暖和原油等大宗商品价格上升的带动下，周期行业股票逐步反弹，股票市场开始回暖。</w:t>
      </w:r>
    </w:p>
    <w:p w:rsidR="00B641B8" w:rsidRDefault="00B8194A">
      <w:pPr>
        <w:spacing w:before="29" w:line="288" w:lineRule="auto"/>
        <w:ind w:firstLineChars="200" w:firstLine="480"/>
        <w:rPr>
          <w:color w:val="000000"/>
          <w:sz w:val="24"/>
        </w:rPr>
      </w:pPr>
      <w:r>
        <w:rPr>
          <w:color w:val="000000"/>
          <w:sz w:val="24"/>
        </w:rPr>
        <w:t>债券市场方面，</w:t>
      </w: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压力。信用债市场违约日益频发，高评级信用利差收窄，低评级信用利差走阔。</w:t>
      </w:r>
    </w:p>
    <w:p w:rsidR="00B641B8" w:rsidRDefault="00B8194A">
      <w:pPr>
        <w:spacing w:before="29" w:line="288" w:lineRule="auto"/>
        <w:ind w:firstLineChars="200" w:firstLine="480"/>
        <w:rPr>
          <w:color w:val="000000"/>
          <w:sz w:val="24"/>
        </w:rPr>
      </w:pPr>
      <w:r>
        <w:rPr>
          <w:color w:val="000000"/>
          <w:sz w:val="24"/>
        </w:rPr>
        <w:t>我们相信经济内生的下行压力将长期存在，周期品的躁动并不意味着经济复苏企稳。</w:t>
      </w:r>
      <w:r>
        <w:rPr>
          <w:color w:val="000000"/>
          <w:sz w:val="24"/>
        </w:rPr>
        <w:t>“</w:t>
      </w:r>
      <w:r>
        <w:rPr>
          <w:color w:val="000000"/>
          <w:sz w:val="24"/>
        </w:rPr>
        <w:t>供给侧改革</w:t>
      </w:r>
      <w:r>
        <w:rPr>
          <w:color w:val="000000"/>
          <w:sz w:val="24"/>
        </w:rPr>
        <w:t>”</w:t>
      </w:r>
      <w:r>
        <w:rPr>
          <w:color w:val="000000"/>
          <w:sz w:val="24"/>
        </w:rPr>
        <w:t>难以一蹴而就，多方利益的协调需要更多智慧与努力。经济下行期信用风险频发实属意料之中，我们将一如既往地规避中低等级信用债、防范信用风险。一季度投资中，我们选择了较低的转债仓位和中性偏长的债券久期，品种上则继续以利率债和高等级信用债为主。</w:t>
      </w:r>
    </w:p>
    <w:p w:rsidR="00B641B8" w:rsidRDefault="00B8194A">
      <w:pPr>
        <w:spacing w:before="29" w:line="288" w:lineRule="auto"/>
        <w:ind w:firstLineChars="200" w:firstLine="480"/>
        <w:rPr>
          <w:color w:val="000000"/>
          <w:sz w:val="24"/>
        </w:rPr>
      </w:pPr>
      <w:r>
        <w:rPr>
          <w:color w:val="000000"/>
          <w:sz w:val="24"/>
        </w:rPr>
        <w:t>展望二季度，我们维持一季度以来的观点，对权益市场不乐观、对债券市场不悲观。由于经济潜在增长率下降，经济增速下行的趋势并未改变，但政府基建投资有所加快，同时房地产投资可能在</w:t>
      </w:r>
      <w:r>
        <w:rPr>
          <w:color w:val="000000"/>
          <w:sz w:val="24"/>
        </w:rPr>
        <w:t>“</w:t>
      </w:r>
      <w:r>
        <w:rPr>
          <w:color w:val="000000"/>
          <w:sz w:val="24"/>
        </w:rPr>
        <w:t>去库存</w:t>
      </w:r>
      <w:r>
        <w:rPr>
          <w:color w:val="000000"/>
          <w:sz w:val="24"/>
        </w:rPr>
        <w:t>”</w:t>
      </w:r>
      <w:r>
        <w:rPr>
          <w:color w:val="000000"/>
          <w:sz w:val="24"/>
        </w:rPr>
        <w:t>的带动下有一定企稳迹象。汇率风险近期有所改善，但预期长期压力仍将持续存在。</w:t>
      </w:r>
      <w:r>
        <w:rPr>
          <w:color w:val="000000"/>
          <w:sz w:val="24"/>
        </w:rPr>
        <w:t>“</w:t>
      </w:r>
      <w:r>
        <w:rPr>
          <w:color w:val="000000"/>
          <w:sz w:val="24"/>
        </w:rPr>
        <w:t>供给侧改革</w:t>
      </w:r>
      <w:r>
        <w:rPr>
          <w:color w:val="000000"/>
          <w:sz w:val="24"/>
        </w:rPr>
        <w:t>”</w:t>
      </w:r>
      <w:r>
        <w:rPr>
          <w:color w:val="000000"/>
          <w:sz w:val="24"/>
        </w:rPr>
        <w:t>任务艰巨，需要各级政府通力协调。产能过剩的局面仍在，有限的需求改善幅度决定了周期躁动难以延续。流动性约束仍是我们所需关注的重点。有所抬头的通胀、值得警惕的房价和不稳定的汇率决定了流动性的宽松难以一帆风顺。我们将密切关注经济回暖预期的证实或证伪。归根到底，</w:t>
      </w:r>
      <w:r>
        <w:rPr>
          <w:color w:val="000000"/>
          <w:sz w:val="24"/>
        </w:rPr>
        <w:t>“</w:t>
      </w:r>
      <w:r>
        <w:rPr>
          <w:color w:val="000000"/>
          <w:sz w:val="24"/>
        </w:rPr>
        <w:t>走老路</w:t>
      </w:r>
      <w:r>
        <w:rPr>
          <w:color w:val="000000"/>
          <w:sz w:val="24"/>
        </w:rPr>
        <w:t>”</w:t>
      </w:r>
      <w:r>
        <w:rPr>
          <w:color w:val="000000"/>
          <w:sz w:val="24"/>
        </w:rPr>
        <w:t>将令资本市场失望，深化改革才是振奋人心、重回牛市的唯一路径。</w:t>
      </w:r>
    </w:p>
    <w:p w:rsidR="00952A72" w:rsidRPr="007F52FA" w:rsidRDefault="00323F25" w:rsidP="007C14DF">
      <w:pPr>
        <w:spacing w:before="29" w:line="288" w:lineRule="auto"/>
        <w:ind w:firstLineChars="200" w:firstLine="480"/>
        <w:rPr>
          <w:color w:val="000000"/>
          <w:sz w:val="24"/>
        </w:rPr>
      </w:pPr>
      <w:r w:rsidRPr="007F52FA">
        <w:rPr>
          <w:color w:val="000000"/>
          <w:sz w:val="24"/>
        </w:rPr>
        <w:t>伴随着积极的财政政策，房地产投资的改善和政府在基建领域的托底，国内经济有望出现暂时性企稳，债市则面临来自经济基本面的调整压力。然而一季度长债持续调整后，目前收益率曲线形态已经有所修复，曲线形态已经反映了市场对经济企稳的预期。企稳复苏的预期需要进一步的数据验证，验证过程中则随时有不及预期的可能性，长债的交易性机会由此而来。房地产去库存带来的经济回暖可持续性有待观察，房价新泡沫透支房地产行业的潜力，需警惕经济再下台阶的风险，长期内经济基本面支撑债市向好的理由依然存在。从金融体系来看，金融深化下各类金融机构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业务进一步复杂化，其所蕴含的创新和监管套利正在积累金融风险，刚性兑付下市场的野蛮生长与管理层维持金融稳定的目标并不相容，二者博弈的过程实在难以预料，但后续监管政策的强化应在预期之内。</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1.0166</w:t>
      </w:r>
      <w:r w:rsidRPr="007F52FA">
        <w:rPr>
          <w:color w:val="000000"/>
          <w:sz w:val="24"/>
        </w:rPr>
        <w:t>元，本报告期份额净值增长率为</w:t>
      </w:r>
      <w:r w:rsidRPr="007F52FA">
        <w:rPr>
          <w:color w:val="000000"/>
          <w:sz w:val="24"/>
        </w:rPr>
        <w:t>0.82%</w:t>
      </w:r>
      <w:r w:rsidRPr="007F52FA">
        <w:rPr>
          <w:color w:val="000000"/>
          <w:sz w:val="24"/>
        </w:rPr>
        <w:t>，同期业绩比较基准增长率为</w:t>
      </w:r>
      <w:r w:rsidRPr="007F52FA">
        <w:rPr>
          <w:color w:val="000000"/>
          <w:sz w:val="24"/>
        </w:rPr>
        <w:t>-1.27%</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1.0129</w:t>
      </w:r>
      <w:r w:rsidRPr="007F52FA">
        <w:rPr>
          <w:color w:val="000000"/>
          <w:sz w:val="24"/>
        </w:rPr>
        <w:t>元，本报告期份额净值增长率为</w:t>
      </w:r>
      <w:r w:rsidRPr="007F52FA">
        <w:rPr>
          <w:color w:val="000000"/>
          <w:sz w:val="24"/>
        </w:rPr>
        <w:t>0.71%</w:t>
      </w:r>
      <w:r w:rsidRPr="007F52FA">
        <w:rPr>
          <w:color w:val="000000"/>
          <w:sz w:val="24"/>
        </w:rPr>
        <w:t>，同期业绩比较基准增长率为</w:t>
      </w:r>
      <w:r w:rsidRPr="007F52FA">
        <w:rPr>
          <w:color w:val="000000"/>
          <w:sz w:val="24"/>
        </w:rPr>
        <w:t>-1.27%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A002D9">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2,184,066,206.95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97.63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2,144,455,050.79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39,611,156.16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1.77</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16,540,026.59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36,591,165.08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1.64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2,237,197,398.62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B8194A" w:rsidRPr="007F52FA" w:rsidRDefault="00B8194A"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243,302,000.00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243,302,000.00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1,037,392,237.29</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150,367,000.00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10.51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666,985,000.00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46.60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46,408,813.50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2,144,455,050.79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149.82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641B8">
        <w:trPr>
          <w:jc w:val="center"/>
        </w:trPr>
        <w:tc>
          <w:tcPr>
            <w:tcW w:w="1075" w:type="dxa"/>
            <w:vAlign w:val="center"/>
          </w:tcPr>
          <w:p w:rsidR="00B641B8" w:rsidRDefault="00B8194A">
            <w:pPr>
              <w:jc w:val="center"/>
            </w:pPr>
            <w:r>
              <w:rPr>
                <w:color w:val="000000"/>
                <w:sz w:val="24"/>
              </w:rPr>
              <w:t>1</w:t>
            </w:r>
          </w:p>
        </w:tc>
        <w:tc>
          <w:tcPr>
            <w:tcW w:w="1533" w:type="dxa"/>
            <w:vAlign w:val="center"/>
          </w:tcPr>
          <w:p w:rsidR="00B641B8" w:rsidRDefault="00B8194A">
            <w:pPr>
              <w:jc w:val="center"/>
            </w:pPr>
            <w:r>
              <w:rPr>
                <w:color w:val="000000"/>
                <w:sz w:val="24"/>
              </w:rPr>
              <w:t>150218</w:t>
            </w:r>
          </w:p>
        </w:tc>
        <w:tc>
          <w:tcPr>
            <w:tcW w:w="1533" w:type="dxa"/>
            <w:vAlign w:val="center"/>
          </w:tcPr>
          <w:p w:rsidR="00B641B8" w:rsidRDefault="00B8194A">
            <w:pPr>
              <w:jc w:val="center"/>
            </w:pPr>
            <w:r>
              <w:rPr>
                <w:color w:val="000000"/>
                <w:sz w:val="24"/>
              </w:rPr>
              <w:t>15</w:t>
            </w:r>
            <w:r>
              <w:rPr>
                <w:color w:val="000000"/>
                <w:sz w:val="24"/>
              </w:rPr>
              <w:t>国开</w:t>
            </w:r>
            <w:r>
              <w:rPr>
                <w:color w:val="000000"/>
                <w:sz w:val="24"/>
              </w:rPr>
              <w:t>18</w:t>
            </w:r>
          </w:p>
        </w:tc>
        <w:tc>
          <w:tcPr>
            <w:tcW w:w="1394" w:type="dxa"/>
            <w:vAlign w:val="center"/>
          </w:tcPr>
          <w:p w:rsidR="00B641B8" w:rsidRDefault="00B8194A">
            <w:pPr>
              <w:jc w:val="right"/>
            </w:pPr>
            <w:r>
              <w:rPr>
                <w:color w:val="000000"/>
                <w:sz w:val="24"/>
              </w:rPr>
              <w:t>900,000</w:t>
            </w:r>
          </w:p>
        </w:tc>
        <w:tc>
          <w:tcPr>
            <w:tcW w:w="1944" w:type="dxa"/>
            <w:vAlign w:val="center"/>
          </w:tcPr>
          <w:p w:rsidR="00B641B8" w:rsidRDefault="00B8194A">
            <w:pPr>
              <w:jc w:val="right"/>
            </w:pPr>
            <w:r>
              <w:rPr>
                <w:color w:val="000000"/>
                <w:sz w:val="24"/>
              </w:rPr>
              <w:t>93,411,000.00</w:t>
            </w:r>
          </w:p>
        </w:tc>
        <w:tc>
          <w:tcPr>
            <w:tcW w:w="1389" w:type="dxa"/>
            <w:vAlign w:val="center"/>
          </w:tcPr>
          <w:p w:rsidR="00B641B8" w:rsidRDefault="00B8194A">
            <w:pPr>
              <w:jc w:val="right"/>
            </w:pPr>
            <w:r>
              <w:rPr>
                <w:color w:val="000000"/>
                <w:sz w:val="24"/>
              </w:rPr>
              <w:t>6.53</w:t>
            </w:r>
          </w:p>
        </w:tc>
      </w:tr>
      <w:tr w:rsidR="00B641B8">
        <w:trPr>
          <w:jc w:val="center"/>
        </w:trPr>
        <w:tc>
          <w:tcPr>
            <w:tcW w:w="1075" w:type="dxa"/>
            <w:vAlign w:val="center"/>
          </w:tcPr>
          <w:p w:rsidR="00B641B8" w:rsidRDefault="00B8194A">
            <w:pPr>
              <w:jc w:val="center"/>
            </w:pPr>
            <w:r>
              <w:rPr>
                <w:color w:val="000000"/>
                <w:sz w:val="24"/>
              </w:rPr>
              <w:t>2</w:t>
            </w:r>
          </w:p>
        </w:tc>
        <w:tc>
          <w:tcPr>
            <w:tcW w:w="1533" w:type="dxa"/>
            <w:vAlign w:val="center"/>
          </w:tcPr>
          <w:p w:rsidR="00B641B8" w:rsidRDefault="00B8194A">
            <w:pPr>
              <w:jc w:val="center"/>
            </w:pPr>
            <w:r>
              <w:rPr>
                <w:color w:val="000000"/>
                <w:sz w:val="24"/>
              </w:rPr>
              <w:t>136233</w:t>
            </w:r>
          </w:p>
        </w:tc>
        <w:tc>
          <w:tcPr>
            <w:tcW w:w="1533" w:type="dxa"/>
            <w:vAlign w:val="center"/>
          </w:tcPr>
          <w:p w:rsidR="00B641B8" w:rsidRDefault="00B8194A">
            <w:pPr>
              <w:jc w:val="center"/>
            </w:pPr>
            <w:r>
              <w:rPr>
                <w:color w:val="000000"/>
                <w:sz w:val="24"/>
              </w:rPr>
              <w:t>16</w:t>
            </w:r>
            <w:r>
              <w:rPr>
                <w:color w:val="000000"/>
                <w:sz w:val="24"/>
              </w:rPr>
              <w:t>保利</w:t>
            </w:r>
            <w:r>
              <w:rPr>
                <w:color w:val="000000"/>
                <w:sz w:val="24"/>
              </w:rPr>
              <w:t>03</w:t>
            </w:r>
          </w:p>
        </w:tc>
        <w:tc>
          <w:tcPr>
            <w:tcW w:w="1394" w:type="dxa"/>
            <w:vAlign w:val="center"/>
          </w:tcPr>
          <w:p w:rsidR="00B641B8" w:rsidRDefault="00B8194A">
            <w:pPr>
              <w:jc w:val="right"/>
            </w:pPr>
            <w:r>
              <w:rPr>
                <w:color w:val="000000"/>
                <w:sz w:val="24"/>
              </w:rPr>
              <w:t>800,000</w:t>
            </w:r>
          </w:p>
        </w:tc>
        <w:tc>
          <w:tcPr>
            <w:tcW w:w="1944" w:type="dxa"/>
            <w:vAlign w:val="center"/>
          </w:tcPr>
          <w:p w:rsidR="00B641B8" w:rsidRDefault="00B8194A">
            <w:pPr>
              <w:jc w:val="right"/>
            </w:pPr>
            <w:r>
              <w:rPr>
                <w:color w:val="000000"/>
                <w:sz w:val="24"/>
              </w:rPr>
              <w:t>80,000,000.00</w:t>
            </w:r>
          </w:p>
        </w:tc>
        <w:tc>
          <w:tcPr>
            <w:tcW w:w="1389" w:type="dxa"/>
            <w:vAlign w:val="center"/>
          </w:tcPr>
          <w:p w:rsidR="00B641B8" w:rsidRDefault="00B8194A">
            <w:pPr>
              <w:jc w:val="right"/>
            </w:pPr>
            <w:r>
              <w:rPr>
                <w:color w:val="000000"/>
                <w:sz w:val="24"/>
              </w:rPr>
              <w:t>5.59</w:t>
            </w:r>
          </w:p>
        </w:tc>
      </w:tr>
      <w:tr w:rsidR="00B641B8">
        <w:trPr>
          <w:jc w:val="center"/>
        </w:trPr>
        <w:tc>
          <w:tcPr>
            <w:tcW w:w="1075" w:type="dxa"/>
            <w:vAlign w:val="center"/>
          </w:tcPr>
          <w:p w:rsidR="00B641B8" w:rsidRDefault="00B8194A">
            <w:pPr>
              <w:jc w:val="center"/>
            </w:pPr>
            <w:r>
              <w:rPr>
                <w:color w:val="000000"/>
                <w:sz w:val="24"/>
              </w:rPr>
              <w:t>3</w:t>
            </w:r>
          </w:p>
        </w:tc>
        <w:tc>
          <w:tcPr>
            <w:tcW w:w="1533" w:type="dxa"/>
            <w:vAlign w:val="center"/>
          </w:tcPr>
          <w:p w:rsidR="00B641B8" w:rsidRDefault="00B8194A">
            <w:pPr>
              <w:jc w:val="center"/>
            </w:pPr>
            <w:r>
              <w:rPr>
                <w:color w:val="000000"/>
                <w:sz w:val="24"/>
              </w:rPr>
              <w:t>101552006</w:t>
            </w:r>
          </w:p>
        </w:tc>
        <w:tc>
          <w:tcPr>
            <w:tcW w:w="1533" w:type="dxa"/>
            <w:vAlign w:val="center"/>
          </w:tcPr>
          <w:p w:rsidR="00B641B8" w:rsidRDefault="00B8194A">
            <w:pPr>
              <w:jc w:val="center"/>
            </w:pPr>
            <w:r>
              <w:rPr>
                <w:color w:val="000000"/>
                <w:sz w:val="24"/>
              </w:rPr>
              <w:t>15</w:t>
            </w:r>
            <w:r>
              <w:rPr>
                <w:color w:val="000000"/>
                <w:sz w:val="24"/>
              </w:rPr>
              <w:t>三峡</w:t>
            </w:r>
            <w:r>
              <w:rPr>
                <w:color w:val="000000"/>
                <w:sz w:val="24"/>
              </w:rPr>
              <w:t>MTN001</w:t>
            </w:r>
          </w:p>
        </w:tc>
        <w:tc>
          <w:tcPr>
            <w:tcW w:w="1394" w:type="dxa"/>
            <w:vAlign w:val="center"/>
          </w:tcPr>
          <w:p w:rsidR="00B641B8" w:rsidRDefault="00B8194A">
            <w:pPr>
              <w:jc w:val="right"/>
            </w:pPr>
            <w:r>
              <w:rPr>
                <w:color w:val="000000"/>
                <w:sz w:val="24"/>
              </w:rPr>
              <w:t>700,000</w:t>
            </w:r>
          </w:p>
        </w:tc>
        <w:tc>
          <w:tcPr>
            <w:tcW w:w="1944" w:type="dxa"/>
            <w:vAlign w:val="center"/>
          </w:tcPr>
          <w:p w:rsidR="00B641B8" w:rsidRDefault="00B8194A">
            <w:pPr>
              <w:jc w:val="right"/>
            </w:pPr>
            <w:r>
              <w:rPr>
                <w:color w:val="000000"/>
                <w:sz w:val="24"/>
              </w:rPr>
              <w:t>76,342,000.00</w:t>
            </w:r>
          </w:p>
        </w:tc>
        <w:tc>
          <w:tcPr>
            <w:tcW w:w="1389" w:type="dxa"/>
            <w:vAlign w:val="center"/>
          </w:tcPr>
          <w:p w:rsidR="00B641B8" w:rsidRDefault="00B8194A">
            <w:pPr>
              <w:jc w:val="right"/>
            </w:pPr>
            <w:r>
              <w:rPr>
                <w:color w:val="000000"/>
                <w:sz w:val="24"/>
              </w:rPr>
              <w:t>5.33</w:t>
            </w:r>
          </w:p>
        </w:tc>
      </w:tr>
      <w:tr w:rsidR="00B641B8">
        <w:trPr>
          <w:jc w:val="center"/>
        </w:trPr>
        <w:tc>
          <w:tcPr>
            <w:tcW w:w="1075" w:type="dxa"/>
            <w:vAlign w:val="center"/>
          </w:tcPr>
          <w:p w:rsidR="00B641B8" w:rsidRDefault="00B8194A">
            <w:pPr>
              <w:jc w:val="center"/>
            </w:pPr>
            <w:r>
              <w:rPr>
                <w:color w:val="000000"/>
                <w:sz w:val="24"/>
              </w:rPr>
              <w:t>4</w:t>
            </w:r>
          </w:p>
        </w:tc>
        <w:tc>
          <w:tcPr>
            <w:tcW w:w="1533" w:type="dxa"/>
            <w:vAlign w:val="center"/>
          </w:tcPr>
          <w:p w:rsidR="00B641B8" w:rsidRDefault="00B8194A">
            <w:pPr>
              <w:jc w:val="center"/>
            </w:pPr>
            <w:r>
              <w:rPr>
                <w:color w:val="000000"/>
                <w:sz w:val="24"/>
              </w:rPr>
              <w:t>101561024</w:t>
            </w:r>
          </w:p>
        </w:tc>
        <w:tc>
          <w:tcPr>
            <w:tcW w:w="1533" w:type="dxa"/>
            <w:vAlign w:val="center"/>
          </w:tcPr>
          <w:p w:rsidR="00B641B8" w:rsidRDefault="00B8194A">
            <w:pPr>
              <w:jc w:val="center"/>
            </w:pPr>
            <w:r>
              <w:rPr>
                <w:color w:val="000000"/>
                <w:sz w:val="24"/>
              </w:rPr>
              <w:t>15</w:t>
            </w:r>
            <w:r>
              <w:rPr>
                <w:color w:val="000000"/>
                <w:sz w:val="24"/>
              </w:rPr>
              <w:t>中电投</w:t>
            </w:r>
            <w:r>
              <w:rPr>
                <w:color w:val="000000"/>
                <w:sz w:val="24"/>
              </w:rPr>
              <w:t>MTN004</w:t>
            </w:r>
          </w:p>
        </w:tc>
        <w:tc>
          <w:tcPr>
            <w:tcW w:w="1394" w:type="dxa"/>
            <w:vAlign w:val="center"/>
          </w:tcPr>
          <w:p w:rsidR="00B641B8" w:rsidRDefault="00B8194A">
            <w:pPr>
              <w:jc w:val="right"/>
            </w:pPr>
            <w:r>
              <w:rPr>
                <w:color w:val="000000"/>
                <w:sz w:val="24"/>
              </w:rPr>
              <w:t>700,000</w:t>
            </w:r>
          </w:p>
        </w:tc>
        <w:tc>
          <w:tcPr>
            <w:tcW w:w="1944" w:type="dxa"/>
            <w:vAlign w:val="center"/>
          </w:tcPr>
          <w:p w:rsidR="00B641B8" w:rsidRDefault="00B8194A">
            <w:pPr>
              <w:jc w:val="right"/>
            </w:pPr>
            <w:r>
              <w:rPr>
                <w:color w:val="000000"/>
                <w:sz w:val="24"/>
              </w:rPr>
              <w:t>73,570,000.00</w:t>
            </w:r>
          </w:p>
        </w:tc>
        <w:tc>
          <w:tcPr>
            <w:tcW w:w="1389" w:type="dxa"/>
            <w:vAlign w:val="center"/>
          </w:tcPr>
          <w:p w:rsidR="00B641B8" w:rsidRDefault="00B8194A">
            <w:pPr>
              <w:jc w:val="right"/>
            </w:pPr>
            <w:r>
              <w:rPr>
                <w:color w:val="000000"/>
                <w:sz w:val="24"/>
              </w:rPr>
              <w:t>5.14</w:t>
            </w:r>
          </w:p>
        </w:tc>
      </w:tr>
      <w:tr w:rsidR="00B641B8">
        <w:trPr>
          <w:jc w:val="center"/>
        </w:trPr>
        <w:tc>
          <w:tcPr>
            <w:tcW w:w="1075" w:type="dxa"/>
            <w:vAlign w:val="center"/>
          </w:tcPr>
          <w:p w:rsidR="00B641B8" w:rsidRDefault="00B8194A">
            <w:pPr>
              <w:jc w:val="center"/>
            </w:pPr>
            <w:r>
              <w:rPr>
                <w:color w:val="000000"/>
                <w:sz w:val="24"/>
              </w:rPr>
              <w:t>5</w:t>
            </w:r>
          </w:p>
        </w:tc>
        <w:tc>
          <w:tcPr>
            <w:tcW w:w="1533" w:type="dxa"/>
            <w:vAlign w:val="center"/>
          </w:tcPr>
          <w:p w:rsidR="00B641B8" w:rsidRDefault="00B8194A">
            <w:pPr>
              <w:jc w:val="center"/>
            </w:pPr>
            <w:r>
              <w:rPr>
                <w:color w:val="000000"/>
                <w:sz w:val="24"/>
              </w:rPr>
              <w:t>1082139</w:t>
            </w:r>
          </w:p>
        </w:tc>
        <w:tc>
          <w:tcPr>
            <w:tcW w:w="1533" w:type="dxa"/>
            <w:vAlign w:val="center"/>
          </w:tcPr>
          <w:p w:rsidR="00B641B8" w:rsidRDefault="00B8194A">
            <w:pPr>
              <w:jc w:val="center"/>
            </w:pPr>
            <w:r>
              <w:rPr>
                <w:color w:val="000000"/>
                <w:sz w:val="24"/>
              </w:rPr>
              <w:t>10</w:t>
            </w:r>
            <w:r>
              <w:rPr>
                <w:color w:val="000000"/>
                <w:sz w:val="24"/>
              </w:rPr>
              <w:t>中信集</w:t>
            </w:r>
            <w:r>
              <w:rPr>
                <w:color w:val="000000"/>
                <w:sz w:val="24"/>
              </w:rPr>
              <w:t>MTN2</w:t>
            </w:r>
          </w:p>
        </w:tc>
        <w:tc>
          <w:tcPr>
            <w:tcW w:w="1394" w:type="dxa"/>
            <w:vAlign w:val="center"/>
          </w:tcPr>
          <w:p w:rsidR="00B641B8" w:rsidRDefault="00B8194A">
            <w:pPr>
              <w:jc w:val="right"/>
            </w:pPr>
            <w:r>
              <w:rPr>
                <w:color w:val="000000"/>
                <w:sz w:val="24"/>
              </w:rPr>
              <w:t>700,000</w:t>
            </w:r>
          </w:p>
        </w:tc>
        <w:tc>
          <w:tcPr>
            <w:tcW w:w="1944" w:type="dxa"/>
            <w:vAlign w:val="center"/>
          </w:tcPr>
          <w:p w:rsidR="00B641B8" w:rsidRDefault="00B8194A">
            <w:pPr>
              <w:jc w:val="right"/>
            </w:pPr>
            <w:r>
              <w:rPr>
                <w:color w:val="000000"/>
                <w:sz w:val="24"/>
              </w:rPr>
              <w:t>73,556,000.00</w:t>
            </w:r>
          </w:p>
        </w:tc>
        <w:tc>
          <w:tcPr>
            <w:tcW w:w="1389" w:type="dxa"/>
            <w:vAlign w:val="center"/>
          </w:tcPr>
          <w:p w:rsidR="00B641B8" w:rsidRDefault="00B8194A">
            <w:pPr>
              <w:jc w:val="right"/>
            </w:pPr>
            <w:r>
              <w:rPr>
                <w:color w:val="000000"/>
                <w:sz w:val="24"/>
              </w:rPr>
              <w:t>5.14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40"/>
        <w:gridCol w:w="1468"/>
        <w:gridCol w:w="1442"/>
        <w:gridCol w:w="1471"/>
        <w:gridCol w:w="1579"/>
        <w:gridCol w:w="1468"/>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B641B8">
        <w:trPr>
          <w:jc w:val="center"/>
        </w:trPr>
        <w:tc>
          <w:tcPr>
            <w:tcW w:w="0" w:type="auto"/>
            <w:vAlign w:val="center"/>
          </w:tcPr>
          <w:p w:rsidR="00B641B8" w:rsidRDefault="00B8194A">
            <w:pPr>
              <w:jc w:val="center"/>
            </w:pPr>
            <w:r>
              <w:rPr>
                <w:color w:val="000000"/>
                <w:sz w:val="24"/>
              </w:rPr>
              <w:t>1</w:t>
            </w:r>
          </w:p>
        </w:tc>
        <w:tc>
          <w:tcPr>
            <w:tcW w:w="0" w:type="auto"/>
            <w:vAlign w:val="center"/>
          </w:tcPr>
          <w:p w:rsidR="00B641B8" w:rsidRDefault="00B8194A">
            <w:pPr>
              <w:jc w:val="center"/>
            </w:pPr>
            <w:r>
              <w:rPr>
                <w:color w:val="000000"/>
                <w:sz w:val="24"/>
              </w:rPr>
              <w:t>131008</w:t>
            </w:r>
          </w:p>
        </w:tc>
        <w:tc>
          <w:tcPr>
            <w:tcW w:w="0" w:type="auto"/>
            <w:vAlign w:val="center"/>
          </w:tcPr>
          <w:p w:rsidR="00B641B8" w:rsidRDefault="00B8194A">
            <w:pPr>
              <w:jc w:val="center"/>
            </w:pPr>
            <w:r>
              <w:rPr>
                <w:color w:val="000000"/>
                <w:sz w:val="24"/>
              </w:rPr>
              <w:t>摩山</w:t>
            </w:r>
            <w:r>
              <w:rPr>
                <w:color w:val="000000"/>
                <w:sz w:val="24"/>
              </w:rPr>
              <w:t>2A</w:t>
            </w:r>
          </w:p>
        </w:tc>
        <w:tc>
          <w:tcPr>
            <w:tcW w:w="0" w:type="auto"/>
            <w:vAlign w:val="center"/>
          </w:tcPr>
          <w:p w:rsidR="00B641B8" w:rsidRDefault="00B8194A">
            <w:pPr>
              <w:jc w:val="right"/>
            </w:pPr>
            <w:r>
              <w:rPr>
                <w:color w:val="000000"/>
                <w:sz w:val="24"/>
              </w:rPr>
              <w:t>230,000</w:t>
            </w:r>
          </w:p>
        </w:tc>
        <w:tc>
          <w:tcPr>
            <w:tcW w:w="0" w:type="auto"/>
            <w:vAlign w:val="center"/>
          </w:tcPr>
          <w:p w:rsidR="00B641B8" w:rsidRDefault="00B8194A">
            <w:pPr>
              <w:jc w:val="right"/>
            </w:pPr>
            <w:r>
              <w:rPr>
                <w:color w:val="000000"/>
                <w:sz w:val="24"/>
              </w:rPr>
              <w:t>23,111,156.16</w:t>
            </w:r>
          </w:p>
        </w:tc>
        <w:tc>
          <w:tcPr>
            <w:tcW w:w="0" w:type="auto"/>
            <w:vAlign w:val="center"/>
          </w:tcPr>
          <w:p w:rsidR="00B641B8" w:rsidRDefault="00B8194A">
            <w:pPr>
              <w:jc w:val="right"/>
            </w:pPr>
            <w:r>
              <w:rPr>
                <w:color w:val="000000"/>
                <w:sz w:val="24"/>
              </w:rPr>
              <w:t>1.61</w:t>
            </w:r>
          </w:p>
        </w:tc>
      </w:tr>
      <w:tr w:rsidR="00B641B8">
        <w:trPr>
          <w:jc w:val="center"/>
        </w:trPr>
        <w:tc>
          <w:tcPr>
            <w:tcW w:w="0" w:type="auto"/>
            <w:vAlign w:val="center"/>
          </w:tcPr>
          <w:p w:rsidR="00B641B8" w:rsidRDefault="00B8194A">
            <w:pPr>
              <w:jc w:val="center"/>
            </w:pPr>
            <w:r>
              <w:rPr>
                <w:color w:val="000000"/>
                <w:sz w:val="24"/>
              </w:rPr>
              <w:t>2</w:t>
            </w:r>
          </w:p>
        </w:tc>
        <w:tc>
          <w:tcPr>
            <w:tcW w:w="0" w:type="auto"/>
            <w:vAlign w:val="center"/>
          </w:tcPr>
          <w:p w:rsidR="00B641B8" w:rsidRDefault="00B8194A">
            <w:pPr>
              <w:jc w:val="center"/>
            </w:pPr>
            <w:r>
              <w:rPr>
                <w:color w:val="000000"/>
                <w:sz w:val="24"/>
              </w:rPr>
              <w:t>119237</w:t>
            </w:r>
          </w:p>
        </w:tc>
        <w:tc>
          <w:tcPr>
            <w:tcW w:w="0" w:type="auto"/>
            <w:vAlign w:val="center"/>
          </w:tcPr>
          <w:p w:rsidR="00B641B8" w:rsidRDefault="00B8194A">
            <w:pPr>
              <w:jc w:val="center"/>
            </w:pPr>
            <w:r>
              <w:rPr>
                <w:color w:val="000000"/>
                <w:sz w:val="24"/>
              </w:rPr>
              <w:t>南方</w:t>
            </w:r>
            <w:r>
              <w:rPr>
                <w:color w:val="000000"/>
                <w:sz w:val="24"/>
              </w:rPr>
              <w:t>A1</w:t>
            </w:r>
          </w:p>
        </w:tc>
        <w:tc>
          <w:tcPr>
            <w:tcW w:w="0" w:type="auto"/>
            <w:vAlign w:val="center"/>
          </w:tcPr>
          <w:p w:rsidR="00B641B8" w:rsidRDefault="00B8194A">
            <w:pPr>
              <w:jc w:val="right"/>
            </w:pPr>
            <w:r>
              <w:rPr>
                <w:color w:val="000000"/>
                <w:sz w:val="24"/>
              </w:rPr>
              <w:t>50,000</w:t>
            </w:r>
          </w:p>
        </w:tc>
        <w:tc>
          <w:tcPr>
            <w:tcW w:w="0" w:type="auto"/>
            <w:vAlign w:val="center"/>
          </w:tcPr>
          <w:p w:rsidR="00B641B8" w:rsidRDefault="00B8194A">
            <w:pPr>
              <w:jc w:val="right"/>
            </w:pPr>
            <w:r>
              <w:rPr>
                <w:color w:val="000000"/>
                <w:sz w:val="24"/>
              </w:rPr>
              <w:t>5,000,000.00</w:t>
            </w:r>
          </w:p>
        </w:tc>
        <w:tc>
          <w:tcPr>
            <w:tcW w:w="0" w:type="auto"/>
            <w:vAlign w:val="center"/>
          </w:tcPr>
          <w:p w:rsidR="00B641B8" w:rsidRDefault="00B8194A">
            <w:pPr>
              <w:jc w:val="right"/>
            </w:pPr>
            <w:r>
              <w:rPr>
                <w:color w:val="000000"/>
                <w:sz w:val="24"/>
              </w:rPr>
              <w:t>0.35</w:t>
            </w:r>
          </w:p>
        </w:tc>
      </w:tr>
      <w:tr w:rsidR="00B641B8">
        <w:trPr>
          <w:jc w:val="center"/>
        </w:trPr>
        <w:tc>
          <w:tcPr>
            <w:tcW w:w="0" w:type="auto"/>
            <w:vAlign w:val="center"/>
          </w:tcPr>
          <w:p w:rsidR="00B641B8" w:rsidRDefault="00B8194A">
            <w:pPr>
              <w:jc w:val="center"/>
            </w:pPr>
            <w:r>
              <w:rPr>
                <w:color w:val="000000"/>
                <w:sz w:val="24"/>
              </w:rPr>
              <w:t>3</w:t>
            </w:r>
          </w:p>
        </w:tc>
        <w:tc>
          <w:tcPr>
            <w:tcW w:w="0" w:type="auto"/>
            <w:vAlign w:val="center"/>
          </w:tcPr>
          <w:p w:rsidR="00B641B8" w:rsidRDefault="00B8194A">
            <w:pPr>
              <w:jc w:val="center"/>
            </w:pPr>
            <w:r>
              <w:rPr>
                <w:color w:val="000000"/>
                <w:sz w:val="24"/>
              </w:rPr>
              <w:t>123934</w:t>
            </w:r>
          </w:p>
        </w:tc>
        <w:tc>
          <w:tcPr>
            <w:tcW w:w="0" w:type="auto"/>
            <w:vAlign w:val="center"/>
          </w:tcPr>
          <w:p w:rsidR="00B641B8" w:rsidRDefault="00B8194A">
            <w:pPr>
              <w:jc w:val="center"/>
            </w:pPr>
            <w:r>
              <w:rPr>
                <w:color w:val="000000"/>
                <w:sz w:val="24"/>
              </w:rPr>
              <w:t>15</w:t>
            </w:r>
            <w:r>
              <w:rPr>
                <w:color w:val="000000"/>
                <w:sz w:val="24"/>
              </w:rPr>
              <w:t>濮热</w:t>
            </w:r>
            <w:r>
              <w:rPr>
                <w:color w:val="000000"/>
                <w:sz w:val="24"/>
              </w:rPr>
              <w:t>02</w:t>
            </w:r>
          </w:p>
        </w:tc>
        <w:tc>
          <w:tcPr>
            <w:tcW w:w="0" w:type="auto"/>
            <w:vAlign w:val="center"/>
          </w:tcPr>
          <w:p w:rsidR="00B641B8" w:rsidRDefault="00B8194A">
            <w:pPr>
              <w:jc w:val="right"/>
            </w:pPr>
            <w:r>
              <w:rPr>
                <w:color w:val="000000"/>
                <w:sz w:val="24"/>
              </w:rPr>
              <w:t>40,000</w:t>
            </w:r>
          </w:p>
        </w:tc>
        <w:tc>
          <w:tcPr>
            <w:tcW w:w="0" w:type="auto"/>
            <w:vAlign w:val="center"/>
          </w:tcPr>
          <w:p w:rsidR="00B641B8" w:rsidRDefault="00B8194A">
            <w:pPr>
              <w:jc w:val="right"/>
            </w:pPr>
            <w:r>
              <w:rPr>
                <w:color w:val="000000"/>
                <w:sz w:val="24"/>
              </w:rPr>
              <w:t>4,000,000.00</w:t>
            </w:r>
          </w:p>
        </w:tc>
        <w:tc>
          <w:tcPr>
            <w:tcW w:w="0" w:type="auto"/>
            <w:vAlign w:val="center"/>
          </w:tcPr>
          <w:p w:rsidR="00B641B8" w:rsidRDefault="00B8194A">
            <w:pPr>
              <w:jc w:val="right"/>
            </w:pPr>
            <w:r>
              <w:rPr>
                <w:color w:val="000000"/>
                <w:sz w:val="24"/>
              </w:rPr>
              <w:t>0.28</w:t>
            </w:r>
          </w:p>
        </w:tc>
      </w:tr>
      <w:tr w:rsidR="00B641B8">
        <w:trPr>
          <w:jc w:val="center"/>
        </w:trPr>
        <w:tc>
          <w:tcPr>
            <w:tcW w:w="0" w:type="auto"/>
            <w:vAlign w:val="center"/>
          </w:tcPr>
          <w:p w:rsidR="00B641B8" w:rsidRDefault="00B8194A">
            <w:pPr>
              <w:jc w:val="center"/>
            </w:pPr>
            <w:r>
              <w:rPr>
                <w:color w:val="000000"/>
                <w:sz w:val="24"/>
              </w:rPr>
              <w:t>4</w:t>
            </w:r>
          </w:p>
        </w:tc>
        <w:tc>
          <w:tcPr>
            <w:tcW w:w="0" w:type="auto"/>
            <w:vAlign w:val="center"/>
          </w:tcPr>
          <w:p w:rsidR="00B641B8" w:rsidRDefault="00B8194A">
            <w:pPr>
              <w:jc w:val="center"/>
            </w:pPr>
            <w:r>
              <w:rPr>
                <w:color w:val="000000"/>
                <w:sz w:val="24"/>
              </w:rPr>
              <w:t>123935</w:t>
            </w:r>
          </w:p>
        </w:tc>
        <w:tc>
          <w:tcPr>
            <w:tcW w:w="0" w:type="auto"/>
            <w:vAlign w:val="center"/>
          </w:tcPr>
          <w:p w:rsidR="00B641B8" w:rsidRDefault="00B8194A">
            <w:pPr>
              <w:jc w:val="center"/>
            </w:pPr>
            <w:r>
              <w:rPr>
                <w:color w:val="000000"/>
                <w:sz w:val="24"/>
              </w:rPr>
              <w:t>15</w:t>
            </w:r>
            <w:r>
              <w:rPr>
                <w:color w:val="000000"/>
                <w:sz w:val="24"/>
              </w:rPr>
              <w:t>濮热</w:t>
            </w:r>
            <w:r>
              <w:rPr>
                <w:color w:val="000000"/>
                <w:sz w:val="24"/>
              </w:rPr>
              <w:t>03</w:t>
            </w:r>
          </w:p>
        </w:tc>
        <w:tc>
          <w:tcPr>
            <w:tcW w:w="0" w:type="auto"/>
            <w:vAlign w:val="center"/>
          </w:tcPr>
          <w:p w:rsidR="00B641B8" w:rsidRDefault="00B8194A">
            <w:pPr>
              <w:jc w:val="right"/>
            </w:pPr>
            <w:r>
              <w:rPr>
                <w:color w:val="000000"/>
                <w:sz w:val="24"/>
              </w:rPr>
              <w:t>40,000</w:t>
            </w:r>
          </w:p>
        </w:tc>
        <w:tc>
          <w:tcPr>
            <w:tcW w:w="0" w:type="auto"/>
            <w:vAlign w:val="center"/>
          </w:tcPr>
          <w:p w:rsidR="00B641B8" w:rsidRDefault="00B8194A">
            <w:pPr>
              <w:jc w:val="right"/>
            </w:pPr>
            <w:r>
              <w:rPr>
                <w:color w:val="000000"/>
                <w:sz w:val="24"/>
              </w:rPr>
              <w:t>4,000,000.00</w:t>
            </w:r>
          </w:p>
        </w:tc>
        <w:tc>
          <w:tcPr>
            <w:tcW w:w="0" w:type="auto"/>
            <w:vAlign w:val="center"/>
          </w:tcPr>
          <w:p w:rsidR="00B641B8" w:rsidRDefault="00B8194A">
            <w:pPr>
              <w:jc w:val="right"/>
            </w:pPr>
            <w:r>
              <w:rPr>
                <w:color w:val="000000"/>
                <w:sz w:val="24"/>
              </w:rPr>
              <w:t>0.28</w:t>
            </w:r>
          </w:p>
        </w:tc>
      </w:tr>
      <w:tr w:rsidR="00B641B8">
        <w:trPr>
          <w:jc w:val="center"/>
        </w:trPr>
        <w:tc>
          <w:tcPr>
            <w:tcW w:w="0" w:type="auto"/>
            <w:vAlign w:val="center"/>
          </w:tcPr>
          <w:p w:rsidR="00B641B8" w:rsidRDefault="00B8194A">
            <w:pPr>
              <w:jc w:val="center"/>
            </w:pPr>
            <w:r>
              <w:rPr>
                <w:color w:val="000000"/>
                <w:sz w:val="24"/>
              </w:rPr>
              <w:t>5</w:t>
            </w:r>
          </w:p>
        </w:tc>
        <w:tc>
          <w:tcPr>
            <w:tcW w:w="0" w:type="auto"/>
            <w:vAlign w:val="center"/>
          </w:tcPr>
          <w:p w:rsidR="00B641B8" w:rsidRDefault="00B8194A">
            <w:pPr>
              <w:jc w:val="center"/>
            </w:pPr>
            <w:r>
              <w:rPr>
                <w:color w:val="000000"/>
                <w:sz w:val="24"/>
              </w:rPr>
              <w:t>123933</w:t>
            </w:r>
          </w:p>
        </w:tc>
        <w:tc>
          <w:tcPr>
            <w:tcW w:w="0" w:type="auto"/>
            <w:vAlign w:val="center"/>
          </w:tcPr>
          <w:p w:rsidR="00B641B8" w:rsidRDefault="00B8194A">
            <w:pPr>
              <w:jc w:val="center"/>
            </w:pPr>
            <w:r>
              <w:rPr>
                <w:color w:val="000000"/>
                <w:sz w:val="24"/>
              </w:rPr>
              <w:t>15</w:t>
            </w:r>
            <w:r>
              <w:rPr>
                <w:color w:val="000000"/>
                <w:sz w:val="24"/>
              </w:rPr>
              <w:t>濮热</w:t>
            </w:r>
            <w:r>
              <w:rPr>
                <w:color w:val="000000"/>
                <w:sz w:val="24"/>
              </w:rPr>
              <w:t>01</w:t>
            </w:r>
          </w:p>
        </w:tc>
        <w:tc>
          <w:tcPr>
            <w:tcW w:w="0" w:type="auto"/>
            <w:vAlign w:val="center"/>
          </w:tcPr>
          <w:p w:rsidR="00B641B8" w:rsidRDefault="00B8194A">
            <w:pPr>
              <w:jc w:val="right"/>
            </w:pPr>
            <w:r>
              <w:rPr>
                <w:color w:val="000000"/>
                <w:sz w:val="24"/>
              </w:rPr>
              <w:t>35,000</w:t>
            </w:r>
          </w:p>
        </w:tc>
        <w:tc>
          <w:tcPr>
            <w:tcW w:w="0" w:type="auto"/>
            <w:vAlign w:val="center"/>
          </w:tcPr>
          <w:p w:rsidR="00B641B8" w:rsidRDefault="00B8194A">
            <w:pPr>
              <w:jc w:val="right"/>
            </w:pPr>
            <w:r>
              <w:rPr>
                <w:color w:val="000000"/>
                <w:sz w:val="24"/>
              </w:rPr>
              <w:t>3,500,000.00</w:t>
            </w:r>
          </w:p>
        </w:tc>
        <w:tc>
          <w:tcPr>
            <w:tcW w:w="0" w:type="auto"/>
            <w:vAlign w:val="center"/>
          </w:tcPr>
          <w:p w:rsidR="00B641B8" w:rsidRDefault="00B8194A">
            <w:pPr>
              <w:jc w:val="right"/>
            </w:pPr>
            <w:r>
              <w:rPr>
                <w:color w:val="000000"/>
                <w:sz w:val="24"/>
              </w:rPr>
              <w:t>0.24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22,678.87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35,662,874.02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905,612.19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36,591,165.08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A002D9">
        <w:trPr>
          <w:jc w:val="center"/>
        </w:trPr>
        <w:tc>
          <w:tcPr>
            <w:tcW w:w="98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67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73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9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7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641B8">
        <w:trPr>
          <w:jc w:val="center"/>
        </w:trPr>
        <w:tc>
          <w:tcPr>
            <w:tcW w:w="0" w:type="auto"/>
            <w:vAlign w:val="center"/>
          </w:tcPr>
          <w:p w:rsidR="00B641B8" w:rsidRDefault="00B8194A">
            <w:pPr>
              <w:jc w:val="center"/>
            </w:pPr>
            <w:r>
              <w:rPr>
                <w:rFonts w:eastAsiaTheme="minorEastAsia"/>
                <w:color w:val="000000"/>
                <w:sz w:val="24"/>
              </w:rPr>
              <w:t>1</w:t>
            </w:r>
          </w:p>
        </w:tc>
        <w:tc>
          <w:tcPr>
            <w:tcW w:w="0" w:type="auto"/>
            <w:vAlign w:val="center"/>
          </w:tcPr>
          <w:p w:rsidR="00B641B8" w:rsidRDefault="00B8194A">
            <w:pPr>
              <w:jc w:val="center"/>
            </w:pPr>
            <w:r>
              <w:rPr>
                <w:rFonts w:eastAsiaTheme="minorEastAsia"/>
                <w:color w:val="000000"/>
                <w:sz w:val="24"/>
              </w:rPr>
              <w:t>128009</w:t>
            </w:r>
          </w:p>
        </w:tc>
        <w:tc>
          <w:tcPr>
            <w:tcW w:w="0" w:type="auto"/>
            <w:vAlign w:val="center"/>
          </w:tcPr>
          <w:p w:rsidR="00B641B8" w:rsidRDefault="00B8194A">
            <w:pPr>
              <w:jc w:val="center"/>
            </w:pPr>
            <w:r>
              <w:rPr>
                <w:rFonts w:eastAsiaTheme="minorEastAsia"/>
                <w:color w:val="000000"/>
                <w:sz w:val="24"/>
              </w:rPr>
              <w:t>歌尔转债</w:t>
            </w:r>
          </w:p>
        </w:tc>
        <w:tc>
          <w:tcPr>
            <w:tcW w:w="0" w:type="auto"/>
            <w:vAlign w:val="center"/>
          </w:tcPr>
          <w:p w:rsidR="00B641B8" w:rsidRDefault="00B8194A">
            <w:pPr>
              <w:jc w:val="right"/>
            </w:pPr>
            <w:r>
              <w:rPr>
                <w:rFonts w:eastAsiaTheme="minorEastAsia"/>
                <w:color w:val="000000"/>
                <w:sz w:val="24"/>
              </w:rPr>
              <w:t>12,733,459.20</w:t>
            </w:r>
          </w:p>
        </w:tc>
        <w:tc>
          <w:tcPr>
            <w:tcW w:w="0" w:type="auto"/>
            <w:vAlign w:val="center"/>
          </w:tcPr>
          <w:p w:rsidR="00B641B8" w:rsidRDefault="00B8194A">
            <w:pPr>
              <w:jc w:val="right"/>
            </w:pPr>
            <w:r>
              <w:rPr>
                <w:rFonts w:eastAsiaTheme="minorEastAsia"/>
                <w:color w:val="000000"/>
                <w:sz w:val="24"/>
              </w:rPr>
              <w:t>0.89</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B34504" w:rsidRDefault="00B34504" w:rsidP="00B34504">
      <w:pPr>
        <w:autoSpaceDE w:val="0"/>
        <w:autoSpaceDN w:val="0"/>
        <w:spacing w:before="29" w:line="288" w:lineRule="auto"/>
        <w:rPr>
          <w:kern w:val="0"/>
          <w:sz w:val="24"/>
        </w:rPr>
      </w:pPr>
      <w:r>
        <w:rPr>
          <w:rFonts w:ascii="宋体" w:hAnsi="宋体" w:hint="eastAsia"/>
          <w:sz w:val="24"/>
        </w:rPr>
        <w:t>本基金本报告期末未持有股票。</w:t>
      </w:r>
    </w:p>
    <w:p w:rsidR="001D5CD0" w:rsidRPr="00B34504"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A002D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950,297,029.20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340,526,749.83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254,601,556.56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298,077,912.88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158,541,027.13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275,716,888.30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1,046,357,558.63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362,887,774.41</w:t>
            </w:r>
          </w:p>
        </w:tc>
      </w:tr>
    </w:tbl>
    <w:p w:rsidR="00B641B8" w:rsidRDefault="00B8194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A002D9">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A002D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641B8" w:rsidRDefault="00B8194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2" w:rsidRDefault="00696F52">
      <w:r>
        <w:separator/>
      </w:r>
    </w:p>
  </w:endnote>
  <w:endnote w:type="continuationSeparator" w:id="0">
    <w:p w:rsidR="00696F52" w:rsidRDefault="006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DA2DDE">
      <w:rPr>
        <w:kern w:val="0"/>
        <w:szCs w:val="21"/>
      </w:rPr>
      <w:fldChar w:fldCharType="begin"/>
    </w:r>
    <w:r>
      <w:rPr>
        <w:kern w:val="0"/>
        <w:szCs w:val="21"/>
      </w:rPr>
      <w:instrText xml:space="preserve"> PAGE </w:instrText>
    </w:r>
    <w:r w:rsidR="00DA2DDE">
      <w:rPr>
        <w:kern w:val="0"/>
        <w:szCs w:val="21"/>
      </w:rPr>
      <w:fldChar w:fldCharType="separate"/>
    </w:r>
    <w:r w:rsidR="00054943">
      <w:rPr>
        <w:noProof/>
        <w:kern w:val="0"/>
        <w:szCs w:val="21"/>
      </w:rPr>
      <w:t>11</w:t>
    </w:r>
    <w:r w:rsidR="00DA2DDE">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A2DDE">
      <w:rPr>
        <w:kern w:val="0"/>
        <w:szCs w:val="21"/>
      </w:rPr>
      <w:fldChar w:fldCharType="begin"/>
    </w:r>
    <w:r>
      <w:rPr>
        <w:kern w:val="0"/>
        <w:szCs w:val="21"/>
      </w:rPr>
      <w:instrText xml:space="preserve"> NUMPAGES </w:instrText>
    </w:r>
    <w:r w:rsidR="00DA2DDE">
      <w:rPr>
        <w:kern w:val="0"/>
        <w:szCs w:val="21"/>
      </w:rPr>
      <w:fldChar w:fldCharType="separate"/>
    </w:r>
    <w:r w:rsidR="00054943">
      <w:rPr>
        <w:noProof/>
        <w:kern w:val="0"/>
        <w:szCs w:val="21"/>
      </w:rPr>
      <w:t>13</w:t>
    </w:r>
    <w:r w:rsidR="00DA2DDE">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DA2DDE">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2" w:rsidRDefault="00696F52">
      <w:r>
        <w:separator/>
      </w:r>
    </w:p>
  </w:footnote>
  <w:footnote w:type="continuationSeparator" w:id="0">
    <w:p w:rsidR="00696F52" w:rsidRDefault="006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05494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943"/>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3FD"/>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2D9"/>
    <w:rsid w:val="00A003BE"/>
    <w:rsid w:val="00A02F51"/>
    <w:rsid w:val="00A0385C"/>
    <w:rsid w:val="00A0520F"/>
    <w:rsid w:val="00A05ACE"/>
    <w:rsid w:val="00A06788"/>
    <w:rsid w:val="00A0678E"/>
    <w:rsid w:val="00A101E3"/>
    <w:rsid w:val="00A104A4"/>
    <w:rsid w:val="00A10D63"/>
    <w:rsid w:val="00A11526"/>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4504"/>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41B8"/>
    <w:rsid w:val="00B65D6F"/>
    <w:rsid w:val="00B673F3"/>
    <w:rsid w:val="00B67A25"/>
    <w:rsid w:val="00B7354A"/>
    <w:rsid w:val="00B74036"/>
    <w:rsid w:val="00B7435B"/>
    <w:rsid w:val="00B74446"/>
    <w:rsid w:val="00B74B59"/>
    <w:rsid w:val="00B77142"/>
    <w:rsid w:val="00B8024E"/>
    <w:rsid w:val="00B8031E"/>
    <w:rsid w:val="00B80C3A"/>
    <w:rsid w:val="00B8194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DE"/>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3EF3453-15AC-4450-B408-47290B71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1947686727">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97BD-CB21-412A-9A58-DF436C6C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198</TotalTime>
  <Pages>13</Pages>
  <Words>1154</Words>
  <Characters>6582</Characters>
  <Application>Microsoft Office Word</Application>
  <DocSecurity>0</DocSecurity>
  <Lines>54</Lines>
  <Paragraphs>15</Paragraphs>
  <ScaleCrop>false</ScaleCrop>
  <Company>TRT. Ltd. Co.</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2016-04-19T02:59:00Z</dcterms:modified>
</cp:coreProperties>
</file>