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E5FCC" w:rsidRDefault="00B8590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3,263,168,708.98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85904" w:rsidRPr="00414345" w:rsidTr="00B8590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85904" w:rsidRPr="00414345" w:rsidTr="00B859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-344,648,422.83</w:t>
            </w:r>
          </w:p>
        </w:tc>
      </w:tr>
      <w:tr w:rsidR="00B85904" w:rsidRPr="00414345" w:rsidTr="00B859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-527,788,902.14</w:t>
            </w:r>
          </w:p>
        </w:tc>
      </w:tr>
      <w:tr w:rsidR="00B85904" w:rsidRPr="00414345" w:rsidTr="00B859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-0.1617</w:t>
            </w:r>
          </w:p>
        </w:tc>
      </w:tr>
      <w:tr w:rsidR="00B85904" w:rsidRPr="00414345" w:rsidTr="00B859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2,616,828,065.58</w:t>
            </w:r>
          </w:p>
        </w:tc>
      </w:tr>
      <w:tr w:rsidR="00B85904" w:rsidRPr="00414345" w:rsidTr="00B8590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0.8019</w:t>
            </w:r>
          </w:p>
        </w:tc>
      </w:tr>
    </w:tbl>
    <w:p w:rsidR="005E5FCC" w:rsidRDefault="00B8590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DA0F48">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E5FCC">
        <w:trPr>
          <w:jc w:val="center"/>
        </w:trPr>
        <w:tc>
          <w:tcPr>
            <w:tcW w:w="1701" w:type="dxa"/>
            <w:vAlign w:val="center"/>
          </w:tcPr>
          <w:p w:rsidR="005E5FCC" w:rsidRDefault="00B85904">
            <w:pPr>
              <w:jc w:val="left"/>
            </w:pPr>
            <w:r>
              <w:rPr>
                <w:color w:val="000000"/>
                <w:sz w:val="24"/>
                <w:szCs w:val="24"/>
              </w:rPr>
              <w:t>过去三个月</w:t>
            </w:r>
          </w:p>
        </w:tc>
        <w:tc>
          <w:tcPr>
            <w:tcW w:w="1045" w:type="dxa"/>
            <w:vAlign w:val="center"/>
          </w:tcPr>
          <w:p w:rsidR="005E5FCC" w:rsidRDefault="00B85904">
            <w:pPr>
              <w:jc w:val="center"/>
            </w:pPr>
            <w:r>
              <w:rPr>
                <w:color w:val="000000"/>
                <w:sz w:val="24"/>
                <w:szCs w:val="24"/>
              </w:rPr>
              <w:t>-16.85%</w:t>
            </w:r>
          </w:p>
        </w:tc>
        <w:tc>
          <w:tcPr>
            <w:tcW w:w="1344" w:type="dxa"/>
            <w:vAlign w:val="center"/>
          </w:tcPr>
          <w:p w:rsidR="005E5FCC" w:rsidRDefault="00B85904">
            <w:pPr>
              <w:jc w:val="center"/>
            </w:pPr>
            <w:r>
              <w:rPr>
                <w:color w:val="000000"/>
                <w:sz w:val="24"/>
                <w:szCs w:val="24"/>
              </w:rPr>
              <w:t>2.94%</w:t>
            </w:r>
          </w:p>
        </w:tc>
        <w:tc>
          <w:tcPr>
            <w:tcW w:w="1194" w:type="dxa"/>
            <w:vAlign w:val="center"/>
          </w:tcPr>
          <w:p w:rsidR="005E5FCC" w:rsidRDefault="00B85904">
            <w:pPr>
              <w:jc w:val="center"/>
            </w:pPr>
            <w:r>
              <w:rPr>
                <w:color w:val="000000"/>
                <w:sz w:val="24"/>
                <w:szCs w:val="24"/>
              </w:rPr>
              <w:t>-8.04%</w:t>
            </w:r>
          </w:p>
        </w:tc>
        <w:tc>
          <w:tcPr>
            <w:tcW w:w="1492" w:type="dxa"/>
            <w:vAlign w:val="center"/>
          </w:tcPr>
          <w:p w:rsidR="005E5FCC" w:rsidRDefault="00B85904">
            <w:pPr>
              <w:jc w:val="center"/>
            </w:pPr>
            <w:r>
              <w:rPr>
                <w:color w:val="000000"/>
                <w:sz w:val="24"/>
                <w:szCs w:val="24"/>
              </w:rPr>
              <w:t>1.62%</w:t>
            </w:r>
          </w:p>
        </w:tc>
        <w:tc>
          <w:tcPr>
            <w:tcW w:w="1194" w:type="dxa"/>
            <w:vAlign w:val="center"/>
          </w:tcPr>
          <w:p w:rsidR="005E5FCC" w:rsidRDefault="00B85904">
            <w:pPr>
              <w:jc w:val="center"/>
            </w:pPr>
            <w:r>
              <w:rPr>
                <w:color w:val="000000"/>
                <w:sz w:val="24"/>
                <w:szCs w:val="24"/>
              </w:rPr>
              <w:t>-8.81%</w:t>
            </w:r>
          </w:p>
        </w:tc>
        <w:tc>
          <w:tcPr>
            <w:tcW w:w="898" w:type="dxa"/>
            <w:vAlign w:val="center"/>
          </w:tcPr>
          <w:p w:rsidR="005E5FCC" w:rsidRDefault="00B85904">
            <w:pPr>
              <w:jc w:val="center"/>
            </w:pPr>
            <w:r>
              <w:rPr>
                <w:color w:val="000000"/>
                <w:sz w:val="24"/>
                <w:szCs w:val="24"/>
              </w:rPr>
              <w:t>1.32%</w:t>
            </w:r>
          </w:p>
        </w:tc>
      </w:tr>
    </w:tbl>
    <w:p w:rsidR="00DA0F48" w:rsidRDefault="00DA0F48" w:rsidP="00DA0F48">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中证</w:t>
      </w:r>
      <w:r>
        <w:rPr>
          <w:color w:val="000000"/>
          <w:sz w:val="24"/>
          <w:szCs w:val="24"/>
        </w:rPr>
        <w:t>100</w:t>
      </w:r>
      <w:r>
        <w:rPr>
          <w:rFonts w:hint="eastAsia"/>
          <w:color w:val="000000"/>
          <w:sz w:val="24"/>
          <w:szCs w:val="24"/>
        </w:rPr>
        <w:t>指数</w:t>
      </w:r>
      <w:r>
        <w:rPr>
          <w:color w:val="000000"/>
          <w:sz w:val="24"/>
          <w:szCs w:val="24"/>
        </w:rPr>
        <w:t>+25%×</w:t>
      </w:r>
      <w:r>
        <w:rPr>
          <w:rFonts w:hint="eastAsia"/>
          <w:color w:val="000000"/>
          <w:sz w:val="24"/>
          <w:szCs w:val="24"/>
        </w:rPr>
        <w:t>中信全债指数</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中证</w:t>
      </w:r>
      <w:r>
        <w:rPr>
          <w:color w:val="000000"/>
          <w:sz w:val="24"/>
          <w:szCs w:val="24"/>
        </w:rPr>
        <w:t>100</w:t>
      </w:r>
      <w:r>
        <w:rPr>
          <w:rFonts w:hint="eastAsia"/>
          <w:color w:val="000000"/>
          <w:sz w:val="24"/>
          <w:szCs w:val="24"/>
        </w:rPr>
        <w:t>指数</w:t>
      </w:r>
      <w:r>
        <w:rPr>
          <w:color w:val="000000"/>
          <w:sz w:val="24"/>
          <w:szCs w:val="24"/>
        </w:rPr>
        <w:t>+25%×</w:t>
      </w:r>
      <w:r>
        <w:rPr>
          <w:rFonts w:hint="eastAsia"/>
          <w:color w:val="000000"/>
          <w:sz w:val="24"/>
          <w:szCs w:val="24"/>
        </w:rPr>
        <w:t>中证综合债券指数</w:t>
      </w:r>
      <w:r>
        <w:rPr>
          <w:color w:val="000000"/>
          <w:sz w:val="24"/>
          <w:szCs w:val="24"/>
        </w:rPr>
        <w:t>”</w:t>
      </w:r>
      <w:r>
        <w:rPr>
          <w:rFonts w:hint="eastAsia"/>
          <w:color w:val="000000"/>
          <w:sz w:val="24"/>
          <w:szCs w:val="24"/>
        </w:rPr>
        <w:t>，</w:t>
      </w:r>
      <w:r>
        <w:rPr>
          <w:color w:val="000000"/>
          <w:sz w:val="24"/>
          <w:szCs w:val="24"/>
        </w:rPr>
        <w:t>3.2.2</w:t>
      </w:r>
      <w:r>
        <w:rPr>
          <w:rFonts w:hint="eastAsia"/>
          <w:color w:val="000000"/>
          <w:sz w:val="24"/>
          <w:szCs w:val="24"/>
        </w:rPr>
        <w:t>同。详情见本基金管理人于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A858E0" w:rsidRDefault="00A858E0" w:rsidP="00DA0F48">
      <w:pPr>
        <w:autoSpaceDE w:val="0"/>
        <w:autoSpaceDN w:val="0"/>
        <w:adjustRightInd w:val="0"/>
        <w:spacing w:before="29" w:line="288" w:lineRule="auto"/>
        <w:jc w:val="left"/>
        <w:rPr>
          <w:rFonts w:hint="eastAsia"/>
          <w:color w:val="00000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E5FCC">
        <w:trPr>
          <w:jc w:val="center"/>
        </w:trPr>
        <w:tc>
          <w:tcPr>
            <w:tcW w:w="846" w:type="dxa"/>
            <w:vAlign w:val="center"/>
          </w:tcPr>
          <w:p w:rsidR="005E5FCC" w:rsidRDefault="00B85904">
            <w:pPr>
              <w:jc w:val="center"/>
            </w:pPr>
            <w:r>
              <w:rPr>
                <w:color w:val="000000"/>
                <w:sz w:val="24"/>
                <w:szCs w:val="24"/>
              </w:rPr>
              <w:t>陈孜铎</w:t>
            </w:r>
          </w:p>
        </w:tc>
        <w:tc>
          <w:tcPr>
            <w:tcW w:w="845" w:type="dxa"/>
            <w:vAlign w:val="center"/>
          </w:tcPr>
          <w:p w:rsidR="005E5FCC" w:rsidRDefault="00B85904">
            <w:pPr>
              <w:jc w:val="center"/>
            </w:pPr>
            <w:r>
              <w:rPr>
                <w:color w:val="000000"/>
                <w:sz w:val="24"/>
                <w:szCs w:val="24"/>
              </w:rPr>
              <w:t>交银蓝筹混合的基金经理，公司研究部助理总经理</w:t>
            </w:r>
          </w:p>
        </w:tc>
        <w:tc>
          <w:tcPr>
            <w:tcW w:w="1549" w:type="dxa"/>
            <w:vAlign w:val="center"/>
          </w:tcPr>
          <w:p w:rsidR="005E5FCC" w:rsidRDefault="00B85904">
            <w:pPr>
              <w:jc w:val="center"/>
            </w:pPr>
            <w:r>
              <w:rPr>
                <w:color w:val="000000"/>
                <w:sz w:val="24"/>
                <w:szCs w:val="24"/>
              </w:rPr>
              <w:t>2014-10-22</w:t>
            </w:r>
          </w:p>
        </w:tc>
        <w:tc>
          <w:tcPr>
            <w:tcW w:w="1548" w:type="dxa"/>
            <w:vAlign w:val="center"/>
          </w:tcPr>
          <w:p w:rsidR="005E5FCC" w:rsidRDefault="00B85904">
            <w:pPr>
              <w:jc w:val="center"/>
            </w:pPr>
            <w:r>
              <w:rPr>
                <w:color w:val="000000"/>
                <w:sz w:val="24"/>
                <w:szCs w:val="24"/>
              </w:rPr>
              <w:t>-</w:t>
            </w:r>
          </w:p>
        </w:tc>
        <w:tc>
          <w:tcPr>
            <w:tcW w:w="1407" w:type="dxa"/>
            <w:vAlign w:val="center"/>
          </w:tcPr>
          <w:p w:rsidR="005E5FCC" w:rsidRDefault="00B85904">
            <w:pPr>
              <w:jc w:val="center"/>
            </w:pPr>
            <w:r>
              <w:rPr>
                <w:color w:val="000000"/>
                <w:sz w:val="24"/>
                <w:szCs w:val="24"/>
              </w:rPr>
              <w:t>8</w:t>
            </w:r>
            <w:r>
              <w:rPr>
                <w:color w:val="000000"/>
                <w:sz w:val="24"/>
                <w:szCs w:val="24"/>
              </w:rPr>
              <w:t>年</w:t>
            </w:r>
          </w:p>
        </w:tc>
        <w:tc>
          <w:tcPr>
            <w:tcW w:w="2673" w:type="dxa"/>
            <w:vAlign w:val="center"/>
          </w:tcPr>
          <w:p w:rsidR="005E5FCC" w:rsidRDefault="00B85904">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E5FCC" w:rsidRDefault="00B8590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E5FCC" w:rsidRDefault="00B8590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E5FCC" w:rsidRDefault="00B8590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774A8C" w:rsidRPr="00774A8C" w:rsidRDefault="00774A8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E5FCC" w:rsidRDefault="00B85904">
      <w:pPr>
        <w:spacing w:before="29" w:line="288" w:lineRule="auto"/>
        <w:ind w:firstLineChars="200" w:firstLine="480"/>
        <w:rPr>
          <w:color w:val="000000"/>
          <w:sz w:val="24"/>
          <w:szCs w:val="24"/>
        </w:rPr>
      </w:pPr>
      <w:r>
        <w:rPr>
          <w:color w:val="000000"/>
          <w:sz w:val="24"/>
          <w:szCs w:val="24"/>
        </w:rPr>
        <w:t>2016</w:t>
      </w:r>
      <w:r>
        <w:rPr>
          <w:color w:val="000000"/>
          <w:sz w:val="24"/>
          <w:szCs w:val="24"/>
        </w:rPr>
        <w:t>年一季度整个</w:t>
      </w:r>
      <w:r>
        <w:rPr>
          <w:color w:val="000000"/>
          <w:sz w:val="24"/>
          <w:szCs w:val="24"/>
        </w:rPr>
        <w:t>A</w:t>
      </w:r>
      <w:r>
        <w:rPr>
          <w:color w:val="000000"/>
          <w:sz w:val="24"/>
          <w:szCs w:val="24"/>
        </w:rPr>
        <w:t>股市场呈现大幅向下后盘整震荡的格局，整个</w:t>
      </w:r>
      <w:r>
        <w:rPr>
          <w:color w:val="000000"/>
          <w:sz w:val="24"/>
          <w:szCs w:val="24"/>
        </w:rPr>
        <w:t>1</w:t>
      </w:r>
      <w:r>
        <w:rPr>
          <w:color w:val="000000"/>
          <w:sz w:val="24"/>
          <w:szCs w:val="24"/>
        </w:rPr>
        <w:t>月份市场在熔断机制对交易结构的放大影响以及人民币贬值的风险担忧中大幅快速下跌，此后</w:t>
      </w:r>
      <w:r>
        <w:rPr>
          <w:color w:val="000000"/>
          <w:sz w:val="24"/>
          <w:szCs w:val="24"/>
        </w:rPr>
        <w:t>2</w:t>
      </w:r>
      <w:r>
        <w:rPr>
          <w:color w:val="000000"/>
          <w:sz w:val="24"/>
          <w:szCs w:val="24"/>
        </w:rPr>
        <w:t>月份、</w:t>
      </w:r>
      <w:r>
        <w:rPr>
          <w:color w:val="000000"/>
          <w:sz w:val="24"/>
          <w:szCs w:val="24"/>
        </w:rPr>
        <w:t>3</w:t>
      </w:r>
      <w:r>
        <w:rPr>
          <w:color w:val="000000"/>
          <w:sz w:val="24"/>
          <w:szCs w:val="24"/>
        </w:rPr>
        <w:t>月份基本呈现反复震荡拉锯格局。从市场表现上看，稳增长政策的预期使前期基本面相对压力较大的部分周期行业股价有所修复，但在一定幅度的反弹后对于后续长期增长模式的担忧制约了行业的上涨空间。与此同时，代表转型的新兴成长板块在巨幅下跌之后分歧仍较大，具体表现为过去两到三年中的每个阶段，新兴成长板块都有带给市场中长期转型希望的子行业不断涌现，但在</w:t>
      </w:r>
      <w:r>
        <w:rPr>
          <w:color w:val="000000"/>
          <w:sz w:val="24"/>
          <w:szCs w:val="24"/>
        </w:rPr>
        <w:t>2016</w:t>
      </w:r>
      <w:r>
        <w:rPr>
          <w:color w:val="000000"/>
          <w:sz w:val="24"/>
          <w:szCs w:val="24"/>
        </w:rPr>
        <w:t>年一季度新的方向产生较少，都是过去两年中已有一定预期和表现的旧方向反复拉锯和博弈，反映了市场的分歧。整体一季度各指数均有不同幅度的下跌，代表创新成长的中小类指数下跌尤为明显。</w:t>
      </w:r>
    </w:p>
    <w:p w:rsidR="005E5FCC" w:rsidRDefault="00B85904">
      <w:pPr>
        <w:spacing w:before="29" w:line="288" w:lineRule="auto"/>
        <w:ind w:firstLineChars="200" w:firstLine="480"/>
        <w:rPr>
          <w:color w:val="000000"/>
          <w:sz w:val="24"/>
          <w:szCs w:val="24"/>
        </w:rPr>
      </w:pPr>
      <w:r>
        <w:rPr>
          <w:color w:val="000000"/>
          <w:sz w:val="24"/>
          <w:szCs w:val="24"/>
        </w:rPr>
        <w:t>在上述市场环境中，本基金试图寻找在整体复杂经济格局中走出亮点的行业与公司，在中国潜在增速下移的既有现实情况下，市场对变局带来的风险和推动经济的动力分歧较大，在这样的情况下基金操作将整体保持均衡稳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二季度，整个经济和市场形势的复杂性有增无减，宏观环境上国内外经济形势和政策波动的影响方向和幅度都难有清晰预期，整体风险偏好波动、资金在各大类资产中的转换配置对市场的影响方向和幅度也相对难以度量，从目前的形势看大幅下行风险取决于宏观风险是否释放，大幅上行风险取决于大类资产配置中是否有增量资金改变存量市场的格局，在两者没有明确变化的情况下市场难以改变存量资金博弈的震荡市格局。从</w:t>
      </w:r>
      <w:r w:rsidRPr="00414345">
        <w:rPr>
          <w:color w:val="000000"/>
          <w:sz w:val="24"/>
          <w:szCs w:val="24"/>
        </w:rPr>
        <w:t>A</w:t>
      </w:r>
      <w:r w:rsidRPr="00414345">
        <w:rPr>
          <w:color w:val="000000"/>
          <w:sz w:val="24"/>
          <w:szCs w:val="24"/>
        </w:rPr>
        <w:t>股历史上在此阶段的回顾来看，在存量市场中的绝对收益机会，一方面来自于风险偏好波动中的选时机会，另一方面来自于市场由分歧到共识所形成的存量资金搬家的分化机会，后者的绝对收益机会的持续性和幅度相对好于前者。在上述大环境下，本基金倾向于在整个平淡的市场中重点寻找在中期发展方向上的共识，同时密切关注宏观风险的变化，包括汇率、增长、通胀等带来的货币政策风险，大类资产（地产、商品、债券等）间资金流动带来的市场资金面风险以及国际政治经济环境波动带来的风险偏好转向和波动的风险。在上述基本判断的背景下，本基金将继续以</w:t>
      </w:r>
      <w:r w:rsidRPr="00414345">
        <w:rPr>
          <w:color w:val="000000"/>
          <w:sz w:val="24"/>
          <w:szCs w:val="24"/>
        </w:rPr>
        <w:t>“</w:t>
      </w:r>
      <w:r w:rsidRPr="00414345">
        <w:rPr>
          <w:color w:val="000000"/>
          <w:sz w:val="24"/>
          <w:szCs w:val="24"/>
        </w:rPr>
        <w:t>优中选优</w:t>
      </w:r>
      <w:r w:rsidRPr="00414345">
        <w:rPr>
          <w:color w:val="000000"/>
          <w:sz w:val="24"/>
          <w:szCs w:val="24"/>
        </w:rPr>
        <w:t>”</w:t>
      </w:r>
      <w:r w:rsidRPr="00414345">
        <w:rPr>
          <w:color w:val="000000"/>
          <w:sz w:val="24"/>
          <w:szCs w:val="24"/>
        </w:rPr>
        <w:t>和</w:t>
      </w:r>
      <w:r w:rsidRPr="00414345">
        <w:rPr>
          <w:color w:val="000000"/>
          <w:sz w:val="24"/>
          <w:szCs w:val="24"/>
        </w:rPr>
        <w:t>“</w:t>
      </w:r>
      <w:r w:rsidRPr="00414345">
        <w:rPr>
          <w:color w:val="000000"/>
          <w:sz w:val="24"/>
          <w:szCs w:val="24"/>
        </w:rPr>
        <w:t>破旧立新</w:t>
      </w:r>
      <w:r w:rsidRPr="00414345">
        <w:rPr>
          <w:color w:val="000000"/>
          <w:sz w:val="24"/>
          <w:szCs w:val="24"/>
        </w:rPr>
        <w:t>”</w:t>
      </w:r>
      <w:r w:rsidRPr="00414345">
        <w:rPr>
          <w:color w:val="000000"/>
          <w:sz w:val="24"/>
          <w:szCs w:val="24"/>
        </w:rPr>
        <w:t>为突破口，更加勤勉地深入研究与寻找优秀的投资标的，同时秉承均衡稳健的配置原则，持续高度关注资本市场可能出现的投资机会与风险，及时调整基金组合，努力为基金份额持有人创造较好的业绩回报。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 xml:space="preserve"> 0.8019</w:t>
      </w:r>
      <w:r w:rsidRPr="00414345">
        <w:rPr>
          <w:color w:val="000000"/>
          <w:sz w:val="24"/>
          <w:szCs w:val="24"/>
        </w:rPr>
        <w:t>元，本报告期份额净值增长率为</w:t>
      </w:r>
      <w:r w:rsidRPr="00414345">
        <w:rPr>
          <w:color w:val="000000"/>
          <w:sz w:val="24"/>
          <w:szCs w:val="24"/>
        </w:rPr>
        <w:t>-16.85%</w:t>
      </w:r>
      <w:r w:rsidRPr="00414345">
        <w:rPr>
          <w:color w:val="000000"/>
          <w:sz w:val="24"/>
          <w:szCs w:val="24"/>
        </w:rPr>
        <w:t>，同期业绩比较基准增长率为</w:t>
      </w:r>
      <w:r w:rsidRPr="00414345">
        <w:rPr>
          <w:color w:val="000000"/>
          <w:sz w:val="24"/>
          <w:szCs w:val="24"/>
        </w:rPr>
        <w:t>-8.04%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1,850,568,873.74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1,850,568,873.74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166,108,000.00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166,108,000.00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410,000,605.00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15.46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210,382,223.53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14,860,730.34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2,651,920,432.61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975,819,930.92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83,257,356.20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285,122,754.15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198,426,117.95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67,984,858.66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85,244,904.00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122,312,951.86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1,850,568,873.74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70.72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E5FCC">
        <w:trPr>
          <w:jc w:val="center"/>
        </w:trPr>
        <w:tc>
          <w:tcPr>
            <w:tcW w:w="855" w:type="dxa"/>
            <w:vAlign w:val="center"/>
          </w:tcPr>
          <w:p w:rsidR="005E5FCC" w:rsidRDefault="00B85904">
            <w:pPr>
              <w:jc w:val="center"/>
            </w:pPr>
            <w:r>
              <w:rPr>
                <w:color w:val="000000"/>
                <w:sz w:val="24"/>
                <w:szCs w:val="24"/>
              </w:rPr>
              <w:t>1</w:t>
            </w:r>
          </w:p>
        </w:tc>
        <w:tc>
          <w:tcPr>
            <w:tcW w:w="1334" w:type="dxa"/>
            <w:vAlign w:val="center"/>
          </w:tcPr>
          <w:p w:rsidR="005E5FCC" w:rsidRDefault="00B85904">
            <w:pPr>
              <w:jc w:val="center"/>
            </w:pPr>
            <w:r>
              <w:rPr>
                <w:color w:val="000000"/>
                <w:sz w:val="24"/>
                <w:szCs w:val="24"/>
              </w:rPr>
              <w:t>603555</w:t>
            </w:r>
          </w:p>
        </w:tc>
        <w:tc>
          <w:tcPr>
            <w:tcW w:w="1777" w:type="dxa"/>
            <w:vAlign w:val="center"/>
          </w:tcPr>
          <w:p w:rsidR="005E5FCC" w:rsidRDefault="00B85904">
            <w:pPr>
              <w:jc w:val="center"/>
            </w:pPr>
            <w:r>
              <w:rPr>
                <w:color w:val="000000"/>
                <w:sz w:val="24"/>
                <w:szCs w:val="24"/>
              </w:rPr>
              <w:t>贵人鸟</w:t>
            </w:r>
          </w:p>
        </w:tc>
        <w:tc>
          <w:tcPr>
            <w:tcW w:w="1334" w:type="dxa"/>
            <w:vAlign w:val="center"/>
          </w:tcPr>
          <w:p w:rsidR="005E5FCC" w:rsidRDefault="00B85904">
            <w:pPr>
              <w:jc w:val="right"/>
            </w:pPr>
            <w:r>
              <w:rPr>
                <w:color w:val="000000"/>
                <w:sz w:val="24"/>
                <w:szCs w:val="24"/>
              </w:rPr>
              <w:t>6,007,343</w:t>
            </w:r>
          </w:p>
        </w:tc>
        <w:tc>
          <w:tcPr>
            <w:tcW w:w="1924" w:type="dxa"/>
            <w:vAlign w:val="center"/>
          </w:tcPr>
          <w:p w:rsidR="005E5FCC" w:rsidRDefault="00B85904">
            <w:pPr>
              <w:jc w:val="right"/>
            </w:pPr>
            <w:r>
              <w:rPr>
                <w:color w:val="000000"/>
                <w:sz w:val="24"/>
                <w:szCs w:val="24"/>
              </w:rPr>
              <w:t>166,523,547.96</w:t>
            </w:r>
          </w:p>
        </w:tc>
        <w:tc>
          <w:tcPr>
            <w:tcW w:w="1644" w:type="dxa"/>
            <w:vAlign w:val="center"/>
          </w:tcPr>
          <w:p w:rsidR="005E5FCC" w:rsidRDefault="00B85904">
            <w:pPr>
              <w:jc w:val="right"/>
            </w:pPr>
            <w:r>
              <w:rPr>
                <w:color w:val="000000"/>
                <w:sz w:val="24"/>
                <w:szCs w:val="24"/>
              </w:rPr>
              <w:t>6.36</w:t>
            </w:r>
          </w:p>
        </w:tc>
      </w:tr>
      <w:tr w:rsidR="005E5FCC">
        <w:trPr>
          <w:jc w:val="center"/>
        </w:trPr>
        <w:tc>
          <w:tcPr>
            <w:tcW w:w="855" w:type="dxa"/>
            <w:vAlign w:val="center"/>
          </w:tcPr>
          <w:p w:rsidR="005E5FCC" w:rsidRDefault="00B85904">
            <w:pPr>
              <w:jc w:val="center"/>
            </w:pPr>
            <w:r>
              <w:rPr>
                <w:color w:val="000000"/>
                <w:sz w:val="24"/>
                <w:szCs w:val="24"/>
              </w:rPr>
              <w:t>2</w:t>
            </w:r>
          </w:p>
        </w:tc>
        <w:tc>
          <w:tcPr>
            <w:tcW w:w="1334" w:type="dxa"/>
            <w:vAlign w:val="center"/>
          </w:tcPr>
          <w:p w:rsidR="005E5FCC" w:rsidRDefault="00B85904">
            <w:pPr>
              <w:jc w:val="center"/>
            </w:pPr>
            <w:r>
              <w:rPr>
                <w:color w:val="000000"/>
                <w:sz w:val="24"/>
                <w:szCs w:val="24"/>
              </w:rPr>
              <w:t>002555</w:t>
            </w:r>
          </w:p>
        </w:tc>
        <w:tc>
          <w:tcPr>
            <w:tcW w:w="1777" w:type="dxa"/>
            <w:vAlign w:val="center"/>
          </w:tcPr>
          <w:p w:rsidR="005E5FCC" w:rsidRDefault="00B85904">
            <w:pPr>
              <w:jc w:val="center"/>
            </w:pPr>
            <w:r>
              <w:rPr>
                <w:color w:val="000000"/>
                <w:sz w:val="24"/>
                <w:szCs w:val="24"/>
              </w:rPr>
              <w:t>三七互娱</w:t>
            </w:r>
          </w:p>
        </w:tc>
        <w:tc>
          <w:tcPr>
            <w:tcW w:w="1334" w:type="dxa"/>
            <w:vAlign w:val="center"/>
          </w:tcPr>
          <w:p w:rsidR="005E5FCC" w:rsidRDefault="00B85904">
            <w:pPr>
              <w:jc w:val="right"/>
            </w:pPr>
            <w:r>
              <w:rPr>
                <w:color w:val="000000"/>
                <w:sz w:val="24"/>
                <w:szCs w:val="24"/>
              </w:rPr>
              <w:t>2,811,100</w:t>
            </w:r>
          </w:p>
        </w:tc>
        <w:tc>
          <w:tcPr>
            <w:tcW w:w="1924" w:type="dxa"/>
            <w:vAlign w:val="center"/>
          </w:tcPr>
          <w:p w:rsidR="005E5FCC" w:rsidRDefault="00B85904">
            <w:pPr>
              <w:jc w:val="right"/>
            </w:pPr>
            <w:r>
              <w:rPr>
                <w:color w:val="000000"/>
                <w:sz w:val="24"/>
                <w:szCs w:val="24"/>
              </w:rPr>
              <w:t>120,905,411.00</w:t>
            </w:r>
          </w:p>
        </w:tc>
        <w:tc>
          <w:tcPr>
            <w:tcW w:w="1644" w:type="dxa"/>
            <w:vAlign w:val="center"/>
          </w:tcPr>
          <w:p w:rsidR="005E5FCC" w:rsidRDefault="00B85904">
            <w:pPr>
              <w:jc w:val="right"/>
            </w:pPr>
            <w:r>
              <w:rPr>
                <w:color w:val="000000"/>
                <w:sz w:val="24"/>
                <w:szCs w:val="24"/>
              </w:rPr>
              <w:t>4.62</w:t>
            </w:r>
          </w:p>
        </w:tc>
      </w:tr>
      <w:tr w:rsidR="005E5FCC">
        <w:trPr>
          <w:jc w:val="center"/>
        </w:trPr>
        <w:tc>
          <w:tcPr>
            <w:tcW w:w="855" w:type="dxa"/>
            <w:vAlign w:val="center"/>
          </w:tcPr>
          <w:p w:rsidR="005E5FCC" w:rsidRDefault="00B85904">
            <w:pPr>
              <w:jc w:val="center"/>
            </w:pPr>
            <w:r>
              <w:rPr>
                <w:color w:val="000000"/>
                <w:sz w:val="24"/>
                <w:szCs w:val="24"/>
              </w:rPr>
              <w:t>3</w:t>
            </w:r>
          </w:p>
        </w:tc>
        <w:tc>
          <w:tcPr>
            <w:tcW w:w="1334" w:type="dxa"/>
            <w:vAlign w:val="center"/>
          </w:tcPr>
          <w:p w:rsidR="005E5FCC" w:rsidRDefault="00B85904">
            <w:pPr>
              <w:jc w:val="center"/>
            </w:pPr>
            <w:r>
              <w:rPr>
                <w:color w:val="000000"/>
                <w:sz w:val="24"/>
                <w:szCs w:val="24"/>
              </w:rPr>
              <w:t>600325</w:t>
            </w:r>
          </w:p>
        </w:tc>
        <w:tc>
          <w:tcPr>
            <w:tcW w:w="1777" w:type="dxa"/>
            <w:vAlign w:val="center"/>
          </w:tcPr>
          <w:p w:rsidR="005E5FCC" w:rsidRDefault="00B85904">
            <w:pPr>
              <w:jc w:val="center"/>
            </w:pPr>
            <w:r>
              <w:rPr>
                <w:color w:val="000000"/>
                <w:sz w:val="24"/>
                <w:szCs w:val="24"/>
              </w:rPr>
              <w:t>华发股份</w:t>
            </w:r>
          </w:p>
        </w:tc>
        <w:tc>
          <w:tcPr>
            <w:tcW w:w="1334" w:type="dxa"/>
            <w:vAlign w:val="center"/>
          </w:tcPr>
          <w:p w:rsidR="005E5FCC" w:rsidRDefault="00B85904">
            <w:pPr>
              <w:jc w:val="right"/>
            </w:pPr>
            <w:r>
              <w:rPr>
                <w:color w:val="000000"/>
                <w:sz w:val="24"/>
                <w:szCs w:val="24"/>
              </w:rPr>
              <w:t>7,217,065</w:t>
            </w:r>
          </w:p>
        </w:tc>
        <w:tc>
          <w:tcPr>
            <w:tcW w:w="1924" w:type="dxa"/>
            <w:vAlign w:val="center"/>
          </w:tcPr>
          <w:p w:rsidR="005E5FCC" w:rsidRDefault="00B85904">
            <w:pPr>
              <w:jc w:val="right"/>
            </w:pPr>
            <w:r>
              <w:rPr>
                <w:color w:val="000000"/>
                <w:sz w:val="24"/>
                <w:szCs w:val="24"/>
              </w:rPr>
              <w:t>89,708,117.95</w:t>
            </w:r>
          </w:p>
        </w:tc>
        <w:tc>
          <w:tcPr>
            <w:tcW w:w="1644" w:type="dxa"/>
            <w:vAlign w:val="center"/>
          </w:tcPr>
          <w:p w:rsidR="005E5FCC" w:rsidRDefault="00B85904">
            <w:pPr>
              <w:jc w:val="right"/>
            </w:pPr>
            <w:r>
              <w:rPr>
                <w:color w:val="000000"/>
                <w:sz w:val="24"/>
                <w:szCs w:val="24"/>
              </w:rPr>
              <w:t>3.43</w:t>
            </w:r>
          </w:p>
        </w:tc>
      </w:tr>
      <w:tr w:rsidR="005E5FCC">
        <w:trPr>
          <w:jc w:val="center"/>
        </w:trPr>
        <w:tc>
          <w:tcPr>
            <w:tcW w:w="855" w:type="dxa"/>
            <w:vAlign w:val="center"/>
          </w:tcPr>
          <w:p w:rsidR="005E5FCC" w:rsidRDefault="00B85904">
            <w:pPr>
              <w:jc w:val="center"/>
            </w:pPr>
            <w:r>
              <w:rPr>
                <w:color w:val="000000"/>
                <w:sz w:val="24"/>
                <w:szCs w:val="24"/>
              </w:rPr>
              <w:t>4</w:t>
            </w:r>
          </w:p>
        </w:tc>
        <w:tc>
          <w:tcPr>
            <w:tcW w:w="1334" w:type="dxa"/>
            <w:vAlign w:val="center"/>
          </w:tcPr>
          <w:p w:rsidR="005E5FCC" w:rsidRDefault="00B85904">
            <w:pPr>
              <w:jc w:val="center"/>
            </w:pPr>
            <w:r>
              <w:rPr>
                <w:color w:val="000000"/>
                <w:sz w:val="24"/>
                <w:szCs w:val="24"/>
              </w:rPr>
              <w:t>600054</w:t>
            </w:r>
          </w:p>
        </w:tc>
        <w:tc>
          <w:tcPr>
            <w:tcW w:w="1777" w:type="dxa"/>
            <w:vAlign w:val="center"/>
          </w:tcPr>
          <w:p w:rsidR="005E5FCC" w:rsidRDefault="00B85904">
            <w:pPr>
              <w:jc w:val="center"/>
            </w:pPr>
            <w:r>
              <w:rPr>
                <w:color w:val="000000"/>
                <w:sz w:val="24"/>
                <w:szCs w:val="24"/>
              </w:rPr>
              <w:t>黄山旅游</w:t>
            </w:r>
          </w:p>
        </w:tc>
        <w:tc>
          <w:tcPr>
            <w:tcW w:w="1334" w:type="dxa"/>
            <w:vAlign w:val="center"/>
          </w:tcPr>
          <w:p w:rsidR="005E5FCC" w:rsidRDefault="00B85904">
            <w:pPr>
              <w:jc w:val="right"/>
            </w:pPr>
            <w:r>
              <w:rPr>
                <w:color w:val="000000"/>
                <w:sz w:val="24"/>
                <w:szCs w:val="24"/>
              </w:rPr>
              <w:t>3,534,200</w:t>
            </w:r>
          </w:p>
        </w:tc>
        <w:tc>
          <w:tcPr>
            <w:tcW w:w="1924" w:type="dxa"/>
            <w:vAlign w:val="center"/>
          </w:tcPr>
          <w:p w:rsidR="005E5FCC" w:rsidRDefault="00B85904">
            <w:pPr>
              <w:jc w:val="right"/>
            </w:pPr>
            <w:r>
              <w:rPr>
                <w:color w:val="000000"/>
                <w:sz w:val="24"/>
                <w:szCs w:val="24"/>
              </w:rPr>
              <w:t>85,244,904.00</w:t>
            </w:r>
          </w:p>
        </w:tc>
        <w:tc>
          <w:tcPr>
            <w:tcW w:w="1644" w:type="dxa"/>
            <w:vAlign w:val="center"/>
          </w:tcPr>
          <w:p w:rsidR="005E5FCC" w:rsidRDefault="00B85904">
            <w:pPr>
              <w:jc w:val="right"/>
            </w:pPr>
            <w:r>
              <w:rPr>
                <w:color w:val="000000"/>
                <w:sz w:val="24"/>
                <w:szCs w:val="24"/>
              </w:rPr>
              <w:t>3.26</w:t>
            </w:r>
          </w:p>
        </w:tc>
      </w:tr>
      <w:tr w:rsidR="005E5FCC">
        <w:trPr>
          <w:jc w:val="center"/>
        </w:trPr>
        <w:tc>
          <w:tcPr>
            <w:tcW w:w="855" w:type="dxa"/>
            <w:vAlign w:val="center"/>
          </w:tcPr>
          <w:p w:rsidR="005E5FCC" w:rsidRDefault="00B85904">
            <w:pPr>
              <w:jc w:val="center"/>
            </w:pPr>
            <w:r>
              <w:rPr>
                <w:color w:val="000000"/>
                <w:sz w:val="24"/>
                <w:szCs w:val="24"/>
              </w:rPr>
              <w:t>5</w:t>
            </w:r>
          </w:p>
        </w:tc>
        <w:tc>
          <w:tcPr>
            <w:tcW w:w="1334" w:type="dxa"/>
            <w:vAlign w:val="center"/>
          </w:tcPr>
          <w:p w:rsidR="005E5FCC" w:rsidRDefault="00B85904">
            <w:pPr>
              <w:jc w:val="center"/>
            </w:pPr>
            <w:r>
              <w:rPr>
                <w:color w:val="000000"/>
                <w:sz w:val="24"/>
                <w:szCs w:val="24"/>
              </w:rPr>
              <w:t>600900</w:t>
            </w:r>
          </w:p>
        </w:tc>
        <w:tc>
          <w:tcPr>
            <w:tcW w:w="1777" w:type="dxa"/>
            <w:vAlign w:val="center"/>
          </w:tcPr>
          <w:p w:rsidR="005E5FCC" w:rsidRDefault="00B85904">
            <w:pPr>
              <w:jc w:val="center"/>
            </w:pPr>
            <w:r>
              <w:rPr>
                <w:color w:val="000000"/>
                <w:sz w:val="24"/>
                <w:szCs w:val="24"/>
              </w:rPr>
              <w:t>长江电力</w:t>
            </w:r>
          </w:p>
        </w:tc>
        <w:tc>
          <w:tcPr>
            <w:tcW w:w="1334" w:type="dxa"/>
            <w:vAlign w:val="center"/>
          </w:tcPr>
          <w:p w:rsidR="005E5FCC" w:rsidRDefault="00B85904">
            <w:pPr>
              <w:jc w:val="right"/>
            </w:pPr>
            <w:r>
              <w:rPr>
                <w:color w:val="000000"/>
                <w:sz w:val="24"/>
                <w:szCs w:val="24"/>
              </w:rPr>
              <w:t>6,779,915</w:t>
            </w:r>
          </w:p>
        </w:tc>
        <w:tc>
          <w:tcPr>
            <w:tcW w:w="1924" w:type="dxa"/>
            <w:vAlign w:val="center"/>
          </w:tcPr>
          <w:p w:rsidR="005E5FCC" w:rsidRDefault="00B85904">
            <w:pPr>
              <w:jc w:val="right"/>
            </w:pPr>
            <w:r>
              <w:rPr>
                <w:color w:val="000000"/>
                <w:sz w:val="24"/>
                <w:szCs w:val="24"/>
              </w:rPr>
              <w:t>83,257,356.20</w:t>
            </w:r>
          </w:p>
        </w:tc>
        <w:tc>
          <w:tcPr>
            <w:tcW w:w="1644" w:type="dxa"/>
            <w:vAlign w:val="center"/>
          </w:tcPr>
          <w:p w:rsidR="005E5FCC" w:rsidRDefault="00B85904">
            <w:pPr>
              <w:jc w:val="right"/>
            </w:pPr>
            <w:r>
              <w:rPr>
                <w:color w:val="000000"/>
                <w:sz w:val="24"/>
                <w:szCs w:val="24"/>
              </w:rPr>
              <w:t>3.18</w:t>
            </w:r>
          </w:p>
        </w:tc>
      </w:tr>
      <w:tr w:rsidR="005E5FCC">
        <w:trPr>
          <w:jc w:val="center"/>
        </w:trPr>
        <w:tc>
          <w:tcPr>
            <w:tcW w:w="855" w:type="dxa"/>
            <w:vAlign w:val="center"/>
          </w:tcPr>
          <w:p w:rsidR="005E5FCC" w:rsidRDefault="00B85904">
            <w:pPr>
              <w:jc w:val="center"/>
            </w:pPr>
            <w:r>
              <w:rPr>
                <w:color w:val="000000"/>
                <w:sz w:val="24"/>
                <w:szCs w:val="24"/>
              </w:rPr>
              <w:t>6</w:t>
            </w:r>
          </w:p>
        </w:tc>
        <w:tc>
          <w:tcPr>
            <w:tcW w:w="1334" w:type="dxa"/>
            <w:vAlign w:val="center"/>
          </w:tcPr>
          <w:p w:rsidR="005E5FCC" w:rsidRDefault="00B85904">
            <w:pPr>
              <w:jc w:val="center"/>
            </w:pPr>
            <w:r>
              <w:rPr>
                <w:color w:val="000000"/>
                <w:sz w:val="24"/>
                <w:szCs w:val="24"/>
              </w:rPr>
              <w:t>002539</w:t>
            </w:r>
          </w:p>
        </w:tc>
        <w:tc>
          <w:tcPr>
            <w:tcW w:w="1777" w:type="dxa"/>
            <w:vAlign w:val="center"/>
          </w:tcPr>
          <w:p w:rsidR="005E5FCC" w:rsidRDefault="00B85904">
            <w:pPr>
              <w:jc w:val="center"/>
            </w:pPr>
            <w:r>
              <w:rPr>
                <w:color w:val="000000"/>
                <w:sz w:val="24"/>
                <w:szCs w:val="24"/>
              </w:rPr>
              <w:t>新都化工</w:t>
            </w:r>
          </w:p>
        </w:tc>
        <w:tc>
          <w:tcPr>
            <w:tcW w:w="1334" w:type="dxa"/>
            <w:vAlign w:val="center"/>
          </w:tcPr>
          <w:p w:rsidR="005E5FCC" w:rsidRDefault="00B85904">
            <w:pPr>
              <w:jc w:val="right"/>
            </w:pPr>
            <w:r>
              <w:rPr>
                <w:color w:val="000000"/>
                <w:sz w:val="24"/>
                <w:szCs w:val="24"/>
              </w:rPr>
              <w:t>6,000,000</w:t>
            </w:r>
          </w:p>
        </w:tc>
        <w:tc>
          <w:tcPr>
            <w:tcW w:w="1924" w:type="dxa"/>
            <w:vAlign w:val="center"/>
          </w:tcPr>
          <w:p w:rsidR="005E5FCC" w:rsidRDefault="00B85904">
            <w:pPr>
              <w:jc w:val="right"/>
            </w:pPr>
            <w:r>
              <w:rPr>
                <w:color w:val="000000"/>
                <w:sz w:val="24"/>
                <w:szCs w:val="24"/>
              </w:rPr>
              <w:t>82,020,000.00</w:t>
            </w:r>
          </w:p>
        </w:tc>
        <w:tc>
          <w:tcPr>
            <w:tcW w:w="1644" w:type="dxa"/>
            <w:vAlign w:val="center"/>
          </w:tcPr>
          <w:p w:rsidR="005E5FCC" w:rsidRDefault="00B85904">
            <w:pPr>
              <w:jc w:val="right"/>
            </w:pPr>
            <w:r>
              <w:rPr>
                <w:color w:val="000000"/>
                <w:sz w:val="24"/>
                <w:szCs w:val="24"/>
              </w:rPr>
              <w:t>3.13</w:t>
            </w:r>
          </w:p>
        </w:tc>
      </w:tr>
      <w:tr w:rsidR="005E5FCC">
        <w:trPr>
          <w:jc w:val="center"/>
        </w:trPr>
        <w:tc>
          <w:tcPr>
            <w:tcW w:w="855" w:type="dxa"/>
            <w:vAlign w:val="center"/>
          </w:tcPr>
          <w:p w:rsidR="005E5FCC" w:rsidRDefault="00B85904">
            <w:pPr>
              <w:jc w:val="center"/>
            </w:pPr>
            <w:r>
              <w:rPr>
                <w:color w:val="000000"/>
                <w:sz w:val="24"/>
                <w:szCs w:val="24"/>
              </w:rPr>
              <w:t>7</w:t>
            </w:r>
          </w:p>
        </w:tc>
        <w:tc>
          <w:tcPr>
            <w:tcW w:w="1334" w:type="dxa"/>
            <w:vAlign w:val="center"/>
          </w:tcPr>
          <w:p w:rsidR="005E5FCC" w:rsidRDefault="00B85904">
            <w:pPr>
              <w:jc w:val="center"/>
            </w:pPr>
            <w:r>
              <w:rPr>
                <w:color w:val="000000"/>
                <w:sz w:val="24"/>
                <w:szCs w:val="24"/>
              </w:rPr>
              <w:t>300226</w:t>
            </w:r>
          </w:p>
        </w:tc>
        <w:tc>
          <w:tcPr>
            <w:tcW w:w="1777" w:type="dxa"/>
            <w:vAlign w:val="center"/>
          </w:tcPr>
          <w:p w:rsidR="005E5FCC" w:rsidRDefault="00B85904">
            <w:pPr>
              <w:jc w:val="center"/>
            </w:pPr>
            <w:r>
              <w:rPr>
                <w:color w:val="000000"/>
                <w:sz w:val="24"/>
                <w:szCs w:val="24"/>
              </w:rPr>
              <w:t>上海钢联</w:t>
            </w:r>
          </w:p>
        </w:tc>
        <w:tc>
          <w:tcPr>
            <w:tcW w:w="1334" w:type="dxa"/>
            <w:vAlign w:val="center"/>
          </w:tcPr>
          <w:p w:rsidR="005E5FCC" w:rsidRDefault="00B85904">
            <w:pPr>
              <w:jc w:val="right"/>
            </w:pPr>
            <w:r>
              <w:rPr>
                <w:color w:val="000000"/>
                <w:sz w:val="24"/>
                <w:szCs w:val="24"/>
              </w:rPr>
              <w:t>1,718,499</w:t>
            </w:r>
          </w:p>
        </w:tc>
        <w:tc>
          <w:tcPr>
            <w:tcW w:w="1924" w:type="dxa"/>
            <w:vAlign w:val="center"/>
          </w:tcPr>
          <w:p w:rsidR="005E5FCC" w:rsidRDefault="00B85904">
            <w:pPr>
              <w:jc w:val="right"/>
            </w:pPr>
            <w:r>
              <w:rPr>
                <w:color w:val="000000"/>
                <w:sz w:val="24"/>
                <w:szCs w:val="24"/>
              </w:rPr>
              <w:t>80,511,678.15</w:t>
            </w:r>
          </w:p>
        </w:tc>
        <w:tc>
          <w:tcPr>
            <w:tcW w:w="1644" w:type="dxa"/>
            <w:vAlign w:val="center"/>
          </w:tcPr>
          <w:p w:rsidR="005E5FCC" w:rsidRDefault="00B85904">
            <w:pPr>
              <w:jc w:val="right"/>
            </w:pPr>
            <w:r>
              <w:rPr>
                <w:color w:val="000000"/>
                <w:sz w:val="24"/>
                <w:szCs w:val="24"/>
              </w:rPr>
              <w:t>3.08</w:t>
            </w:r>
          </w:p>
        </w:tc>
      </w:tr>
      <w:tr w:rsidR="005E5FCC">
        <w:trPr>
          <w:jc w:val="center"/>
        </w:trPr>
        <w:tc>
          <w:tcPr>
            <w:tcW w:w="855" w:type="dxa"/>
            <w:vAlign w:val="center"/>
          </w:tcPr>
          <w:p w:rsidR="005E5FCC" w:rsidRDefault="00B85904">
            <w:pPr>
              <w:jc w:val="center"/>
            </w:pPr>
            <w:r>
              <w:rPr>
                <w:color w:val="000000"/>
                <w:sz w:val="24"/>
                <w:szCs w:val="24"/>
              </w:rPr>
              <w:t>8</w:t>
            </w:r>
          </w:p>
        </w:tc>
        <w:tc>
          <w:tcPr>
            <w:tcW w:w="1334" w:type="dxa"/>
            <w:vAlign w:val="center"/>
          </w:tcPr>
          <w:p w:rsidR="005E5FCC" w:rsidRDefault="00B85904">
            <w:pPr>
              <w:jc w:val="center"/>
            </w:pPr>
            <w:r>
              <w:rPr>
                <w:color w:val="000000"/>
                <w:sz w:val="24"/>
                <w:szCs w:val="24"/>
              </w:rPr>
              <w:t>600688</w:t>
            </w:r>
          </w:p>
        </w:tc>
        <w:tc>
          <w:tcPr>
            <w:tcW w:w="1777" w:type="dxa"/>
            <w:vAlign w:val="center"/>
          </w:tcPr>
          <w:p w:rsidR="005E5FCC" w:rsidRDefault="00B85904">
            <w:pPr>
              <w:jc w:val="center"/>
            </w:pPr>
            <w:r>
              <w:rPr>
                <w:color w:val="000000"/>
                <w:sz w:val="24"/>
                <w:szCs w:val="24"/>
              </w:rPr>
              <w:t>上海石化</w:t>
            </w:r>
          </w:p>
        </w:tc>
        <w:tc>
          <w:tcPr>
            <w:tcW w:w="1334" w:type="dxa"/>
            <w:vAlign w:val="center"/>
          </w:tcPr>
          <w:p w:rsidR="005E5FCC" w:rsidRDefault="00B85904">
            <w:pPr>
              <w:jc w:val="right"/>
            </w:pPr>
            <w:r>
              <w:rPr>
                <w:color w:val="000000"/>
                <w:sz w:val="24"/>
                <w:szCs w:val="24"/>
              </w:rPr>
              <w:t>11,000,000</w:t>
            </w:r>
          </w:p>
        </w:tc>
        <w:tc>
          <w:tcPr>
            <w:tcW w:w="1924" w:type="dxa"/>
            <w:vAlign w:val="center"/>
          </w:tcPr>
          <w:p w:rsidR="005E5FCC" w:rsidRDefault="00B85904">
            <w:pPr>
              <w:jc w:val="right"/>
            </w:pPr>
            <w:r>
              <w:rPr>
                <w:color w:val="000000"/>
                <w:sz w:val="24"/>
                <w:szCs w:val="24"/>
              </w:rPr>
              <w:t>75,020,000.00</w:t>
            </w:r>
          </w:p>
        </w:tc>
        <w:tc>
          <w:tcPr>
            <w:tcW w:w="1644" w:type="dxa"/>
            <w:vAlign w:val="center"/>
          </w:tcPr>
          <w:p w:rsidR="005E5FCC" w:rsidRDefault="00B85904">
            <w:pPr>
              <w:jc w:val="right"/>
            </w:pPr>
            <w:r>
              <w:rPr>
                <w:color w:val="000000"/>
                <w:sz w:val="24"/>
                <w:szCs w:val="24"/>
              </w:rPr>
              <w:t>2.87</w:t>
            </w:r>
          </w:p>
        </w:tc>
      </w:tr>
      <w:tr w:rsidR="005E5FCC">
        <w:trPr>
          <w:jc w:val="center"/>
        </w:trPr>
        <w:tc>
          <w:tcPr>
            <w:tcW w:w="855" w:type="dxa"/>
            <w:vAlign w:val="center"/>
          </w:tcPr>
          <w:p w:rsidR="005E5FCC" w:rsidRDefault="00B85904">
            <w:pPr>
              <w:jc w:val="center"/>
            </w:pPr>
            <w:r>
              <w:rPr>
                <w:color w:val="000000"/>
                <w:sz w:val="24"/>
                <w:szCs w:val="24"/>
              </w:rPr>
              <w:t>9</w:t>
            </w:r>
          </w:p>
        </w:tc>
        <w:tc>
          <w:tcPr>
            <w:tcW w:w="1334" w:type="dxa"/>
            <w:vAlign w:val="center"/>
          </w:tcPr>
          <w:p w:rsidR="005E5FCC" w:rsidRDefault="00B85904">
            <w:pPr>
              <w:jc w:val="center"/>
            </w:pPr>
            <w:r>
              <w:rPr>
                <w:color w:val="000000"/>
                <w:sz w:val="24"/>
                <w:szCs w:val="24"/>
              </w:rPr>
              <w:t>600358</w:t>
            </w:r>
          </w:p>
        </w:tc>
        <w:tc>
          <w:tcPr>
            <w:tcW w:w="1777" w:type="dxa"/>
            <w:vAlign w:val="center"/>
          </w:tcPr>
          <w:p w:rsidR="005E5FCC" w:rsidRDefault="00B85904">
            <w:pPr>
              <w:jc w:val="center"/>
            </w:pPr>
            <w:r>
              <w:rPr>
                <w:color w:val="000000"/>
                <w:sz w:val="24"/>
                <w:szCs w:val="24"/>
              </w:rPr>
              <w:t>国旅联合</w:t>
            </w:r>
          </w:p>
        </w:tc>
        <w:tc>
          <w:tcPr>
            <w:tcW w:w="1334" w:type="dxa"/>
            <w:vAlign w:val="center"/>
          </w:tcPr>
          <w:p w:rsidR="005E5FCC" w:rsidRDefault="00B85904">
            <w:pPr>
              <w:jc w:val="right"/>
            </w:pPr>
            <w:r>
              <w:rPr>
                <w:color w:val="000000"/>
                <w:sz w:val="24"/>
                <w:szCs w:val="24"/>
              </w:rPr>
              <w:t>5,009,938</w:t>
            </w:r>
          </w:p>
        </w:tc>
        <w:tc>
          <w:tcPr>
            <w:tcW w:w="1924" w:type="dxa"/>
            <w:vAlign w:val="center"/>
          </w:tcPr>
          <w:p w:rsidR="005E5FCC" w:rsidRDefault="00B85904">
            <w:pPr>
              <w:jc w:val="right"/>
            </w:pPr>
            <w:r>
              <w:rPr>
                <w:color w:val="000000"/>
                <w:sz w:val="24"/>
                <w:szCs w:val="24"/>
              </w:rPr>
              <w:t>67,984,858.66</w:t>
            </w:r>
          </w:p>
        </w:tc>
        <w:tc>
          <w:tcPr>
            <w:tcW w:w="1644" w:type="dxa"/>
            <w:vAlign w:val="center"/>
          </w:tcPr>
          <w:p w:rsidR="005E5FCC" w:rsidRDefault="00B85904">
            <w:pPr>
              <w:jc w:val="right"/>
            </w:pPr>
            <w:r>
              <w:rPr>
                <w:color w:val="000000"/>
                <w:sz w:val="24"/>
                <w:szCs w:val="24"/>
              </w:rPr>
              <w:t>2.60</w:t>
            </w:r>
          </w:p>
        </w:tc>
      </w:tr>
      <w:tr w:rsidR="005E5FCC">
        <w:trPr>
          <w:jc w:val="center"/>
        </w:trPr>
        <w:tc>
          <w:tcPr>
            <w:tcW w:w="855" w:type="dxa"/>
            <w:vAlign w:val="center"/>
          </w:tcPr>
          <w:p w:rsidR="005E5FCC" w:rsidRDefault="00B85904">
            <w:pPr>
              <w:jc w:val="center"/>
            </w:pPr>
            <w:r>
              <w:rPr>
                <w:color w:val="000000"/>
                <w:sz w:val="24"/>
                <w:szCs w:val="24"/>
              </w:rPr>
              <w:t>10</w:t>
            </w:r>
          </w:p>
        </w:tc>
        <w:tc>
          <w:tcPr>
            <w:tcW w:w="1334" w:type="dxa"/>
            <w:vAlign w:val="center"/>
          </w:tcPr>
          <w:p w:rsidR="005E5FCC" w:rsidRDefault="00B85904">
            <w:pPr>
              <w:jc w:val="center"/>
            </w:pPr>
            <w:r>
              <w:rPr>
                <w:color w:val="000000"/>
                <w:sz w:val="24"/>
                <w:szCs w:val="24"/>
              </w:rPr>
              <w:t>300144</w:t>
            </w:r>
          </w:p>
        </w:tc>
        <w:tc>
          <w:tcPr>
            <w:tcW w:w="1777" w:type="dxa"/>
            <w:vAlign w:val="center"/>
          </w:tcPr>
          <w:p w:rsidR="005E5FCC" w:rsidRDefault="00B85904">
            <w:pPr>
              <w:jc w:val="center"/>
            </w:pPr>
            <w:r>
              <w:rPr>
                <w:color w:val="000000"/>
                <w:sz w:val="24"/>
                <w:szCs w:val="24"/>
              </w:rPr>
              <w:t>宋城演艺</w:t>
            </w:r>
          </w:p>
        </w:tc>
        <w:tc>
          <w:tcPr>
            <w:tcW w:w="1334" w:type="dxa"/>
            <w:vAlign w:val="center"/>
          </w:tcPr>
          <w:p w:rsidR="005E5FCC" w:rsidRDefault="00B85904">
            <w:pPr>
              <w:jc w:val="right"/>
            </w:pPr>
            <w:r>
              <w:rPr>
                <w:color w:val="000000"/>
                <w:sz w:val="24"/>
                <w:szCs w:val="24"/>
              </w:rPr>
              <w:t>2,300,511</w:t>
            </w:r>
          </w:p>
        </w:tc>
        <w:tc>
          <w:tcPr>
            <w:tcW w:w="1924" w:type="dxa"/>
            <w:vAlign w:val="center"/>
          </w:tcPr>
          <w:p w:rsidR="005E5FCC" w:rsidRDefault="00B85904">
            <w:pPr>
              <w:jc w:val="right"/>
            </w:pPr>
            <w:r>
              <w:rPr>
                <w:color w:val="000000"/>
                <w:sz w:val="24"/>
                <w:szCs w:val="24"/>
              </w:rPr>
              <w:t>67,312,951.86</w:t>
            </w:r>
          </w:p>
        </w:tc>
        <w:tc>
          <w:tcPr>
            <w:tcW w:w="1644" w:type="dxa"/>
            <w:vAlign w:val="center"/>
          </w:tcPr>
          <w:p w:rsidR="005E5FCC" w:rsidRDefault="00B85904">
            <w:pPr>
              <w:jc w:val="right"/>
            </w:pPr>
            <w:r>
              <w:rPr>
                <w:color w:val="000000"/>
                <w:sz w:val="24"/>
                <w:szCs w:val="24"/>
              </w:rPr>
              <w:t>2.57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25,968,000.00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0.99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166,108,000.00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E5FCC">
        <w:trPr>
          <w:jc w:val="center"/>
        </w:trPr>
        <w:tc>
          <w:tcPr>
            <w:tcW w:w="850" w:type="dxa"/>
            <w:vAlign w:val="center"/>
          </w:tcPr>
          <w:p w:rsidR="005E5FCC" w:rsidRDefault="00B85904">
            <w:pPr>
              <w:jc w:val="center"/>
            </w:pPr>
            <w:r>
              <w:rPr>
                <w:color w:val="000000"/>
                <w:sz w:val="24"/>
                <w:szCs w:val="24"/>
              </w:rPr>
              <w:t>1</w:t>
            </w:r>
          </w:p>
        </w:tc>
        <w:tc>
          <w:tcPr>
            <w:tcW w:w="1475" w:type="dxa"/>
            <w:vAlign w:val="center"/>
          </w:tcPr>
          <w:p w:rsidR="005E5FCC" w:rsidRDefault="00B85904">
            <w:pPr>
              <w:jc w:val="center"/>
            </w:pPr>
            <w:r>
              <w:rPr>
                <w:color w:val="000000"/>
                <w:sz w:val="24"/>
                <w:szCs w:val="24"/>
              </w:rPr>
              <w:t>150416</w:t>
            </w:r>
          </w:p>
        </w:tc>
        <w:tc>
          <w:tcPr>
            <w:tcW w:w="1769" w:type="dxa"/>
            <w:vAlign w:val="center"/>
          </w:tcPr>
          <w:p w:rsidR="005E5FCC" w:rsidRDefault="00B85904">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5E5FCC" w:rsidRDefault="00B85904">
            <w:pPr>
              <w:jc w:val="right"/>
            </w:pPr>
            <w:r>
              <w:rPr>
                <w:color w:val="000000"/>
                <w:sz w:val="24"/>
                <w:szCs w:val="24"/>
              </w:rPr>
              <w:t>1,400,000</w:t>
            </w:r>
          </w:p>
        </w:tc>
        <w:tc>
          <w:tcPr>
            <w:tcW w:w="2150" w:type="dxa"/>
            <w:vAlign w:val="center"/>
          </w:tcPr>
          <w:p w:rsidR="005E5FCC" w:rsidRDefault="00B85904">
            <w:pPr>
              <w:jc w:val="right"/>
            </w:pPr>
            <w:r>
              <w:rPr>
                <w:color w:val="000000"/>
                <w:sz w:val="24"/>
                <w:szCs w:val="24"/>
              </w:rPr>
              <w:t>140,140,000.00</w:t>
            </w:r>
          </w:p>
        </w:tc>
        <w:tc>
          <w:tcPr>
            <w:tcW w:w="1237" w:type="dxa"/>
            <w:vAlign w:val="center"/>
          </w:tcPr>
          <w:p w:rsidR="005E5FCC" w:rsidRDefault="00B85904">
            <w:pPr>
              <w:jc w:val="right"/>
            </w:pPr>
            <w:r>
              <w:rPr>
                <w:color w:val="000000"/>
                <w:sz w:val="24"/>
                <w:szCs w:val="24"/>
              </w:rPr>
              <w:t>5.36</w:t>
            </w:r>
          </w:p>
        </w:tc>
      </w:tr>
      <w:tr w:rsidR="005E5FCC">
        <w:trPr>
          <w:jc w:val="center"/>
        </w:trPr>
        <w:tc>
          <w:tcPr>
            <w:tcW w:w="850" w:type="dxa"/>
            <w:vAlign w:val="center"/>
          </w:tcPr>
          <w:p w:rsidR="005E5FCC" w:rsidRDefault="00B85904">
            <w:pPr>
              <w:jc w:val="center"/>
            </w:pPr>
            <w:r>
              <w:rPr>
                <w:color w:val="000000"/>
                <w:sz w:val="24"/>
                <w:szCs w:val="24"/>
              </w:rPr>
              <w:t>2</w:t>
            </w:r>
          </w:p>
        </w:tc>
        <w:tc>
          <w:tcPr>
            <w:tcW w:w="1475" w:type="dxa"/>
            <w:vAlign w:val="center"/>
          </w:tcPr>
          <w:p w:rsidR="005E5FCC" w:rsidRDefault="00B85904">
            <w:pPr>
              <w:jc w:val="center"/>
            </w:pPr>
            <w:r>
              <w:rPr>
                <w:color w:val="000000"/>
                <w:sz w:val="24"/>
                <w:szCs w:val="24"/>
              </w:rPr>
              <w:t>110031</w:t>
            </w:r>
          </w:p>
        </w:tc>
        <w:tc>
          <w:tcPr>
            <w:tcW w:w="1769" w:type="dxa"/>
            <w:vAlign w:val="center"/>
          </w:tcPr>
          <w:p w:rsidR="005E5FCC" w:rsidRDefault="00B85904">
            <w:pPr>
              <w:jc w:val="center"/>
            </w:pPr>
            <w:r>
              <w:rPr>
                <w:color w:val="000000"/>
                <w:sz w:val="24"/>
                <w:szCs w:val="24"/>
              </w:rPr>
              <w:t>航信转债</w:t>
            </w:r>
          </w:p>
        </w:tc>
        <w:tc>
          <w:tcPr>
            <w:tcW w:w="1387" w:type="dxa"/>
            <w:vAlign w:val="center"/>
          </w:tcPr>
          <w:p w:rsidR="005E5FCC" w:rsidRDefault="00B85904">
            <w:pPr>
              <w:jc w:val="right"/>
            </w:pPr>
            <w:r>
              <w:rPr>
                <w:color w:val="000000"/>
                <w:sz w:val="24"/>
                <w:szCs w:val="24"/>
              </w:rPr>
              <w:t>200,000</w:t>
            </w:r>
          </w:p>
        </w:tc>
        <w:tc>
          <w:tcPr>
            <w:tcW w:w="2150" w:type="dxa"/>
            <w:vAlign w:val="center"/>
          </w:tcPr>
          <w:p w:rsidR="005E5FCC" w:rsidRDefault="00B85904">
            <w:pPr>
              <w:jc w:val="right"/>
            </w:pPr>
            <w:r>
              <w:rPr>
                <w:color w:val="000000"/>
                <w:sz w:val="24"/>
                <w:szCs w:val="24"/>
              </w:rPr>
              <w:t>25,968,000.00</w:t>
            </w:r>
          </w:p>
        </w:tc>
        <w:tc>
          <w:tcPr>
            <w:tcW w:w="1237" w:type="dxa"/>
            <w:vAlign w:val="center"/>
          </w:tcPr>
          <w:p w:rsidR="005E5FCC" w:rsidRDefault="00B85904">
            <w:pPr>
              <w:jc w:val="right"/>
            </w:pPr>
            <w:r>
              <w:rPr>
                <w:color w:val="000000"/>
                <w:sz w:val="24"/>
                <w:szCs w:val="24"/>
              </w:rPr>
              <w:t>0.99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2,226,163.16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9,623,306.81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2,934,939.89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76,320.48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14,860,730.34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E5FCC">
        <w:trPr>
          <w:jc w:val="center"/>
        </w:trPr>
        <w:tc>
          <w:tcPr>
            <w:tcW w:w="1883" w:type="dxa"/>
            <w:vAlign w:val="center"/>
          </w:tcPr>
          <w:p w:rsidR="005E5FCC" w:rsidRDefault="00B85904">
            <w:pPr>
              <w:jc w:val="center"/>
            </w:pPr>
            <w:r>
              <w:rPr>
                <w:color w:val="000000"/>
                <w:sz w:val="24"/>
                <w:szCs w:val="24"/>
              </w:rPr>
              <w:t>1</w:t>
            </w:r>
          </w:p>
        </w:tc>
        <w:tc>
          <w:tcPr>
            <w:tcW w:w="1801" w:type="dxa"/>
            <w:vAlign w:val="center"/>
          </w:tcPr>
          <w:p w:rsidR="005E5FCC" w:rsidRDefault="00B85904">
            <w:pPr>
              <w:jc w:val="center"/>
            </w:pPr>
            <w:r>
              <w:rPr>
                <w:color w:val="000000"/>
                <w:sz w:val="24"/>
                <w:szCs w:val="24"/>
              </w:rPr>
              <w:t>110031</w:t>
            </w:r>
          </w:p>
        </w:tc>
        <w:tc>
          <w:tcPr>
            <w:tcW w:w="1727" w:type="dxa"/>
            <w:vAlign w:val="center"/>
          </w:tcPr>
          <w:p w:rsidR="005E5FCC" w:rsidRDefault="00B85904">
            <w:pPr>
              <w:jc w:val="center"/>
            </w:pPr>
            <w:r>
              <w:rPr>
                <w:color w:val="000000"/>
                <w:sz w:val="24"/>
                <w:szCs w:val="24"/>
              </w:rPr>
              <w:t>航信转债</w:t>
            </w:r>
          </w:p>
        </w:tc>
        <w:tc>
          <w:tcPr>
            <w:tcW w:w="1768" w:type="dxa"/>
            <w:vAlign w:val="center"/>
          </w:tcPr>
          <w:p w:rsidR="005E5FCC" w:rsidRDefault="00B85904">
            <w:pPr>
              <w:jc w:val="right"/>
            </w:pPr>
            <w:r>
              <w:rPr>
                <w:color w:val="000000"/>
                <w:sz w:val="24"/>
                <w:szCs w:val="24"/>
              </w:rPr>
              <w:t>25,968,000.00</w:t>
            </w:r>
          </w:p>
        </w:tc>
        <w:tc>
          <w:tcPr>
            <w:tcW w:w="1689" w:type="dxa"/>
            <w:vAlign w:val="center"/>
          </w:tcPr>
          <w:p w:rsidR="005E5FCC" w:rsidRDefault="00B85904">
            <w:pPr>
              <w:jc w:val="right"/>
            </w:pPr>
            <w:r>
              <w:rPr>
                <w:color w:val="000000"/>
                <w:sz w:val="24"/>
                <w:szCs w:val="24"/>
              </w:rPr>
              <w:t>0.99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E5FCC">
        <w:trPr>
          <w:jc w:val="center"/>
        </w:trPr>
        <w:tc>
          <w:tcPr>
            <w:tcW w:w="1129" w:type="dxa"/>
            <w:vAlign w:val="center"/>
          </w:tcPr>
          <w:p w:rsidR="005E5FCC" w:rsidRDefault="00B85904">
            <w:pPr>
              <w:jc w:val="center"/>
            </w:pPr>
            <w:r>
              <w:rPr>
                <w:color w:val="000000"/>
                <w:sz w:val="24"/>
                <w:szCs w:val="24"/>
              </w:rPr>
              <w:t>1</w:t>
            </w:r>
          </w:p>
        </w:tc>
        <w:tc>
          <w:tcPr>
            <w:tcW w:w="1356" w:type="dxa"/>
            <w:vAlign w:val="center"/>
          </w:tcPr>
          <w:p w:rsidR="005E5FCC" w:rsidRDefault="00B85904">
            <w:pPr>
              <w:jc w:val="center"/>
            </w:pPr>
            <w:r>
              <w:rPr>
                <w:color w:val="000000"/>
                <w:sz w:val="24"/>
                <w:szCs w:val="24"/>
              </w:rPr>
              <w:t>002555</w:t>
            </w:r>
          </w:p>
        </w:tc>
        <w:tc>
          <w:tcPr>
            <w:tcW w:w="1355" w:type="dxa"/>
            <w:vAlign w:val="center"/>
          </w:tcPr>
          <w:p w:rsidR="005E5FCC" w:rsidRDefault="00B85904">
            <w:pPr>
              <w:jc w:val="center"/>
            </w:pPr>
            <w:r>
              <w:rPr>
                <w:color w:val="000000"/>
                <w:sz w:val="24"/>
                <w:szCs w:val="24"/>
              </w:rPr>
              <w:t>三七互娱</w:t>
            </w:r>
          </w:p>
        </w:tc>
        <w:tc>
          <w:tcPr>
            <w:tcW w:w="1880" w:type="dxa"/>
            <w:vAlign w:val="center"/>
          </w:tcPr>
          <w:p w:rsidR="005E5FCC" w:rsidRDefault="00B85904">
            <w:pPr>
              <w:jc w:val="right"/>
            </w:pPr>
            <w:r>
              <w:rPr>
                <w:color w:val="000000"/>
                <w:sz w:val="24"/>
                <w:szCs w:val="24"/>
              </w:rPr>
              <w:t>120,905,411.00</w:t>
            </w:r>
          </w:p>
        </w:tc>
        <w:tc>
          <w:tcPr>
            <w:tcW w:w="1724" w:type="dxa"/>
            <w:vAlign w:val="center"/>
          </w:tcPr>
          <w:p w:rsidR="005E5FCC" w:rsidRDefault="00B85904">
            <w:pPr>
              <w:jc w:val="right"/>
            </w:pPr>
            <w:r>
              <w:rPr>
                <w:color w:val="000000"/>
                <w:sz w:val="24"/>
                <w:szCs w:val="24"/>
              </w:rPr>
              <w:t>4.62</w:t>
            </w:r>
          </w:p>
        </w:tc>
        <w:tc>
          <w:tcPr>
            <w:tcW w:w="1424" w:type="dxa"/>
            <w:vAlign w:val="center"/>
          </w:tcPr>
          <w:p w:rsidR="005E5FCC" w:rsidRDefault="00B85904">
            <w:pPr>
              <w:jc w:val="right"/>
            </w:pPr>
            <w:r>
              <w:rPr>
                <w:color w:val="000000"/>
                <w:sz w:val="24"/>
                <w:szCs w:val="24"/>
              </w:rPr>
              <w:t>重大事项</w:t>
            </w:r>
          </w:p>
        </w:tc>
      </w:tr>
      <w:tr w:rsidR="005E5FCC">
        <w:trPr>
          <w:jc w:val="center"/>
        </w:trPr>
        <w:tc>
          <w:tcPr>
            <w:tcW w:w="1129" w:type="dxa"/>
            <w:vAlign w:val="center"/>
          </w:tcPr>
          <w:p w:rsidR="005E5FCC" w:rsidRDefault="00B85904">
            <w:pPr>
              <w:jc w:val="center"/>
            </w:pPr>
            <w:r>
              <w:rPr>
                <w:color w:val="000000"/>
                <w:sz w:val="24"/>
                <w:szCs w:val="24"/>
              </w:rPr>
              <w:t>2</w:t>
            </w:r>
          </w:p>
        </w:tc>
        <w:tc>
          <w:tcPr>
            <w:tcW w:w="1356" w:type="dxa"/>
            <w:vAlign w:val="center"/>
          </w:tcPr>
          <w:p w:rsidR="005E5FCC" w:rsidRDefault="00B85904">
            <w:pPr>
              <w:jc w:val="center"/>
            </w:pPr>
            <w:r>
              <w:rPr>
                <w:color w:val="000000"/>
                <w:sz w:val="24"/>
                <w:szCs w:val="24"/>
              </w:rPr>
              <w:t>300226</w:t>
            </w:r>
          </w:p>
        </w:tc>
        <w:tc>
          <w:tcPr>
            <w:tcW w:w="1355" w:type="dxa"/>
            <w:vAlign w:val="center"/>
          </w:tcPr>
          <w:p w:rsidR="005E5FCC" w:rsidRDefault="00B85904">
            <w:pPr>
              <w:jc w:val="center"/>
            </w:pPr>
            <w:r>
              <w:rPr>
                <w:color w:val="000000"/>
                <w:sz w:val="24"/>
                <w:szCs w:val="24"/>
              </w:rPr>
              <w:t>上海钢联</w:t>
            </w:r>
          </w:p>
        </w:tc>
        <w:tc>
          <w:tcPr>
            <w:tcW w:w="1880" w:type="dxa"/>
            <w:vAlign w:val="center"/>
          </w:tcPr>
          <w:p w:rsidR="005E5FCC" w:rsidRDefault="00B85904">
            <w:pPr>
              <w:jc w:val="right"/>
            </w:pPr>
            <w:r>
              <w:rPr>
                <w:color w:val="000000"/>
                <w:sz w:val="24"/>
                <w:szCs w:val="24"/>
              </w:rPr>
              <w:t>80,511,678.15</w:t>
            </w:r>
          </w:p>
        </w:tc>
        <w:tc>
          <w:tcPr>
            <w:tcW w:w="1724" w:type="dxa"/>
            <w:vAlign w:val="center"/>
          </w:tcPr>
          <w:p w:rsidR="005E5FCC" w:rsidRDefault="00B85904">
            <w:pPr>
              <w:jc w:val="right"/>
            </w:pPr>
            <w:r>
              <w:rPr>
                <w:color w:val="000000"/>
                <w:sz w:val="24"/>
                <w:szCs w:val="24"/>
              </w:rPr>
              <w:t>3.08</w:t>
            </w:r>
          </w:p>
        </w:tc>
        <w:tc>
          <w:tcPr>
            <w:tcW w:w="1424" w:type="dxa"/>
            <w:vAlign w:val="center"/>
          </w:tcPr>
          <w:p w:rsidR="005E5FCC" w:rsidRDefault="00B85904">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3,255,921,412.52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53,069,906.31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45,822,609.85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3,263,168,708.98</w:t>
            </w:r>
          </w:p>
        </w:tc>
      </w:tr>
    </w:tbl>
    <w:p w:rsidR="005E5FCC" w:rsidRDefault="00B8590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0D1EF5"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0.73</w:t>
            </w:r>
          </w:p>
        </w:tc>
      </w:tr>
    </w:tbl>
    <w:p w:rsidR="005E5FCC" w:rsidRDefault="00B859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E5FCC" w:rsidRDefault="00B8590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E5FCC" w:rsidRDefault="00B8590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E5FCC" w:rsidRDefault="00B8590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40" w:rsidRDefault="00676040" w:rsidP="00876D65">
      <w:r>
        <w:separator/>
      </w:r>
    </w:p>
  </w:endnote>
  <w:endnote w:type="continuationSeparator" w:id="0">
    <w:p w:rsidR="00676040" w:rsidRDefault="0067604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A858E0">
      <w:rPr>
        <w:noProof/>
        <w:kern w:val="0"/>
        <w:szCs w:val="21"/>
      </w:rPr>
      <w:t>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A858E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40" w:rsidRDefault="00676040" w:rsidP="00876D65">
      <w:r>
        <w:separator/>
      </w:r>
    </w:p>
  </w:footnote>
  <w:footnote w:type="continuationSeparator" w:id="0">
    <w:p w:rsidR="00676040" w:rsidRDefault="0067604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1EF5"/>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E5FCC"/>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40"/>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4A8C"/>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0C76"/>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58E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5904"/>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0F48"/>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53DA-6591-485C-B12A-77E2535E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12</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2016-04-19T02:58:00Z</dcterms:modified>
</cp:coreProperties>
</file>