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C518E" w:rsidRDefault="0055507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C518E" w:rsidRDefault="0055507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C518E" w:rsidRDefault="0055507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C518E" w:rsidRDefault="0055507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C518E" w:rsidRDefault="0055507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2,530,177,229.94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64170" w:rsidRPr="00414345" w:rsidTr="0096417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64170" w:rsidRPr="00414345" w:rsidTr="009641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-293,012,910.93</w:t>
            </w:r>
          </w:p>
        </w:tc>
      </w:tr>
      <w:tr w:rsidR="00964170" w:rsidRPr="00414345" w:rsidTr="009641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-617,180,805.58</w:t>
            </w:r>
          </w:p>
        </w:tc>
      </w:tr>
      <w:tr w:rsidR="00964170" w:rsidRPr="00414345" w:rsidTr="009641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997FB0">
            <w:pPr>
              <w:adjustRightInd w:val="0"/>
              <w:spacing w:before="29" w:line="288" w:lineRule="auto"/>
              <w:ind w:left="17"/>
              <w:jc w:val="right"/>
              <w:rPr>
                <w:color w:val="000000"/>
                <w:sz w:val="24"/>
                <w:szCs w:val="24"/>
              </w:rPr>
            </w:pPr>
            <w:r w:rsidRPr="00414345">
              <w:rPr>
                <w:color w:val="000000"/>
                <w:sz w:val="24"/>
                <w:szCs w:val="24"/>
              </w:rPr>
              <w:t>-0.</w:t>
            </w:r>
            <w:r w:rsidR="00997FB0" w:rsidRPr="00414345">
              <w:rPr>
                <w:color w:val="000000"/>
                <w:sz w:val="24"/>
                <w:szCs w:val="24"/>
              </w:rPr>
              <w:t>26</w:t>
            </w:r>
            <w:r w:rsidR="00997FB0">
              <w:rPr>
                <w:color w:val="000000"/>
                <w:sz w:val="24"/>
                <w:szCs w:val="24"/>
              </w:rPr>
              <w:t>47</w:t>
            </w:r>
          </w:p>
        </w:tc>
      </w:tr>
      <w:tr w:rsidR="00964170" w:rsidRPr="00414345" w:rsidTr="009641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2,732,125,644.64</w:t>
            </w:r>
          </w:p>
        </w:tc>
      </w:tr>
      <w:tr w:rsidR="00964170" w:rsidRPr="00414345" w:rsidTr="0096417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1.0798</w:t>
            </w:r>
          </w:p>
        </w:tc>
      </w:tr>
    </w:tbl>
    <w:p w:rsidR="00BC518E" w:rsidRDefault="0055507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0811A0">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C518E">
        <w:trPr>
          <w:jc w:val="center"/>
        </w:trPr>
        <w:tc>
          <w:tcPr>
            <w:tcW w:w="1701" w:type="dxa"/>
            <w:vAlign w:val="center"/>
          </w:tcPr>
          <w:p w:rsidR="00BC518E" w:rsidRDefault="00555078">
            <w:pPr>
              <w:jc w:val="left"/>
            </w:pPr>
            <w:r>
              <w:rPr>
                <w:color w:val="000000"/>
                <w:sz w:val="24"/>
                <w:szCs w:val="24"/>
              </w:rPr>
              <w:t>过去三个月</w:t>
            </w:r>
          </w:p>
        </w:tc>
        <w:tc>
          <w:tcPr>
            <w:tcW w:w="1045" w:type="dxa"/>
            <w:vAlign w:val="center"/>
          </w:tcPr>
          <w:p w:rsidR="00BC518E" w:rsidRDefault="00555078">
            <w:pPr>
              <w:jc w:val="center"/>
            </w:pPr>
            <w:r>
              <w:rPr>
                <w:color w:val="000000"/>
                <w:sz w:val="24"/>
                <w:szCs w:val="24"/>
              </w:rPr>
              <w:t>-18.27%</w:t>
            </w:r>
          </w:p>
        </w:tc>
        <w:tc>
          <w:tcPr>
            <w:tcW w:w="1344" w:type="dxa"/>
            <w:vAlign w:val="center"/>
          </w:tcPr>
          <w:p w:rsidR="00BC518E" w:rsidRDefault="00555078">
            <w:pPr>
              <w:jc w:val="center"/>
            </w:pPr>
            <w:r>
              <w:rPr>
                <w:color w:val="000000"/>
                <w:sz w:val="24"/>
                <w:szCs w:val="24"/>
              </w:rPr>
              <w:t>2.16%</w:t>
            </w:r>
          </w:p>
        </w:tc>
        <w:tc>
          <w:tcPr>
            <w:tcW w:w="1194" w:type="dxa"/>
            <w:vAlign w:val="center"/>
          </w:tcPr>
          <w:p w:rsidR="00BC518E" w:rsidRDefault="00555078">
            <w:pPr>
              <w:jc w:val="center"/>
            </w:pPr>
            <w:r>
              <w:rPr>
                <w:color w:val="000000"/>
                <w:sz w:val="24"/>
                <w:szCs w:val="24"/>
              </w:rPr>
              <w:t>-9.95%</w:t>
            </w:r>
          </w:p>
        </w:tc>
        <w:tc>
          <w:tcPr>
            <w:tcW w:w="1492" w:type="dxa"/>
            <w:vAlign w:val="center"/>
          </w:tcPr>
          <w:p w:rsidR="00BC518E" w:rsidRDefault="00555078">
            <w:pPr>
              <w:jc w:val="center"/>
            </w:pPr>
            <w:r>
              <w:rPr>
                <w:color w:val="000000"/>
                <w:sz w:val="24"/>
                <w:szCs w:val="24"/>
              </w:rPr>
              <w:t>1.73%</w:t>
            </w:r>
          </w:p>
        </w:tc>
        <w:tc>
          <w:tcPr>
            <w:tcW w:w="1194" w:type="dxa"/>
            <w:vAlign w:val="center"/>
          </w:tcPr>
          <w:p w:rsidR="00BC518E" w:rsidRDefault="00555078">
            <w:pPr>
              <w:jc w:val="center"/>
            </w:pPr>
            <w:r>
              <w:rPr>
                <w:color w:val="000000"/>
                <w:sz w:val="24"/>
                <w:szCs w:val="24"/>
              </w:rPr>
              <w:t>-8.32%</w:t>
            </w:r>
          </w:p>
        </w:tc>
        <w:tc>
          <w:tcPr>
            <w:tcW w:w="898" w:type="dxa"/>
            <w:vAlign w:val="center"/>
          </w:tcPr>
          <w:p w:rsidR="00BC518E" w:rsidRDefault="00555078">
            <w:pPr>
              <w:jc w:val="center"/>
            </w:pPr>
            <w:r>
              <w:rPr>
                <w:color w:val="000000"/>
                <w:sz w:val="24"/>
                <w:szCs w:val="24"/>
              </w:rPr>
              <w:t>0.43%</w:t>
            </w:r>
          </w:p>
        </w:tc>
      </w:tr>
    </w:tbl>
    <w:p w:rsidR="000811A0" w:rsidRPr="002A40C6" w:rsidRDefault="000811A0" w:rsidP="000811A0">
      <w:pPr>
        <w:tabs>
          <w:tab w:val="left" w:pos="426"/>
        </w:tabs>
        <w:spacing w:before="29" w:line="288" w:lineRule="auto"/>
        <w:jc w:val="left"/>
        <w:rPr>
          <w:rFonts w:ascii="宋体" w:hAnsi="宋体"/>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0811A0" w:rsidRPr="002A40C6" w:rsidRDefault="000811A0" w:rsidP="000811A0">
      <w:pPr>
        <w:tabs>
          <w:tab w:val="left" w:pos="426"/>
        </w:tabs>
        <w:spacing w:before="29" w:line="288" w:lineRule="auto"/>
        <w:jc w:val="left"/>
        <w:rPr>
          <w:rFonts w:ascii="宋体" w:hAnsi="宋体"/>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4061AC" w:rsidRPr="000811A0"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C518E">
        <w:trPr>
          <w:jc w:val="center"/>
        </w:trPr>
        <w:tc>
          <w:tcPr>
            <w:tcW w:w="846" w:type="dxa"/>
            <w:vAlign w:val="center"/>
          </w:tcPr>
          <w:p w:rsidR="00BC518E" w:rsidRDefault="00555078">
            <w:pPr>
              <w:jc w:val="center"/>
            </w:pPr>
            <w:r>
              <w:rPr>
                <w:color w:val="000000"/>
                <w:sz w:val="24"/>
                <w:szCs w:val="24"/>
              </w:rPr>
              <w:t>唐倩</w:t>
            </w:r>
          </w:p>
        </w:tc>
        <w:tc>
          <w:tcPr>
            <w:tcW w:w="845" w:type="dxa"/>
            <w:vAlign w:val="center"/>
          </w:tcPr>
          <w:p w:rsidR="00BC518E" w:rsidRDefault="00555078">
            <w:pPr>
              <w:jc w:val="center"/>
            </w:pPr>
            <w:r>
              <w:rPr>
                <w:color w:val="000000"/>
                <w:sz w:val="24"/>
                <w:szCs w:val="24"/>
              </w:rPr>
              <w:t>交银稳健配置混合的基金经理、公司首席基金经理</w:t>
            </w:r>
          </w:p>
        </w:tc>
        <w:tc>
          <w:tcPr>
            <w:tcW w:w="1549" w:type="dxa"/>
            <w:vAlign w:val="center"/>
          </w:tcPr>
          <w:p w:rsidR="00BC518E" w:rsidRDefault="00555078">
            <w:pPr>
              <w:jc w:val="center"/>
            </w:pPr>
            <w:r>
              <w:rPr>
                <w:color w:val="000000"/>
                <w:sz w:val="24"/>
                <w:szCs w:val="24"/>
              </w:rPr>
              <w:t>2013-12-12</w:t>
            </w:r>
          </w:p>
        </w:tc>
        <w:tc>
          <w:tcPr>
            <w:tcW w:w="1548" w:type="dxa"/>
            <w:vAlign w:val="center"/>
          </w:tcPr>
          <w:p w:rsidR="00BC518E" w:rsidRDefault="00555078">
            <w:pPr>
              <w:jc w:val="center"/>
            </w:pPr>
            <w:r>
              <w:rPr>
                <w:color w:val="000000"/>
                <w:sz w:val="24"/>
                <w:szCs w:val="24"/>
              </w:rPr>
              <w:t>-</w:t>
            </w:r>
          </w:p>
        </w:tc>
        <w:tc>
          <w:tcPr>
            <w:tcW w:w="1407" w:type="dxa"/>
            <w:vAlign w:val="center"/>
          </w:tcPr>
          <w:p w:rsidR="00BC518E" w:rsidRDefault="00555078">
            <w:pPr>
              <w:jc w:val="center"/>
            </w:pPr>
            <w:r>
              <w:rPr>
                <w:color w:val="000000"/>
                <w:sz w:val="24"/>
                <w:szCs w:val="24"/>
              </w:rPr>
              <w:t>16</w:t>
            </w:r>
            <w:r>
              <w:rPr>
                <w:color w:val="000000"/>
                <w:sz w:val="24"/>
                <w:szCs w:val="24"/>
              </w:rPr>
              <w:t>年</w:t>
            </w:r>
          </w:p>
        </w:tc>
        <w:tc>
          <w:tcPr>
            <w:tcW w:w="2673" w:type="dxa"/>
            <w:vAlign w:val="center"/>
          </w:tcPr>
          <w:p w:rsidR="00BC518E" w:rsidRDefault="00555078">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年加入交银施罗德基金管理有限公司，历任权益部副总经理。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C518E" w:rsidRDefault="0055507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C518E" w:rsidRDefault="0055507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C518E" w:rsidRDefault="0055507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675173" w:rsidRPr="00675173" w:rsidRDefault="00675173" w:rsidP="00C15CAC">
      <w:pPr>
        <w:spacing w:before="29" w:line="288" w:lineRule="auto"/>
        <w:ind w:firstLineChars="200" w:firstLine="480"/>
        <w:rPr>
          <w:rFonts w:hint="eastAsia"/>
          <w:color w:val="000000"/>
          <w:sz w:val="24"/>
          <w:szCs w:val="24"/>
        </w:rPr>
      </w:pPr>
      <w:bookmarkStart w:id="0" w:name="_GoBack"/>
      <w:bookmarkEnd w:id="0"/>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C518E" w:rsidRDefault="00555078">
      <w:pPr>
        <w:spacing w:before="29" w:line="288" w:lineRule="auto"/>
        <w:ind w:firstLineChars="200" w:firstLine="480"/>
        <w:rPr>
          <w:color w:val="000000"/>
          <w:sz w:val="24"/>
          <w:szCs w:val="24"/>
        </w:rPr>
      </w:pPr>
      <w:r>
        <w:rPr>
          <w:color w:val="000000"/>
          <w:sz w:val="24"/>
          <w:szCs w:val="24"/>
        </w:rPr>
        <w:t>2016</w:t>
      </w:r>
      <w:r>
        <w:rPr>
          <w:color w:val="000000"/>
          <w:sz w:val="24"/>
          <w:szCs w:val="24"/>
        </w:rPr>
        <w:t>年新年伊始，国内市场在年初的人民币贬值、油价暴跌、美联储加息等消息的困扰下，大幅低开。加上熔断机制的助跌作用，大小盘都出现同样的暴跌。不确定因素持续到</w:t>
      </w:r>
      <w:r>
        <w:rPr>
          <w:color w:val="000000"/>
          <w:sz w:val="24"/>
          <w:szCs w:val="24"/>
        </w:rPr>
        <w:t>2</w:t>
      </w:r>
      <w:r>
        <w:rPr>
          <w:color w:val="000000"/>
          <w:sz w:val="24"/>
          <w:szCs w:val="24"/>
        </w:rPr>
        <w:t>月末。随后，国内出现地产政策回暖，宽松货币政策带来的地产销量明显复苏，开工加快使得实体经济出现补库存，</w:t>
      </w:r>
      <w:r>
        <w:rPr>
          <w:color w:val="000000"/>
          <w:sz w:val="24"/>
          <w:szCs w:val="24"/>
        </w:rPr>
        <w:t>PMI</w:t>
      </w:r>
      <w:r>
        <w:rPr>
          <w:color w:val="000000"/>
          <w:sz w:val="24"/>
          <w:szCs w:val="24"/>
        </w:rPr>
        <w:t>出现小幅反弹。同时，联储鸽派力量导致资本市场风险偏好回升，油价和周边市场反弹较强，加之国内股票市场注册制推行放缓和战新板的推行短期无望，小盘股的风险偏好也明显回升。</w:t>
      </w:r>
    </w:p>
    <w:p w:rsidR="00BC518E" w:rsidRDefault="00555078">
      <w:pPr>
        <w:spacing w:before="29" w:line="288" w:lineRule="auto"/>
        <w:ind w:firstLineChars="200" w:firstLine="480"/>
        <w:rPr>
          <w:color w:val="000000"/>
          <w:sz w:val="24"/>
          <w:szCs w:val="24"/>
        </w:rPr>
      </w:pPr>
      <w:r>
        <w:rPr>
          <w:color w:val="000000"/>
          <w:sz w:val="24"/>
          <w:szCs w:val="24"/>
        </w:rPr>
        <w:t>本基金在</w:t>
      </w:r>
      <w:r>
        <w:rPr>
          <w:color w:val="000000"/>
          <w:sz w:val="24"/>
          <w:szCs w:val="24"/>
        </w:rPr>
        <w:t>2016</w:t>
      </w:r>
      <w:r>
        <w:rPr>
          <w:color w:val="000000"/>
          <w:sz w:val="24"/>
          <w:szCs w:val="24"/>
        </w:rPr>
        <w:t>年年初采取了防御的策略，</w:t>
      </w:r>
      <w:r>
        <w:rPr>
          <w:color w:val="000000"/>
          <w:sz w:val="24"/>
          <w:szCs w:val="24"/>
        </w:rPr>
        <w:t>2015</w:t>
      </w:r>
      <w:r>
        <w:rPr>
          <w:color w:val="000000"/>
          <w:sz w:val="24"/>
          <w:szCs w:val="24"/>
        </w:rPr>
        <w:t>年年底布局的地产等板块有一定超额收益。但整体来看，未能充分把握食品通胀以及新能源车的两大亮点板块。</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展望未来，二季度的不确定因素相对也较高。通胀和房价是负面因素，同时，美国货币以及人民币汇率仍然是负面因素。本基金仍将采取保守的投资策略，考虑业绩增长明确的板块布局。</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1.0798</w:t>
      </w:r>
      <w:r w:rsidRPr="00414345">
        <w:rPr>
          <w:color w:val="000000"/>
          <w:sz w:val="24"/>
          <w:szCs w:val="24"/>
        </w:rPr>
        <w:t>元，本报告期份额净值增长率为</w:t>
      </w:r>
      <w:r w:rsidRPr="00414345">
        <w:rPr>
          <w:color w:val="000000"/>
          <w:sz w:val="24"/>
          <w:szCs w:val="24"/>
        </w:rPr>
        <w:t>-18.27%</w:t>
      </w:r>
      <w:r w:rsidRPr="00414345">
        <w:rPr>
          <w:color w:val="000000"/>
          <w:sz w:val="24"/>
          <w:szCs w:val="24"/>
        </w:rPr>
        <w:t>，同期业绩比较基准增长率为</w:t>
      </w:r>
      <w:r w:rsidRPr="00414345">
        <w:rPr>
          <w:color w:val="000000"/>
          <w:sz w:val="24"/>
          <w:szCs w:val="24"/>
        </w:rPr>
        <w:t>-9.95%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2,066,699,621.27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75.43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2,066,699,621.27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75.43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10,095.27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10,095.27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421,083,371.63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15.37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250,410,657.83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1,830,477.87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2,740,034,223.87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108,608,101.25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1,175,345,833.45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698,533.41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27,215,461.18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103,412,737.75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115,751,445.69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486,536.28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155,172.58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229,845,509.99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1,217,569.09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16,702.67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175,008,166.20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128,270,011.59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667,840.14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2,066,699,621.27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75.64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C518E">
        <w:trPr>
          <w:jc w:val="center"/>
        </w:trPr>
        <w:tc>
          <w:tcPr>
            <w:tcW w:w="855" w:type="dxa"/>
            <w:vAlign w:val="center"/>
          </w:tcPr>
          <w:p w:rsidR="00BC518E" w:rsidRDefault="00555078">
            <w:pPr>
              <w:jc w:val="center"/>
            </w:pPr>
            <w:r>
              <w:rPr>
                <w:color w:val="000000"/>
                <w:sz w:val="24"/>
                <w:szCs w:val="24"/>
              </w:rPr>
              <w:t>1</w:t>
            </w:r>
          </w:p>
        </w:tc>
        <w:tc>
          <w:tcPr>
            <w:tcW w:w="1334" w:type="dxa"/>
            <w:vAlign w:val="center"/>
          </w:tcPr>
          <w:p w:rsidR="00BC518E" w:rsidRDefault="00555078">
            <w:pPr>
              <w:jc w:val="center"/>
            </w:pPr>
            <w:r>
              <w:rPr>
                <w:color w:val="000000"/>
                <w:sz w:val="24"/>
                <w:szCs w:val="24"/>
              </w:rPr>
              <w:t>000538</w:t>
            </w:r>
          </w:p>
        </w:tc>
        <w:tc>
          <w:tcPr>
            <w:tcW w:w="1777" w:type="dxa"/>
            <w:vAlign w:val="center"/>
          </w:tcPr>
          <w:p w:rsidR="00BC518E" w:rsidRDefault="00555078">
            <w:pPr>
              <w:jc w:val="center"/>
            </w:pPr>
            <w:r>
              <w:rPr>
                <w:color w:val="000000"/>
                <w:sz w:val="24"/>
                <w:szCs w:val="24"/>
              </w:rPr>
              <w:t>云南白药</w:t>
            </w:r>
          </w:p>
        </w:tc>
        <w:tc>
          <w:tcPr>
            <w:tcW w:w="1334" w:type="dxa"/>
            <w:vAlign w:val="center"/>
          </w:tcPr>
          <w:p w:rsidR="00BC518E" w:rsidRDefault="00555078">
            <w:pPr>
              <w:jc w:val="right"/>
            </w:pPr>
            <w:r>
              <w:rPr>
                <w:color w:val="000000"/>
                <w:sz w:val="24"/>
                <w:szCs w:val="24"/>
              </w:rPr>
              <w:t>2,983,198</w:t>
            </w:r>
          </w:p>
        </w:tc>
        <w:tc>
          <w:tcPr>
            <w:tcW w:w="1924" w:type="dxa"/>
            <w:vAlign w:val="center"/>
          </w:tcPr>
          <w:p w:rsidR="00BC518E" w:rsidRDefault="00555078">
            <w:pPr>
              <w:jc w:val="right"/>
            </w:pPr>
            <w:r>
              <w:rPr>
                <w:color w:val="000000"/>
                <w:sz w:val="24"/>
                <w:szCs w:val="24"/>
              </w:rPr>
              <w:t>182,870,037.40</w:t>
            </w:r>
          </w:p>
        </w:tc>
        <w:tc>
          <w:tcPr>
            <w:tcW w:w="1644" w:type="dxa"/>
            <w:vAlign w:val="center"/>
          </w:tcPr>
          <w:p w:rsidR="00BC518E" w:rsidRDefault="00555078">
            <w:pPr>
              <w:jc w:val="right"/>
            </w:pPr>
            <w:r>
              <w:rPr>
                <w:color w:val="000000"/>
                <w:sz w:val="24"/>
                <w:szCs w:val="24"/>
              </w:rPr>
              <w:t>6.69</w:t>
            </w:r>
          </w:p>
        </w:tc>
      </w:tr>
      <w:tr w:rsidR="00BC518E">
        <w:trPr>
          <w:jc w:val="center"/>
        </w:trPr>
        <w:tc>
          <w:tcPr>
            <w:tcW w:w="855" w:type="dxa"/>
            <w:vAlign w:val="center"/>
          </w:tcPr>
          <w:p w:rsidR="00BC518E" w:rsidRDefault="00555078">
            <w:pPr>
              <w:jc w:val="center"/>
            </w:pPr>
            <w:r>
              <w:rPr>
                <w:color w:val="000000"/>
                <w:sz w:val="24"/>
                <w:szCs w:val="24"/>
              </w:rPr>
              <w:t>2</w:t>
            </w:r>
          </w:p>
        </w:tc>
        <w:tc>
          <w:tcPr>
            <w:tcW w:w="1334" w:type="dxa"/>
            <w:vAlign w:val="center"/>
          </w:tcPr>
          <w:p w:rsidR="00BC518E" w:rsidRDefault="00555078">
            <w:pPr>
              <w:jc w:val="center"/>
            </w:pPr>
            <w:r>
              <w:rPr>
                <w:color w:val="000000"/>
                <w:sz w:val="24"/>
                <w:szCs w:val="24"/>
              </w:rPr>
              <w:t>600763</w:t>
            </w:r>
          </w:p>
        </w:tc>
        <w:tc>
          <w:tcPr>
            <w:tcW w:w="1777" w:type="dxa"/>
            <w:vAlign w:val="center"/>
          </w:tcPr>
          <w:p w:rsidR="00BC518E" w:rsidRDefault="00555078">
            <w:pPr>
              <w:jc w:val="center"/>
            </w:pPr>
            <w:r>
              <w:rPr>
                <w:color w:val="000000"/>
                <w:sz w:val="24"/>
                <w:szCs w:val="24"/>
              </w:rPr>
              <w:t>通策医疗</w:t>
            </w:r>
          </w:p>
        </w:tc>
        <w:tc>
          <w:tcPr>
            <w:tcW w:w="1334" w:type="dxa"/>
            <w:vAlign w:val="center"/>
          </w:tcPr>
          <w:p w:rsidR="00BC518E" w:rsidRDefault="00555078">
            <w:pPr>
              <w:jc w:val="right"/>
            </w:pPr>
            <w:r>
              <w:rPr>
                <w:color w:val="000000"/>
                <w:sz w:val="24"/>
                <w:szCs w:val="24"/>
              </w:rPr>
              <w:t>5,399,820</w:t>
            </w:r>
          </w:p>
        </w:tc>
        <w:tc>
          <w:tcPr>
            <w:tcW w:w="1924" w:type="dxa"/>
            <w:vAlign w:val="center"/>
          </w:tcPr>
          <w:p w:rsidR="00BC518E" w:rsidRDefault="00555078">
            <w:pPr>
              <w:jc w:val="right"/>
            </w:pPr>
            <w:r>
              <w:rPr>
                <w:color w:val="000000"/>
                <w:sz w:val="24"/>
                <w:szCs w:val="24"/>
              </w:rPr>
              <w:t>175,008,166.20</w:t>
            </w:r>
          </w:p>
        </w:tc>
        <w:tc>
          <w:tcPr>
            <w:tcW w:w="1644" w:type="dxa"/>
            <w:vAlign w:val="center"/>
          </w:tcPr>
          <w:p w:rsidR="00BC518E" w:rsidRDefault="00555078">
            <w:pPr>
              <w:jc w:val="right"/>
            </w:pPr>
            <w:r>
              <w:rPr>
                <w:color w:val="000000"/>
                <w:sz w:val="24"/>
                <w:szCs w:val="24"/>
              </w:rPr>
              <w:t>6.41</w:t>
            </w:r>
          </w:p>
        </w:tc>
      </w:tr>
      <w:tr w:rsidR="00BC518E">
        <w:trPr>
          <w:jc w:val="center"/>
        </w:trPr>
        <w:tc>
          <w:tcPr>
            <w:tcW w:w="855" w:type="dxa"/>
            <w:vAlign w:val="center"/>
          </w:tcPr>
          <w:p w:rsidR="00BC518E" w:rsidRDefault="00555078">
            <w:pPr>
              <w:jc w:val="center"/>
            </w:pPr>
            <w:r>
              <w:rPr>
                <w:color w:val="000000"/>
                <w:sz w:val="24"/>
                <w:szCs w:val="24"/>
              </w:rPr>
              <w:t>3</w:t>
            </w:r>
          </w:p>
        </w:tc>
        <w:tc>
          <w:tcPr>
            <w:tcW w:w="1334" w:type="dxa"/>
            <w:vAlign w:val="center"/>
          </w:tcPr>
          <w:p w:rsidR="00BC518E" w:rsidRDefault="00555078">
            <w:pPr>
              <w:jc w:val="center"/>
            </w:pPr>
            <w:r>
              <w:rPr>
                <w:color w:val="000000"/>
                <w:sz w:val="24"/>
                <w:szCs w:val="24"/>
              </w:rPr>
              <w:t>600622</w:t>
            </w:r>
          </w:p>
        </w:tc>
        <w:tc>
          <w:tcPr>
            <w:tcW w:w="1777" w:type="dxa"/>
            <w:vAlign w:val="center"/>
          </w:tcPr>
          <w:p w:rsidR="00BC518E" w:rsidRDefault="00555078">
            <w:pPr>
              <w:jc w:val="center"/>
            </w:pPr>
            <w:r>
              <w:rPr>
                <w:color w:val="000000"/>
                <w:sz w:val="24"/>
                <w:szCs w:val="24"/>
              </w:rPr>
              <w:t>嘉宝集团</w:t>
            </w:r>
          </w:p>
        </w:tc>
        <w:tc>
          <w:tcPr>
            <w:tcW w:w="1334" w:type="dxa"/>
            <w:vAlign w:val="center"/>
          </w:tcPr>
          <w:p w:rsidR="00BC518E" w:rsidRDefault="00555078">
            <w:pPr>
              <w:jc w:val="right"/>
            </w:pPr>
            <w:r>
              <w:rPr>
                <w:color w:val="000000"/>
                <w:sz w:val="24"/>
                <w:szCs w:val="24"/>
              </w:rPr>
              <w:t>11,417,699</w:t>
            </w:r>
          </w:p>
        </w:tc>
        <w:tc>
          <w:tcPr>
            <w:tcW w:w="1924" w:type="dxa"/>
            <w:vAlign w:val="center"/>
          </w:tcPr>
          <w:p w:rsidR="00BC518E" w:rsidRDefault="00555078">
            <w:pPr>
              <w:jc w:val="right"/>
            </w:pPr>
            <w:r>
              <w:rPr>
                <w:color w:val="000000"/>
                <w:sz w:val="24"/>
                <w:szCs w:val="24"/>
              </w:rPr>
              <w:t>149,000,971.95</w:t>
            </w:r>
          </w:p>
        </w:tc>
        <w:tc>
          <w:tcPr>
            <w:tcW w:w="1644" w:type="dxa"/>
            <w:vAlign w:val="center"/>
          </w:tcPr>
          <w:p w:rsidR="00BC518E" w:rsidRDefault="00555078">
            <w:pPr>
              <w:jc w:val="right"/>
            </w:pPr>
            <w:r>
              <w:rPr>
                <w:color w:val="000000"/>
                <w:sz w:val="24"/>
                <w:szCs w:val="24"/>
              </w:rPr>
              <w:t>5.45</w:t>
            </w:r>
          </w:p>
        </w:tc>
      </w:tr>
      <w:tr w:rsidR="00BC518E">
        <w:trPr>
          <w:jc w:val="center"/>
        </w:trPr>
        <w:tc>
          <w:tcPr>
            <w:tcW w:w="855" w:type="dxa"/>
            <w:vAlign w:val="center"/>
          </w:tcPr>
          <w:p w:rsidR="00BC518E" w:rsidRDefault="00555078">
            <w:pPr>
              <w:jc w:val="center"/>
            </w:pPr>
            <w:r>
              <w:rPr>
                <w:color w:val="000000"/>
                <w:sz w:val="24"/>
                <w:szCs w:val="24"/>
              </w:rPr>
              <w:t>4</w:t>
            </w:r>
          </w:p>
        </w:tc>
        <w:tc>
          <w:tcPr>
            <w:tcW w:w="1334" w:type="dxa"/>
            <w:vAlign w:val="center"/>
          </w:tcPr>
          <w:p w:rsidR="00BC518E" w:rsidRDefault="00555078">
            <w:pPr>
              <w:jc w:val="center"/>
            </w:pPr>
            <w:r>
              <w:rPr>
                <w:color w:val="000000"/>
                <w:sz w:val="24"/>
                <w:szCs w:val="24"/>
              </w:rPr>
              <w:t>600521</w:t>
            </w:r>
          </w:p>
        </w:tc>
        <w:tc>
          <w:tcPr>
            <w:tcW w:w="1777" w:type="dxa"/>
            <w:vAlign w:val="center"/>
          </w:tcPr>
          <w:p w:rsidR="00BC518E" w:rsidRDefault="00555078">
            <w:pPr>
              <w:jc w:val="center"/>
            </w:pPr>
            <w:r>
              <w:rPr>
                <w:color w:val="000000"/>
                <w:sz w:val="24"/>
                <w:szCs w:val="24"/>
              </w:rPr>
              <w:t>华海药业</w:t>
            </w:r>
          </w:p>
        </w:tc>
        <w:tc>
          <w:tcPr>
            <w:tcW w:w="1334" w:type="dxa"/>
            <w:vAlign w:val="center"/>
          </w:tcPr>
          <w:p w:rsidR="00BC518E" w:rsidRDefault="00555078">
            <w:pPr>
              <w:jc w:val="right"/>
            </w:pPr>
            <w:r>
              <w:rPr>
                <w:color w:val="000000"/>
                <w:sz w:val="24"/>
                <w:szCs w:val="24"/>
              </w:rPr>
              <w:t>5,126,550</w:t>
            </w:r>
          </w:p>
        </w:tc>
        <w:tc>
          <w:tcPr>
            <w:tcW w:w="1924" w:type="dxa"/>
            <w:vAlign w:val="center"/>
          </w:tcPr>
          <w:p w:rsidR="00BC518E" w:rsidRDefault="00555078">
            <w:pPr>
              <w:jc w:val="right"/>
            </w:pPr>
            <w:r>
              <w:rPr>
                <w:color w:val="000000"/>
                <w:sz w:val="24"/>
                <w:szCs w:val="24"/>
              </w:rPr>
              <w:t>133,597,893.00</w:t>
            </w:r>
          </w:p>
        </w:tc>
        <w:tc>
          <w:tcPr>
            <w:tcW w:w="1644" w:type="dxa"/>
            <w:vAlign w:val="center"/>
          </w:tcPr>
          <w:p w:rsidR="00BC518E" w:rsidRDefault="00555078">
            <w:pPr>
              <w:jc w:val="right"/>
            </w:pPr>
            <w:r>
              <w:rPr>
                <w:color w:val="000000"/>
                <w:sz w:val="24"/>
                <w:szCs w:val="24"/>
              </w:rPr>
              <w:t>4.89</w:t>
            </w:r>
          </w:p>
        </w:tc>
      </w:tr>
      <w:tr w:rsidR="00BC518E">
        <w:trPr>
          <w:jc w:val="center"/>
        </w:trPr>
        <w:tc>
          <w:tcPr>
            <w:tcW w:w="855" w:type="dxa"/>
            <w:vAlign w:val="center"/>
          </w:tcPr>
          <w:p w:rsidR="00BC518E" w:rsidRDefault="00555078">
            <w:pPr>
              <w:jc w:val="center"/>
            </w:pPr>
            <w:r>
              <w:rPr>
                <w:color w:val="000000"/>
                <w:sz w:val="24"/>
                <w:szCs w:val="24"/>
              </w:rPr>
              <w:t>5</w:t>
            </w:r>
          </w:p>
        </w:tc>
        <w:tc>
          <w:tcPr>
            <w:tcW w:w="1334" w:type="dxa"/>
            <w:vAlign w:val="center"/>
          </w:tcPr>
          <w:p w:rsidR="00BC518E" w:rsidRDefault="00555078">
            <w:pPr>
              <w:jc w:val="center"/>
            </w:pPr>
            <w:r>
              <w:rPr>
                <w:color w:val="000000"/>
                <w:sz w:val="24"/>
                <w:szCs w:val="24"/>
              </w:rPr>
              <w:t>300144</w:t>
            </w:r>
          </w:p>
        </w:tc>
        <w:tc>
          <w:tcPr>
            <w:tcW w:w="1777" w:type="dxa"/>
            <w:vAlign w:val="center"/>
          </w:tcPr>
          <w:p w:rsidR="00BC518E" w:rsidRDefault="00555078">
            <w:pPr>
              <w:jc w:val="center"/>
            </w:pPr>
            <w:r>
              <w:rPr>
                <w:color w:val="000000"/>
                <w:sz w:val="24"/>
                <w:szCs w:val="24"/>
              </w:rPr>
              <w:t>宋城演艺</w:t>
            </w:r>
          </w:p>
        </w:tc>
        <w:tc>
          <w:tcPr>
            <w:tcW w:w="1334" w:type="dxa"/>
            <w:vAlign w:val="center"/>
          </w:tcPr>
          <w:p w:rsidR="00BC518E" w:rsidRDefault="00555078">
            <w:pPr>
              <w:jc w:val="right"/>
            </w:pPr>
            <w:r>
              <w:rPr>
                <w:color w:val="000000"/>
                <w:sz w:val="24"/>
                <w:szCs w:val="24"/>
              </w:rPr>
              <w:t>4,376,461</w:t>
            </w:r>
          </w:p>
        </w:tc>
        <w:tc>
          <w:tcPr>
            <w:tcW w:w="1924" w:type="dxa"/>
            <w:vAlign w:val="center"/>
          </w:tcPr>
          <w:p w:rsidR="00BC518E" w:rsidRDefault="00555078">
            <w:pPr>
              <w:jc w:val="right"/>
            </w:pPr>
            <w:r>
              <w:rPr>
                <w:color w:val="000000"/>
                <w:sz w:val="24"/>
                <w:szCs w:val="24"/>
              </w:rPr>
              <w:t>128,055,248.86</w:t>
            </w:r>
          </w:p>
        </w:tc>
        <w:tc>
          <w:tcPr>
            <w:tcW w:w="1644" w:type="dxa"/>
            <w:vAlign w:val="center"/>
          </w:tcPr>
          <w:p w:rsidR="00BC518E" w:rsidRDefault="00555078">
            <w:pPr>
              <w:jc w:val="right"/>
            </w:pPr>
            <w:r>
              <w:rPr>
                <w:color w:val="000000"/>
                <w:sz w:val="24"/>
                <w:szCs w:val="24"/>
              </w:rPr>
              <w:t>4.69</w:t>
            </w:r>
          </w:p>
        </w:tc>
      </w:tr>
      <w:tr w:rsidR="00BC518E">
        <w:trPr>
          <w:jc w:val="center"/>
        </w:trPr>
        <w:tc>
          <w:tcPr>
            <w:tcW w:w="855" w:type="dxa"/>
            <w:vAlign w:val="center"/>
          </w:tcPr>
          <w:p w:rsidR="00BC518E" w:rsidRDefault="00555078">
            <w:pPr>
              <w:jc w:val="center"/>
            </w:pPr>
            <w:r>
              <w:rPr>
                <w:color w:val="000000"/>
                <w:sz w:val="24"/>
                <w:szCs w:val="24"/>
              </w:rPr>
              <w:t>6</w:t>
            </w:r>
          </w:p>
        </w:tc>
        <w:tc>
          <w:tcPr>
            <w:tcW w:w="1334" w:type="dxa"/>
            <w:vAlign w:val="center"/>
          </w:tcPr>
          <w:p w:rsidR="00BC518E" w:rsidRDefault="00555078">
            <w:pPr>
              <w:jc w:val="center"/>
            </w:pPr>
            <w:r>
              <w:rPr>
                <w:color w:val="000000"/>
                <w:sz w:val="24"/>
                <w:szCs w:val="24"/>
              </w:rPr>
              <w:t>600009</w:t>
            </w:r>
          </w:p>
        </w:tc>
        <w:tc>
          <w:tcPr>
            <w:tcW w:w="1777" w:type="dxa"/>
            <w:vAlign w:val="center"/>
          </w:tcPr>
          <w:p w:rsidR="00BC518E" w:rsidRDefault="00555078">
            <w:pPr>
              <w:jc w:val="center"/>
            </w:pPr>
            <w:r>
              <w:rPr>
                <w:color w:val="000000"/>
                <w:sz w:val="24"/>
                <w:szCs w:val="24"/>
              </w:rPr>
              <w:t>上海机场</w:t>
            </w:r>
          </w:p>
        </w:tc>
        <w:tc>
          <w:tcPr>
            <w:tcW w:w="1334" w:type="dxa"/>
            <w:vAlign w:val="center"/>
          </w:tcPr>
          <w:p w:rsidR="00BC518E" w:rsidRDefault="00555078">
            <w:pPr>
              <w:jc w:val="right"/>
            </w:pPr>
            <w:r>
              <w:rPr>
                <w:color w:val="000000"/>
                <w:sz w:val="24"/>
                <w:szCs w:val="24"/>
              </w:rPr>
              <w:t>3,846,841</w:t>
            </w:r>
          </w:p>
        </w:tc>
        <w:tc>
          <w:tcPr>
            <w:tcW w:w="1924" w:type="dxa"/>
            <w:vAlign w:val="center"/>
          </w:tcPr>
          <w:p w:rsidR="00BC518E" w:rsidRDefault="00555078">
            <w:pPr>
              <w:jc w:val="right"/>
            </w:pPr>
            <w:r>
              <w:rPr>
                <w:color w:val="000000"/>
                <w:sz w:val="24"/>
                <w:szCs w:val="24"/>
              </w:rPr>
              <w:t>115,751,445.69</w:t>
            </w:r>
          </w:p>
        </w:tc>
        <w:tc>
          <w:tcPr>
            <w:tcW w:w="1644" w:type="dxa"/>
            <w:vAlign w:val="center"/>
          </w:tcPr>
          <w:p w:rsidR="00BC518E" w:rsidRDefault="00555078">
            <w:pPr>
              <w:jc w:val="right"/>
            </w:pPr>
            <w:r>
              <w:rPr>
                <w:color w:val="000000"/>
                <w:sz w:val="24"/>
                <w:szCs w:val="24"/>
              </w:rPr>
              <w:t>4.24</w:t>
            </w:r>
          </w:p>
        </w:tc>
      </w:tr>
      <w:tr w:rsidR="00BC518E">
        <w:trPr>
          <w:jc w:val="center"/>
        </w:trPr>
        <w:tc>
          <w:tcPr>
            <w:tcW w:w="855" w:type="dxa"/>
            <w:vAlign w:val="center"/>
          </w:tcPr>
          <w:p w:rsidR="00BC518E" w:rsidRDefault="00555078">
            <w:pPr>
              <w:jc w:val="center"/>
            </w:pPr>
            <w:r>
              <w:rPr>
                <w:color w:val="000000"/>
                <w:sz w:val="24"/>
                <w:szCs w:val="24"/>
              </w:rPr>
              <w:t>7</w:t>
            </w:r>
          </w:p>
        </w:tc>
        <w:tc>
          <w:tcPr>
            <w:tcW w:w="1334" w:type="dxa"/>
            <w:vAlign w:val="center"/>
          </w:tcPr>
          <w:p w:rsidR="00BC518E" w:rsidRDefault="00555078">
            <w:pPr>
              <w:jc w:val="center"/>
            </w:pPr>
            <w:r>
              <w:rPr>
                <w:color w:val="000000"/>
                <w:sz w:val="24"/>
                <w:szCs w:val="24"/>
              </w:rPr>
              <w:t>000625</w:t>
            </w:r>
          </w:p>
        </w:tc>
        <w:tc>
          <w:tcPr>
            <w:tcW w:w="1777" w:type="dxa"/>
            <w:vAlign w:val="center"/>
          </w:tcPr>
          <w:p w:rsidR="00BC518E" w:rsidRDefault="00555078">
            <w:pPr>
              <w:jc w:val="center"/>
            </w:pPr>
            <w:r>
              <w:rPr>
                <w:color w:val="000000"/>
                <w:sz w:val="24"/>
                <w:szCs w:val="24"/>
              </w:rPr>
              <w:t>长安汽车</w:t>
            </w:r>
          </w:p>
        </w:tc>
        <w:tc>
          <w:tcPr>
            <w:tcW w:w="1334" w:type="dxa"/>
            <w:vAlign w:val="center"/>
          </w:tcPr>
          <w:p w:rsidR="00BC518E" w:rsidRDefault="00555078">
            <w:pPr>
              <w:jc w:val="right"/>
            </w:pPr>
            <w:r>
              <w:rPr>
                <w:color w:val="000000"/>
                <w:sz w:val="24"/>
                <w:szCs w:val="24"/>
              </w:rPr>
              <w:t>7,045,493</w:t>
            </w:r>
          </w:p>
        </w:tc>
        <w:tc>
          <w:tcPr>
            <w:tcW w:w="1924" w:type="dxa"/>
            <w:vAlign w:val="center"/>
          </w:tcPr>
          <w:p w:rsidR="00BC518E" w:rsidRDefault="00555078">
            <w:pPr>
              <w:jc w:val="right"/>
            </w:pPr>
            <w:r>
              <w:rPr>
                <w:color w:val="000000"/>
                <w:sz w:val="24"/>
                <w:szCs w:val="24"/>
              </w:rPr>
              <w:t>111,107,424.61</w:t>
            </w:r>
          </w:p>
        </w:tc>
        <w:tc>
          <w:tcPr>
            <w:tcW w:w="1644" w:type="dxa"/>
            <w:vAlign w:val="center"/>
          </w:tcPr>
          <w:p w:rsidR="00BC518E" w:rsidRDefault="00555078">
            <w:pPr>
              <w:jc w:val="right"/>
            </w:pPr>
            <w:r>
              <w:rPr>
                <w:color w:val="000000"/>
                <w:sz w:val="24"/>
                <w:szCs w:val="24"/>
              </w:rPr>
              <w:t>4.07</w:t>
            </w:r>
          </w:p>
        </w:tc>
      </w:tr>
      <w:tr w:rsidR="00BC518E">
        <w:trPr>
          <w:jc w:val="center"/>
        </w:trPr>
        <w:tc>
          <w:tcPr>
            <w:tcW w:w="855" w:type="dxa"/>
            <w:vAlign w:val="center"/>
          </w:tcPr>
          <w:p w:rsidR="00BC518E" w:rsidRDefault="00555078">
            <w:pPr>
              <w:jc w:val="center"/>
            </w:pPr>
            <w:r>
              <w:rPr>
                <w:color w:val="000000"/>
                <w:sz w:val="24"/>
                <w:szCs w:val="24"/>
              </w:rPr>
              <w:t>8</w:t>
            </w:r>
          </w:p>
        </w:tc>
        <w:tc>
          <w:tcPr>
            <w:tcW w:w="1334" w:type="dxa"/>
            <w:vAlign w:val="center"/>
          </w:tcPr>
          <w:p w:rsidR="00BC518E" w:rsidRDefault="00555078">
            <w:pPr>
              <w:jc w:val="center"/>
            </w:pPr>
            <w:r>
              <w:rPr>
                <w:color w:val="000000"/>
                <w:sz w:val="24"/>
                <w:szCs w:val="24"/>
              </w:rPr>
              <w:t>002594</w:t>
            </w:r>
          </w:p>
        </w:tc>
        <w:tc>
          <w:tcPr>
            <w:tcW w:w="1777" w:type="dxa"/>
            <w:vAlign w:val="center"/>
          </w:tcPr>
          <w:p w:rsidR="00BC518E" w:rsidRDefault="00555078">
            <w:pPr>
              <w:jc w:val="center"/>
            </w:pPr>
            <w:r>
              <w:rPr>
                <w:color w:val="000000"/>
                <w:sz w:val="24"/>
                <w:szCs w:val="24"/>
              </w:rPr>
              <w:t>比亚迪</w:t>
            </w:r>
          </w:p>
        </w:tc>
        <w:tc>
          <w:tcPr>
            <w:tcW w:w="1334" w:type="dxa"/>
            <w:vAlign w:val="center"/>
          </w:tcPr>
          <w:p w:rsidR="00BC518E" w:rsidRDefault="00555078">
            <w:pPr>
              <w:jc w:val="right"/>
            </w:pPr>
            <w:r>
              <w:rPr>
                <w:color w:val="000000"/>
                <w:sz w:val="24"/>
                <w:szCs w:val="24"/>
              </w:rPr>
              <w:t>1,717,493</w:t>
            </w:r>
          </w:p>
        </w:tc>
        <w:tc>
          <w:tcPr>
            <w:tcW w:w="1924" w:type="dxa"/>
            <w:vAlign w:val="center"/>
          </w:tcPr>
          <w:p w:rsidR="00BC518E" w:rsidRDefault="00555078">
            <w:pPr>
              <w:jc w:val="right"/>
            </w:pPr>
            <w:r>
              <w:rPr>
                <w:color w:val="000000"/>
                <w:sz w:val="24"/>
                <w:szCs w:val="24"/>
              </w:rPr>
              <w:t>101,005,763.33</w:t>
            </w:r>
          </w:p>
        </w:tc>
        <w:tc>
          <w:tcPr>
            <w:tcW w:w="1644" w:type="dxa"/>
            <w:vAlign w:val="center"/>
          </w:tcPr>
          <w:p w:rsidR="00BC518E" w:rsidRDefault="00555078">
            <w:pPr>
              <w:jc w:val="right"/>
            </w:pPr>
            <w:r>
              <w:rPr>
                <w:color w:val="000000"/>
                <w:sz w:val="24"/>
                <w:szCs w:val="24"/>
              </w:rPr>
              <w:t>3.70</w:t>
            </w:r>
          </w:p>
        </w:tc>
      </w:tr>
      <w:tr w:rsidR="00BC518E">
        <w:trPr>
          <w:jc w:val="center"/>
        </w:trPr>
        <w:tc>
          <w:tcPr>
            <w:tcW w:w="855" w:type="dxa"/>
            <w:vAlign w:val="center"/>
          </w:tcPr>
          <w:p w:rsidR="00BC518E" w:rsidRDefault="00555078">
            <w:pPr>
              <w:jc w:val="center"/>
            </w:pPr>
            <w:r>
              <w:rPr>
                <w:color w:val="000000"/>
                <w:sz w:val="24"/>
                <w:szCs w:val="24"/>
              </w:rPr>
              <w:t>9</w:t>
            </w:r>
          </w:p>
        </w:tc>
        <w:tc>
          <w:tcPr>
            <w:tcW w:w="1334" w:type="dxa"/>
            <w:vAlign w:val="center"/>
          </w:tcPr>
          <w:p w:rsidR="00BC518E" w:rsidRDefault="00555078">
            <w:pPr>
              <w:jc w:val="center"/>
            </w:pPr>
            <w:r>
              <w:rPr>
                <w:color w:val="000000"/>
                <w:sz w:val="24"/>
                <w:szCs w:val="24"/>
              </w:rPr>
              <w:t>000963</w:t>
            </w:r>
          </w:p>
        </w:tc>
        <w:tc>
          <w:tcPr>
            <w:tcW w:w="1777" w:type="dxa"/>
            <w:vAlign w:val="center"/>
          </w:tcPr>
          <w:p w:rsidR="00BC518E" w:rsidRDefault="00555078">
            <w:pPr>
              <w:jc w:val="center"/>
            </w:pPr>
            <w:r>
              <w:rPr>
                <w:color w:val="000000"/>
                <w:sz w:val="24"/>
                <w:szCs w:val="24"/>
              </w:rPr>
              <w:t>华东医药</w:t>
            </w:r>
          </w:p>
        </w:tc>
        <w:tc>
          <w:tcPr>
            <w:tcW w:w="1334" w:type="dxa"/>
            <w:vAlign w:val="center"/>
          </w:tcPr>
          <w:p w:rsidR="00BC518E" w:rsidRDefault="00555078">
            <w:pPr>
              <w:jc w:val="right"/>
            </w:pPr>
            <w:r>
              <w:rPr>
                <w:color w:val="000000"/>
                <w:sz w:val="24"/>
                <w:szCs w:val="24"/>
              </w:rPr>
              <w:t>1,401,203</w:t>
            </w:r>
          </w:p>
        </w:tc>
        <w:tc>
          <w:tcPr>
            <w:tcW w:w="1924" w:type="dxa"/>
            <w:vAlign w:val="center"/>
          </w:tcPr>
          <w:p w:rsidR="00BC518E" w:rsidRDefault="00555078">
            <w:pPr>
              <w:jc w:val="right"/>
            </w:pPr>
            <w:r>
              <w:rPr>
                <w:color w:val="000000"/>
                <w:sz w:val="24"/>
                <w:szCs w:val="24"/>
              </w:rPr>
              <w:t>98,014,149.85</w:t>
            </w:r>
          </w:p>
        </w:tc>
        <w:tc>
          <w:tcPr>
            <w:tcW w:w="1644" w:type="dxa"/>
            <w:vAlign w:val="center"/>
          </w:tcPr>
          <w:p w:rsidR="00BC518E" w:rsidRDefault="00555078">
            <w:pPr>
              <w:jc w:val="right"/>
            </w:pPr>
            <w:r>
              <w:rPr>
                <w:color w:val="000000"/>
                <w:sz w:val="24"/>
                <w:szCs w:val="24"/>
              </w:rPr>
              <w:t>3.59</w:t>
            </w:r>
          </w:p>
        </w:tc>
      </w:tr>
      <w:tr w:rsidR="00BC518E">
        <w:trPr>
          <w:jc w:val="center"/>
        </w:trPr>
        <w:tc>
          <w:tcPr>
            <w:tcW w:w="855" w:type="dxa"/>
            <w:vAlign w:val="center"/>
          </w:tcPr>
          <w:p w:rsidR="00BC518E" w:rsidRDefault="00555078">
            <w:pPr>
              <w:jc w:val="center"/>
            </w:pPr>
            <w:r>
              <w:rPr>
                <w:color w:val="000000"/>
                <w:sz w:val="24"/>
                <w:szCs w:val="24"/>
              </w:rPr>
              <w:t>10</w:t>
            </w:r>
          </w:p>
        </w:tc>
        <w:tc>
          <w:tcPr>
            <w:tcW w:w="1334" w:type="dxa"/>
            <w:vAlign w:val="center"/>
          </w:tcPr>
          <w:p w:rsidR="00BC518E" w:rsidRDefault="00555078">
            <w:pPr>
              <w:jc w:val="center"/>
            </w:pPr>
            <w:r>
              <w:rPr>
                <w:color w:val="000000"/>
                <w:sz w:val="24"/>
                <w:szCs w:val="24"/>
              </w:rPr>
              <w:t>002475</w:t>
            </w:r>
          </w:p>
        </w:tc>
        <w:tc>
          <w:tcPr>
            <w:tcW w:w="1777" w:type="dxa"/>
            <w:vAlign w:val="center"/>
          </w:tcPr>
          <w:p w:rsidR="00BC518E" w:rsidRDefault="00555078">
            <w:pPr>
              <w:jc w:val="center"/>
            </w:pPr>
            <w:r>
              <w:rPr>
                <w:color w:val="000000"/>
                <w:sz w:val="24"/>
                <w:szCs w:val="24"/>
              </w:rPr>
              <w:t>立讯精密</w:t>
            </w:r>
          </w:p>
        </w:tc>
        <w:tc>
          <w:tcPr>
            <w:tcW w:w="1334" w:type="dxa"/>
            <w:vAlign w:val="center"/>
          </w:tcPr>
          <w:p w:rsidR="00BC518E" w:rsidRDefault="00555078">
            <w:pPr>
              <w:jc w:val="right"/>
            </w:pPr>
            <w:r>
              <w:rPr>
                <w:color w:val="000000"/>
                <w:sz w:val="24"/>
                <w:szCs w:val="24"/>
              </w:rPr>
              <w:t>2,916,769</w:t>
            </w:r>
          </w:p>
        </w:tc>
        <w:tc>
          <w:tcPr>
            <w:tcW w:w="1924" w:type="dxa"/>
            <w:vAlign w:val="center"/>
          </w:tcPr>
          <w:p w:rsidR="00BC518E" w:rsidRDefault="00555078">
            <w:pPr>
              <w:jc w:val="right"/>
            </w:pPr>
            <w:r>
              <w:rPr>
                <w:color w:val="000000"/>
                <w:sz w:val="24"/>
                <w:szCs w:val="24"/>
              </w:rPr>
              <w:t>85,315,493.25</w:t>
            </w:r>
          </w:p>
        </w:tc>
        <w:tc>
          <w:tcPr>
            <w:tcW w:w="1644" w:type="dxa"/>
            <w:vAlign w:val="center"/>
          </w:tcPr>
          <w:p w:rsidR="00BC518E" w:rsidRDefault="00555078">
            <w:pPr>
              <w:jc w:val="right"/>
            </w:pPr>
            <w:r>
              <w:rPr>
                <w:color w:val="000000"/>
                <w:sz w:val="24"/>
                <w:szCs w:val="24"/>
              </w:rPr>
              <w:t>3.12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10,095.27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10,095.27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C518E">
        <w:trPr>
          <w:jc w:val="center"/>
        </w:trPr>
        <w:tc>
          <w:tcPr>
            <w:tcW w:w="850" w:type="dxa"/>
            <w:vAlign w:val="center"/>
          </w:tcPr>
          <w:p w:rsidR="00BC518E" w:rsidRDefault="00555078">
            <w:pPr>
              <w:jc w:val="center"/>
            </w:pPr>
            <w:r>
              <w:rPr>
                <w:color w:val="000000"/>
                <w:sz w:val="24"/>
                <w:szCs w:val="24"/>
              </w:rPr>
              <w:t>1</w:t>
            </w:r>
          </w:p>
        </w:tc>
        <w:tc>
          <w:tcPr>
            <w:tcW w:w="1475" w:type="dxa"/>
            <w:vAlign w:val="center"/>
          </w:tcPr>
          <w:p w:rsidR="00BC518E" w:rsidRDefault="00555078">
            <w:pPr>
              <w:jc w:val="center"/>
            </w:pPr>
            <w:r>
              <w:rPr>
                <w:color w:val="000000"/>
                <w:sz w:val="24"/>
                <w:szCs w:val="24"/>
              </w:rPr>
              <w:t>123001</w:t>
            </w:r>
          </w:p>
        </w:tc>
        <w:tc>
          <w:tcPr>
            <w:tcW w:w="1769" w:type="dxa"/>
            <w:vAlign w:val="center"/>
          </w:tcPr>
          <w:p w:rsidR="00BC518E" w:rsidRDefault="00555078">
            <w:pPr>
              <w:jc w:val="center"/>
            </w:pPr>
            <w:r>
              <w:rPr>
                <w:color w:val="000000"/>
                <w:sz w:val="24"/>
                <w:szCs w:val="24"/>
              </w:rPr>
              <w:t>蓝标转债</w:t>
            </w:r>
          </w:p>
        </w:tc>
        <w:tc>
          <w:tcPr>
            <w:tcW w:w="1387" w:type="dxa"/>
            <w:vAlign w:val="center"/>
          </w:tcPr>
          <w:p w:rsidR="00BC518E" w:rsidRDefault="00555078">
            <w:pPr>
              <w:jc w:val="right"/>
            </w:pPr>
            <w:r>
              <w:rPr>
                <w:color w:val="000000"/>
                <w:sz w:val="24"/>
                <w:szCs w:val="24"/>
              </w:rPr>
              <w:t>89</w:t>
            </w:r>
          </w:p>
        </w:tc>
        <w:tc>
          <w:tcPr>
            <w:tcW w:w="2150" w:type="dxa"/>
            <w:vAlign w:val="center"/>
          </w:tcPr>
          <w:p w:rsidR="00BC518E" w:rsidRDefault="00555078">
            <w:pPr>
              <w:jc w:val="right"/>
            </w:pPr>
            <w:r>
              <w:rPr>
                <w:color w:val="000000"/>
                <w:sz w:val="24"/>
                <w:szCs w:val="24"/>
              </w:rPr>
              <w:t>10,095.27</w:t>
            </w:r>
          </w:p>
        </w:tc>
        <w:tc>
          <w:tcPr>
            <w:tcW w:w="1237" w:type="dxa"/>
            <w:vAlign w:val="center"/>
          </w:tcPr>
          <w:p w:rsidR="00BC518E" w:rsidRDefault="00555078">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报告期内本基金投资的前十名证券的发行主体除华海药业（证券代码：</w:t>
      </w:r>
      <w:r w:rsidRPr="00BE5388">
        <w:rPr>
          <w:bCs/>
          <w:color w:val="000000"/>
          <w:kern w:val="0"/>
          <w:sz w:val="24"/>
          <w:szCs w:val="24"/>
        </w:rPr>
        <w:t>600521</w:t>
      </w:r>
      <w:r w:rsidRPr="00BE5388">
        <w:rPr>
          <w:bCs/>
          <w:color w:val="000000"/>
          <w:kern w:val="0"/>
          <w:sz w:val="24"/>
          <w:szCs w:val="24"/>
        </w:rPr>
        <w:t>）外，未出现被监管部门立案调查，或在报告编制日前一年内受到公开谴责、处罚的情形。</w:t>
      </w:r>
    </w:p>
    <w:p w:rsidR="00BC518E" w:rsidRDefault="00555078">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报告期内本基金投资的前十名证券之一华海药业（证券代码：</w:t>
      </w:r>
      <w:r>
        <w:rPr>
          <w:bCs/>
          <w:color w:val="000000"/>
          <w:kern w:val="0"/>
          <w:sz w:val="24"/>
          <w:szCs w:val="24"/>
        </w:rPr>
        <w:t>600521</w:t>
      </w:r>
      <w:r>
        <w:rPr>
          <w:bCs/>
          <w:color w:val="000000"/>
          <w:kern w:val="0"/>
          <w:sz w:val="24"/>
          <w:szCs w:val="24"/>
        </w:rPr>
        <w:t>）于</w:t>
      </w:r>
      <w:r>
        <w:rPr>
          <w:bCs/>
          <w:color w:val="000000"/>
          <w:kern w:val="0"/>
          <w:sz w:val="24"/>
          <w:szCs w:val="24"/>
        </w:rPr>
        <w:t>2015</w:t>
      </w:r>
      <w:r>
        <w:rPr>
          <w:bCs/>
          <w:color w:val="000000"/>
          <w:kern w:val="0"/>
          <w:sz w:val="24"/>
          <w:szCs w:val="24"/>
        </w:rPr>
        <w:t>年</w:t>
      </w:r>
      <w:r>
        <w:rPr>
          <w:bCs/>
          <w:color w:val="000000"/>
          <w:kern w:val="0"/>
          <w:sz w:val="24"/>
          <w:szCs w:val="24"/>
        </w:rPr>
        <w:t>6</w:t>
      </w:r>
      <w:r>
        <w:rPr>
          <w:bCs/>
          <w:color w:val="000000"/>
          <w:kern w:val="0"/>
          <w:sz w:val="24"/>
          <w:szCs w:val="24"/>
        </w:rPr>
        <w:t>月</w:t>
      </w:r>
      <w:r>
        <w:rPr>
          <w:bCs/>
          <w:color w:val="000000"/>
          <w:kern w:val="0"/>
          <w:sz w:val="24"/>
          <w:szCs w:val="24"/>
        </w:rPr>
        <w:t>10</w:t>
      </w:r>
      <w:r>
        <w:rPr>
          <w:bCs/>
          <w:color w:val="000000"/>
          <w:kern w:val="0"/>
          <w:sz w:val="24"/>
          <w:szCs w:val="24"/>
        </w:rPr>
        <w:t>日因项目未经环评批复先行建设被临海市环境保护局以临环罚字［</w:t>
      </w:r>
      <w:r>
        <w:rPr>
          <w:bCs/>
          <w:color w:val="000000"/>
          <w:kern w:val="0"/>
          <w:sz w:val="24"/>
          <w:szCs w:val="24"/>
        </w:rPr>
        <w:t>2015</w:t>
      </w:r>
      <w:r>
        <w:rPr>
          <w:bCs/>
          <w:color w:val="000000"/>
          <w:kern w:val="0"/>
          <w:sz w:val="24"/>
          <w:szCs w:val="24"/>
        </w:rPr>
        <w:t>］</w:t>
      </w:r>
      <w:r>
        <w:rPr>
          <w:bCs/>
          <w:color w:val="000000"/>
          <w:kern w:val="0"/>
          <w:sz w:val="24"/>
          <w:szCs w:val="24"/>
        </w:rPr>
        <w:t>63</w:t>
      </w:r>
      <w:r>
        <w:rPr>
          <w:bCs/>
          <w:color w:val="000000"/>
          <w:kern w:val="0"/>
          <w:sz w:val="24"/>
          <w:szCs w:val="24"/>
        </w:rPr>
        <w:t>号《行政处罚决定书》处以责令停止未批项目建设（生产）、罚款人民币</w:t>
      </w:r>
      <w:r>
        <w:rPr>
          <w:bCs/>
          <w:color w:val="000000"/>
          <w:kern w:val="0"/>
          <w:sz w:val="24"/>
          <w:szCs w:val="24"/>
        </w:rPr>
        <w:t>6</w:t>
      </w:r>
      <w:r>
        <w:rPr>
          <w:bCs/>
          <w:color w:val="000000"/>
          <w:kern w:val="0"/>
          <w:sz w:val="24"/>
          <w:szCs w:val="24"/>
        </w:rPr>
        <w:t>万元的处罚；公司于</w:t>
      </w:r>
      <w:r>
        <w:rPr>
          <w:bCs/>
          <w:color w:val="000000"/>
          <w:kern w:val="0"/>
          <w:sz w:val="24"/>
          <w:szCs w:val="24"/>
        </w:rPr>
        <w:t>2015</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23</w:t>
      </w:r>
      <w:r>
        <w:rPr>
          <w:bCs/>
          <w:color w:val="000000"/>
          <w:kern w:val="0"/>
          <w:sz w:val="24"/>
          <w:szCs w:val="24"/>
        </w:rPr>
        <w:t>日因川南一分厂不正常使用大气污染物处理设施的行为被临海市环境保护局以临环罚字［</w:t>
      </w:r>
      <w:r>
        <w:rPr>
          <w:bCs/>
          <w:color w:val="000000"/>
          <w:kern w:val="0"/>
          <w:sz w:val="24"/>
          <w:szCs w:val="24"/>
        </w:rPr>
        <w:t>2015</w:t>
      </w:r>
      <w:r>
        <w:rPr>
          <w:bCs/>
          <w:color w:val="000000"/>
          <w:kern w:val="0"/>
          <w:sz w:val="24"/>
          <w:szCs w:val="24"/>
        </w:rPr>
        <w:t>］</w:t>
      </w:r>
      <w:r>
        <w:rPr>
          <w:bCs/>
          <w:color w:val="000000"/>
          <w:kern w:val="0"/>
          <w:sz w:val="24"/>
          <w:szCs w:val="24"/>
        </w:rPr>
        <w:t>108</w:t>
      </w:r>
      <w:r>
        <w:rPr>
          <w:bCs/>
          <w:color w:val="000000"/>
          <w:kern w:val="0"/>
          <w:sz w:val="24"/>
          <w:szCs w:val="24"/>
        </w:rPr>
        <w:t>号《行政处罚决定书》处以责令停止违法行为和罚款人民币</w:t>
      </w:r>
      <w:r>
        <w:rPr>
          <w:bCs/>
          <w:color w:val="000000"/>
          <w:kern w:val="0"/>
          <w:sz w:val="24"/>
          <w:szCs w:val="24"/>
        </w:rPr>
        <w:t>5</w:t>
      </w:r>
      <w:r>
        <w:rPr>
          <w:bCs/>
          <w:color w:val="000000"/>
          <w:kern w:val="0"/>
          <w:sz w:val="24"/>
          <w:szCs w:val="24"/>
        </w:rPr>
        <w:t>万元的处罚；公司于</w:t>
      </w:r>
      <w:r>
        <w:rPr>
          <w:bCs/>
          <w:color w:val="000000"/>
          <w:kern w:val="0"/>
          <w:sz w:val="24"/>
          <w:szCs w:val="24"/>
        </w:rPr>
        <w:t>2015</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24</w:t>
      </w:r>
      <w:r>
        <w:rPr>
          <w:bCs/>
          <w:color w:val="000000"/>
          <w:kern w:val="0"/>
          <w:sz w:val="24"/>
          <w:szCs w:val="24"/>
        </w:rPr>
        <w:t>日因川南一分厂废水超标排放被临海市环境保护局以临环罚字［</w:t>
      </w:r>
      <w:r>
        <w:rPr>
          <w:bCs/>
          <w:color w:val="000000"/>
          <w:kern w:val="0"/>
          <w:sz w:val="24"/>
          <w:szCs w:val="24"/>
        </w:rPr>
        <w:t>2015</w:t>
      </w:r>
      <w:r>
        <w:rPr>
          <w:bCs/>
          <w:color w:val="000000"/>
          <w:kern w:val="0"/>
          <w:sz w:val="24"/>
          <w:szCs w:val="24"/>
        </w:rPr>
        <w:t>］</w:t>
      </w:r>
      <w:r>
        <w:rPr>
          <w:bCs/>
          <w:color w:val="000000"/>
          <w:kern w:val="0"/>
          <w:sz w:val="24"/>
          <w:szCs w:val="24"/>
        </w:rPr>
        <w:t>119</w:t>
      </w:r>
      <w:r>
        <w:rPr>
          <w:bCs/>
          <w:color w:val="000000"/>
          <w:kern w:val="0"/>
          <w:sz w:val="24"/>
          <w:szCs w:val="24"/>
        </w:rPr>
        <w:t>号《行政处罚决定书》处以责令停止违法行为、罚款人民币</w:t>
      </w:r>
      <w:r>
        <w:rPr>
          <w:bCs/>
          <w:color w:val="000000"/>
          <w:kern w:val="0"/>
          <w:sz w:val="24"/>
          <w:szCs w:val="24"/>
        </w:rPr>
        <w:t>58.6</w:t>
      </w:r>
      <w:r>
        <w:rPr>
          <w:bCs/>
          <w:color w:val="000000"/>
          <w:kern w:val="0"/>
          <w:sz w:val="24"/>
          <w:szCs w:val="24"/>
        </w:rPr>
        <w:t>万元的处罚。</w:t>
      </w:r>
    </w:p>
    <w:p w:rsidR="00BC518E" w:rsidRDefault="00555078">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1,404,558.24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142,797.98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283,121.65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1,830,477.87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1,952,172,082.79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671,512,445.19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93,507,298.04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2,530,177,229.94</w:t>
            </w:r>
          </w:p>
        </w:tc>
      </w:tr>
    </w:tbl>
    <w:p w:rsidR="00BC518E" w:rsidRDefault="0055507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964170" w:rsidP="00C15CAC">
            <w:pPr>
              <w:spacing w:line="288" w:lineRule="auto"/>
              <w:jc w:val="right"/>
              <w:rPr>
                <w:rFonts w:eastAsiaTheme="minorEastAsia"/>
                <w:sz w:val="24"/>
                <w:szCs w:val="24"/>
              </w:rPr>
            </w:pPr>
            <w:r>
              <w:rPr>
                <w:rFonts w:eastAsiaTheme="minorEastAsia"/>
                <w:color w:val="000000"/>
                <w:kern w:val="0"/>
                <w:sz w:val="24"/>
              </w:rPr>
              <w:t>81,303,685.60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964170" w:rsidP="00C15CAC">
            <w:pPr>
              <w:spacing w:line="288" w:lineRule="auto"/>
              <w:jc w:val="right"/>
              <w:rPr>
                <w:rFonts w:eastAsiaTheme="minorEastAsia"/>
                <w:color w:val="000000"/>
                <w:kern w:val="0"/>
                <w:sz w:val="24"/>
                <w:szCs w:val="24"/>
              </w:rPr>
            </w:pPr>
            <w:r w:rsidRPr="00414345">
              <w:rPr>
                <w:color w:val="000000"/>
                <w:sz w:val="24"/>
              </w:rPr>
              <w:t>30,781,768.33</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964170" w:rsidP="00C15CAC">
            <w:pPr>
              <w:spacing w:line="288" w:lineRule="auto"/>
              <w:jc w:val="right"/>
              <w:rPr>
                <w:rFonts w:eastAsiaTheme="minorEastAsia"/>
                <w:sz w:val="24"/>
                <w:szCs w:val="24"/>
              </w:rPr>
            </w:pPr>
            <w:r w:rsidRPr="00ED2620">
              <w:rPr>
                <w:rFonts w:eastAsiaTheme="minorEastAsia"/>
                <w:color w:val="000000"/>
                <w:sz w:val="24"/>
              </w:rPr>
              <w:t>112,085,453.93</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4.43</w:t>
            </w:r>
          </w:p>
        </w:tc>
      </w:tr>
    </w:tbl>
    <w:p w:rsidR="00BC518E" w:rsidRDefault="0055507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BC518E">
        <w:trPr>
          <w:jc w:val="center"/>
        </w:trPr>
        <w:tc>
          <w:tcPr>
            <w:tcW w:w="1032" w:type="dxa"/>
            <w:vAlign w:val="center"/>
          </w:tcPr>
          <w:p w:rsidR="00BC518E" w:rsidRDefault="00555078">
            <w:pPr>
              <w:jc w:val="center"/>
            </w:pPr>
            <w:r>
              <w:rPr>
                <w:color w:val="000000"/>
                <w:sz w:val="24"/>
              </w:rPr>
              <w:t>1</w:t>
            </w:r>
          </w:p>
        </w:tc>
        <w:tc>
          <w:tcPr>
            <w:tcW w:w="1776" w:type="dxa"/>
            <w:vAlign w:val="center"/>
          </w:tcPr>
          <w:p w:rsidR="00BC518E" w:rsidRDefault="00555078">
            <w:pPr>
              <w:jc w:val="center"/>
            </w:pPr>
            <w:r>
              <w:rPr>
                <w:color w:val="000000"/>
                <w:sz w:val="24"/>
              </w:rPr>
              <w:t>红利再投</w:t>
            </w:r>
          </w:p>
        </w:tc>
        <w:tc>
          <w:tcPr>
            <w:tcW w:w="1317" w:type="dxa"/>
            <w:vAlign w:val="center"/>
          </w:tcPr>
          <w:p w:rsidR="00BC518E" w:rsidRDefault="00555078">
            <w:pPr>
              <w:jc w:val="center"/>
            </w:pPr>
            <w:r>
              <w:rPr>
                <w:color w:val="000000"/>
                <w:sz w:val="24"/>
              </w:rPr>
              <w:t>2016-01-14</w:t>
            </w:r>
          </w:p>
        </w:tc>
        <w:tc>
          <w:tcPr>
            <w:tcW w:w="1633" w:type="dxa"/>
            <w:vAlign w:val="center"/>
          </w:tcPr>
          <w:p w:rsidR="00BC518E" w:rsidRDefault="00555078">
            <w:pPr>
              <w:jc w:val="right"/>
            </w:pPr>
            <w:r>
              <w:rPr>
                <w:color w:val="000000"/>
                <w:sz w:val="24"/>
              </w:rPr>
              <w:t>30,781,768.33</w:t>
            </w:r>
          </w:p>
        </w:tc>
        <w:tc>
          <w:tcPr>
            <w:tcW w:w="1767" w:type="dxa"/>
            <w:vAlign w:val="center"/>
          </w:tcPr>
          <w:p w:rsidR="00BC518E" w:rsidRDefault="00555078">
            <w:pPr>
              <w:jc w:val="right"/>
            </w:pPr>
            <w:r>
              <w:rPr>
                <w:color w:val="000000"/>
                <w:sz w:val="24"/>
              </w:rPr>
              <w:t>32,684,081.61</w:t>
            </w:r>
          </w:p>
        </w:tc>
        <w:tc>
          <w:tcPr>
            <w:tcW w:w="1343" w:type="dxa"/>
            <w:vAlign w:val="center"/>
          </w:tcPr>
          <w:p w:rsidR="00BC518E" w:rsidRDefault="00555078">
            <w:pPr>
              <w:jc w:val="center"/>
            </w:pPr>
            <w:r>
              <w:rPr>
                <w:color w:val="000000"/>
                <w:sz w:val="24"/>
              </w:rPr>
              <w:t>-</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30,781,768.33</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32,684,081.61</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C518E" w:rsidRDefault="0055507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BC518E" w:rsidRDefault="0055507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BC518E" w:rsidRDefault="0055507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BC518E" w:rsidRDefault="0055507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BC518E" w:rsidRDefault="0055507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BC518E" w:rsidRDefault="0055507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C518E" w:rsidRDefault="0055507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C518E" w:rsidRDefault="0055507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078" w:rsidRDefault="00555078" w:rsidP="00876D65">
      <w:r>
        <w:separator/>
      </w:r>
    </w:p>
  </w:endnote>
  <w:endnote w:type="continuationSeparator" w:id="0">
    <w:p w:rsidR="00555078" w:rsidRDefault="0055507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675173">
      <w:rPr>
        <w:noProof/>
        <w:kern w:val="0"/>
        <w:szCs w:val="21"/>
      </w:rPr>
      <w:t>5</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675173">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078" w:rsidRDefault="00555078" w:rsidP="00876D65">
      <w:r>
        <w:separator/>
      </w:r>
    </w:p>
  </w:footnote>
  <w:footnote w:type="continuationSeparator" w:id="0">
    <w:p w:rsidR="00555078" w:rsidRDefault="0055507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1A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55078"/>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173"/>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64170"/>
    <w:rsid w:val="009730B8"/>
    <w:rsid w:val="009734BB"/>
    <w:rsid w:val="0097424F"/>
    <w:rsid w:val="0098122D"/>
    <w:rsid w:val="00986596"/>
    <w:rsid w:val="00990685"/>
    <w:rsid w:val="00997FB0"/>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3C07"/>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518E"/>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8CEC-B374-409C-A179-6BE11C24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12</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2016-04-18T05:56:00Z</dcterms:modified>
</cp:coreProperties>
</file>