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68" w:rsidRDefault="005F6CB6" w:rsidP="00C6491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5F6CB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</w:t>
      </w:r>
      <w:proofErr w:type="gramStart"/>
      <w:r w:rsidRPr="005F6CB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施罗德纯债债券</w:t>
      </w:r>
      <w:proofErr w:type="gramEnd"/>
      <w:r w:rsidRPr="005F6CB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型发起式证券投资基金于</w:t>
      </w:r>
      <w:r w:rsidRPr="005F6CB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</w:t>
      </w:r>
      <w:r w:rsidR="00397AF3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6</w:t>
      </w:r>
      <w:r w:rsidR="006B1AE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年“</w:t>
      </w:r>
      <w:r w:rsidR="00397AF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春节</w:t>
      </w:r>
      <w:r w:rsidRPr="005F6CB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”假期前暂停</w:t>
      </w:r>
      <w:r w:rsidR="00ED1D4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</w:t>
      </w:r>
      <w:r w:rsidR="00ED1D41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节后恢复</w:t>
      </w:r>
      <w:r w:rsidRPr="005F6CB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大额申购（转换转入、定期定额投资）公告</w:t>
      </w:r>
    </w:p>
    <w:p w:rsidR="00C64911" w:rsidRPr="00C64911" w:rsidRDefault="00C64911" w:rsidP="00C64911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C64911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Pr="00C64911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FC50B9">
        <w:rPr>
          <w:rFonts w:ascii="宋体" w:eastAsia="宋体" w:hAnsi="宋体" w:cs="Times New Roman"/>
          <w:b/>
          <w:color w:val="000000"/>
          <w:sz w:val="24"/>
          <w:szCs w:val="24"/>
        </w:rPr>
        <w:t>6</w:t>
      </w:r>
      <w:r w:rsidRPr="00C64911">
        <w:rPr>
          <w:rFonts w:ascii="宋体" w:eastAsia="宋体" w:hAnsi="宋体" w:cs="Times New Roman"/>
          <w:b/>
          <w:sz w:val="24"/>
          <w:szCs w:val="24"/>
        </w:rPr>
        <w:t>年</w:t>
      </w:r>
      <w:r w:rsidR="00FC50B9">
        <w:rPr>
          <w:rFonts w:ascii="宋体" w:eastAsia="宋体" w:hAnsi="宋体" w:cs="Times New Roman"/>
          <w:b/>
          <w:sz w:val="24"/>
          <w:szCs w:val="24"/>
        </w:rPr>
        <w:t>2</w:t>
      </w:r>
      <w:r w:rsidRPr="00C64911">
        <w:rPr>
          <w:rFonts w:ascii="宋体" w:eastAsia="宋体" w:hAnsi="宋体" w:cs="Times New Roman"/>
          <w:b/>
          <w:sz w:val="24"/>
          <w:szCs w:val="24"/>
        </w:rPr>
        <w:t>月</w:t>
      </w:r>
      <w:r w:rsidR="00FC50B9">
        <w:rPr>
          <w:rFonts w:ascii="宋体" w:eastAsia="宋体" w:hAnsi="宋体" w:cs="Times New Roman"/>
          <w:b/>
          <w:sz w:val="24"/>
          <w:szCs w:val="24"/>
        </w:rPr>
        <w:t>2</w:t>
      </w:r>
      <w:r w:rsidRPr="00C64911">
        <w:rPr>
          <w:rFonts w:ascii="宋体" w:eastAsia="宋体" w:hAnsi="宋体" w:cs="Times New Roman"/>
          <w:b/>
          <w:sz w:val="24"/>
          <w:szCs w:val="24"/>
        </w:rPr>
        <w:t>日</w:t>
      </w:r>
    </w:p>
    <w:p w:rsidR="00C64911" w:rsidRPr="00C64911" w:rsidRDefault="00C64911" w:rsidP="00C64911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C64911" w:rsidRPr="00C64911" w:rsidRDefault="00C64911" w:rsidP="00C64911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C64911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C64911" w:rsidRPr="00C64911" w:rsidTr="00B11686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68A">
              <w:rPr>
                <w:rFonts w:hint="eastAsia"/>
                <w:sz w:val="24"/>
              </w:rPr>
              <w:t>交银</w:t>
            </w:r>
            <w:proofErr w:type="gramStart"/>
            <w:r w:rsidRPr="005F268A">
              <w:rPr>
                <w:rFonts w:hint="eastAsia"/>
                <w:sz w:val="24"/>
              </w:rPr>
              <w:t>施罗德纯债债券</w:t>
            </w:r>
            <w:proofErr w:type="gramEnd"/>
            <w:r w:rsidRPr="005F268A">
              <w:rPr>
                <w:rFonts w:hint="eastAsia"/>
                <w:sz w:val="24"/>
              </w:rPr>
              <w:t>型发起式证券投资基金</w:t>
            </w:r>
          </w:p>
        </w:tc>
      </w:tr>
      <w:tr w:rsidR="00C64911" w:rsidRPr="00C64911" w:rsidTr="00B11686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债券发起</w:t>
            </w:r>
          </w:p>
        </w:tc>
      </w:tr>
      <w:tr w:rsidR="00C64911" w:rsidRPr="00C64911" w:rsidTr="00B11686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51D2">
              <w:rPr>
                <w:sz w:val="24"/>
              </w:rPr>
              <w:t>519718</w:t>
            </w:r>
          </w:p>
        </w:tc>
      </w:tr>
      <w:tr w:rsidR="00C64911" w:rsidRPr="00C64911" w:rsidTr="00B11686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交银施罗德基金管理有限公司</w:t>
            </w:r>
          </w:p>
        </w:tc>
      </w:tr>
      <w:tr w:rsidR="00C64911" w:rsidRPr="00C64911" w:rsidTr="00B11686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6651D2">
              <w:rPr>
                <w:rFonts w:hint="eastAsia"/>
                <w:sz w:val="24"/>
              </w:rPr>
              <w:t>交银施罗德纯债债券型发起式证券投资基金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6651D2">
              <w:rPr>
                <w:rFonts w:hint="eastAsia"/>
                <w:sz w:val="24"/>
              </w:rPr>
              <w:t>交银施罗德纯债债券型发起式证券投资基金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C64911" w:rsidRPr="00C64911" w:rsidTr="00B1168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FC50B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 w:rsidR="00FC50B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FC50B9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FC50B9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64911" w:rsidRPr="00C64911" w:rsidTr="00B1168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FC50B9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64911" w:rsidRPr="00C64911" w:rsidTr="00B1168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FC50B9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64911" w:rsidRPr="00C64911" w:rsidTr="00B1168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455CE2" w:rsidRDefault="00C64911" w:rsidP="00C6491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1686">
              <w:rPr>
                <w:rFonts w:ascii="Times New Roman" w:hAnsi="Times New Roman" w:cs="Times New Roman"/>
                <w:sz w:val="24"/>
              </w:rPr>
              <w:t>50,000</w:t>
            </w:r>
          </w:p>
        </w:tc>
      </w:tr>
      <w:tr w:rsidR="00C64911" w:rsidRPr="00C64911" w:rsidTr="00B1168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11" w:rsidRPr="00455CE2" w:rsidRDefault="00C64911" w:rsidP="00C6491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1686">
              <w:rPr>
                <w:rFonts w:ascii="Times New Roman" w:hAnsi="Times New Roman" w:cs="Times New Roman"/>
                <w:sz w:val="24"/>
              </w:rPr>
              <w:t>50,000</w:t>
            </w:r>
          </w:p>
        </w:tc>
      </w:tr>
      <w:tr w:rsidR="00C64911" w:rsidRPr="00C64911" w:rsidTr="00B1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B1168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11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455CE2" w:rsidRDefault="00C64911" w:rsidP="00C6491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1686">
              <w:rPr>
                <w:rFonts w:ascii="Times New Roman" w:hAnsi="Times New Roman" w:cs="Times New Roman"/>
                <w:sz w:val="24"/>
              </w:rPr>
              <w:t>50,000</w:t>
            </w:r>
          </w:p>
        </w:tc>
      </w:tr>
      <w:tr w:rsidR="00C64911" w:rsidRPr="00C64911" w:rsidTr="00B1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911" w:rsidRPr="00C64911" w:rsidRDefault="00C64911" w:rsidP="00C64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spacing w:line="560" w:lineRule="exac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6491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FC50B9" w:rsidP="0024406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根据中国证监会《关于</w:t>
            </w: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2016</w:t>
            </w: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年部分节假日放假和休市安排的通知》（证监办发〔</w:t>
            </w: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2015</w:t>
            </w: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〕</w:t>
            </w: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88</w:t>
            </w:r>
            <w:r w:rsidRPr="00FC50B9">
              <w:rPr>
                <w:rFonts w:ascii="Times New Roman" w:eastAsia="宋体" w:hAnsi="宋体" w:cs="Times New Roman" w:hint="eastAsia"/>
                <w:sz w:val="24"/>
                <w:szCs w:val="24"/>
              </w:rPr>
              <w:t>号）的精神</w:t>
            </w:r>
            <w:r w:rsidRPr="00FC50B9">
              <w:rPr>
                <w:rFonts w:ascii="Times New Roman" w:eastAsia="宋体" w:hAnsi="宋体" w:cs="Times New Roman"/>
                <w:sz w:val="24"/>
                <w:szCs w:val="24"/>
              </w:rPr>
              <w:t>，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201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>6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7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日（</w:t>
            </w:r>
            <w:r w:rsidR="00244069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星期</w:t>
            </w:r>
            <w:r w:rsidR="00244069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）至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201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>6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日（</w:t>
            </w:r>
            <w:r w:rsidR="00244069">
              <w:rPr>
                <w:rFonts w:ascii="Times New Roman" w:eastAsia="宋体" w:hAnsi="宋体" w:cs="Times New Roman" w:hint="eastAsia"/>
                <w:sz w:val="24"/>
                <w:szCs w:val="24"/>
              </w:rPr>
              <w:t>星期六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  <w:r w:rsidR="005A4DAB">
              <w:rPr>
                <w:rFonts w:ascii="Times New Roman" w:eastAsia="宋体" w:hAnsi="宋体" w:cs="Times New Roman" w:hint="eastAsia"/>
                <w:sz w:val="24"/>
                <w:szCs w:val="24"/>
              </w:rPr>
              <w:t>为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上海证券交易所和深圳证券交易所</w:t>
            </w:r>
            <w:r w:rsidR="00244069" w:rsidRPr="00244069">
              <w:rPr>
                <w:rFonts w:ascii="Times New Roman" w:eastAsia="宋体" w:hAnsi="宋体" w:cs="Times New Roman" w:hint="eastAsia"/>
                <w:sz w:val="24"/>
                <w:szCs w:val="24"/>
              </w:rPr>
              <w:t>节假日休市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，</w:t>
            </w:r>
            <w:r w:rsid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2016</w:t>
            </w:r>
            <w:r w:rsid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6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日（星期六）、</w:t>
            </w:r>
            <w:r w:rsid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2016</w:t>
            </w:r>
            <w:r w:rsid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14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日（星期日）为</w:t>
            </w:r>
            <w:r w:rsidR="005A4DAB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上海证券交易所和深圳证券交易所</w:t>
            </w:r>
            <w:r w:rsidR="00727302" w:rsidRPr="00727302">
              <w:rPr>
                <w:rFonts w:ascii="Times New Roman" w:eastAsia="宋体" w:hAnsi="宋体" w:cs="Times New Roman" w:hint="eastAsia"/>
                <w:sz w:val="24"/>
                <w:szCs w:val="24"/>
              </w:rPr>
              <w:t>周末休市，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201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>6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15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一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）起照常开市。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为保护基金份额持有人的利益，根据有关法律法规和基金合同的相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lastRenderedPageBreak/>
              <w:t>关规定，决定对本基金暂停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大额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申购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（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转换转入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、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定期定额投资</w:t>
            </w:r>
            <w:r w:rsidR="00C64911" w:rsidRPr="00C64911"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  <w:r w:rsidR="00C64911" w:rsidRPr="00C64911">
              <w:rPr>
                <w:rFonts w:ascii="Times New Roman" w:eastAsia="宋体" w:hAnsi="宋体" w:cs="Times New Roman"/>
                <w:sz w:val="24"/>
                <w:szCs w:val="24"/>
              </w:rPr>
              <w:t>。</w:t>
            </w:r>
          </w:p>
        </w:tc>
      </w:tr>
      <w:tr w:rsidR="00C64911" w:rsidRPr="00C64911" w:rsidTr="00B11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下属分级基金的基金简称</w:t>
            </w: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5A04">
              <w:rPr>
                <w:rFonts w:hint="eastAsia"/>
                <w:sz w:val="24"/>
              </w:rPr>
              <w:t>交</w:t>
            </w:r>
            <w:proofErr w:type="gramStart"/>
            <w:r w:rsidRPr="00995A04">
              <w:rPr>
                <w:rFonts w:hint="eastAsia"/>
                <w:sz w:val="24"/>
              </w:rPr>
              <w:t>银纯债</w:t>
            </w:r>
            <w:proofErr w:type="gramEnd"/>
            <w:r w:rsidRPr="00995A04">
              <w:rPr>
                <w:rFonts w:hint="eastAsia"/>
                <w:sz w:val="24"/>
              </w:rPr>
              <w:t>债券发起</w:t>
            </w:r>
            <w:r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债券发起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C64911" w:rsidRPr="00C64911" w:rsidTr="00B11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D900D8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11686">
              <w:rPr>
                <w:rFonts w:ascii="Times New Roman" w:hAnsi="Times New Roman" w:cs="Times New Roman"/>
                <w:sz w:val="24"/>
              </w:rPr>
              <w:t>519718</w:t>
            </w:r>
            <w:r w:rsidRPr="00B11686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B11686">
              <w:rPr>
                <w:rFonts w:ascii="Times New Roman" w:hAnsi="Times New Roman" w:cs="Times New Roman"/>
                <w:sz w:val="24"/>
              </w:rPr>
              <w:t>519719</w:t>
            </w:r>
            <w:r w:rsidRPr="00B11686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D900D8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11686">
              <w:rPr>
                <w:rFonts w:ascii="Times New Roman" w:hAnsi="Times New Roman" w:cs="Times New Roman"/>
                <w:sz w:val="24"/>
              </w:rPr>
              <w:t>519720</w:t>
            </w:r>
          </w:p>
        </w:tc>
      </w:tr>
      <w:tr w:rsidR="00C64911" w:rsidRPr="00C64911" w:rsidTr="00B11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1" w:rsidRPr="00C64911" w:rsidRDefault="00C64911" w:rsidP="00C649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49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:rsidR="00C64911" w:rsidRPr="00EB4E70" w:rsidRDefault="00C64911" w:rsidP="00C64911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EB4E70">
        <w:rPr>
          <w:rFonts w:ascii="Times New Roman" w:eastAsia="宋体" w:hAnsi="Times New Roman" w:cs="Times New Roman"/>
          <w:color w:val="000000"/>
          <w:sz w:val="24"/>
          <w:szCs w:val="24"/>
        </w:rPr>
        <w:t>注：</w:t>
      </w:r>
      <w:r w:rsidRPr="00EB4E70">
        <w:rPr>
          <w:rFonts w:ascii="Times New Roman" w:hAnsi="Times New Roman" w:cs="Times New Roman"/>
          <w:color w:val="000000"/>
          <w:sz w:val="24"/>
        </w:rPr>
        <w:t>（</w:t>
      </w:r>
      <w:r w:rsidRPr="00EB4E70">
        <w:rPr>
          <w:rFonts w:ascii="Times New Roman" w:hAnsi="Times New Roman" w:cs="Times New Roman"/>
          <w:color w:val="000000"/>
          <w:sz w:val="24"/>
        </w:rPr>
        <w:t>1</w:t>
      </w:r>
      <w:r w:rsidRPr="00EB4E70">
        <w:rPr>
          <w:rFonts w:ascii="Times New Roman" w:hAnsi="Times New Roman" w:cs="Times New Roman"/>
          <w:color w:val="000000"/>
          <w:sz w:val="24"/>
        </w:rPr>
        <w:t>）本基金</w:t>
      </w:r>
      <w:r w:rsidRPr="00EB4E70">
        <w:rPr>
          <w:rFonts w:ascii="Times New Roman" w:hAnsi="Times New Roman" w:cs="Times New Roman"/>
          <w:color w:val="000000"/>
          <w:sz w:val="24"/>
        </w:rPr>
        <w:t>A</w:t>
      </w:r>
      <w:r w:rsidRPr="00EB4E70">
        <w:rPr>
          <w:rFonts w:ascii="Times New Roman" w:hAnsi="Times New Roman" w:cs="Times New Roman"/>
          <w:color w:val="000000"/>
          <w:sz w:val="24"/>
        </w:rPr>
        <w:t>类基金份额采用前端收费模式，</w:t>
      </w:r>
      <w:r w:rsidRPr="00EB4E70">
        <w:rPr>
          <w:rFonts w:ascii="Times New Roman" w:hAnsi="Times New Roman" w:cs="Times New Roman"/>
          <w:color w:val="000000"/>
          <w:sz w:val="24"/>
        </w:rPr>
        <w:t>B</w:t>
      </w:r>
      <w:r w:rsidRPr="00EB4E70">
        <w:rPr>
          <w:rFonts w:ascii="Times New Roman" w:hAnsi="Times New Roman" w:cs="Times New Roman"/>
          <w:color w:val="000000"/>
          <w:sz w:val="24"/>
        </w:rPr>
        <w:t>类基金份额采用后端收费模式，前端交易代码即为</w:t>
      </w:r>
      <w:r w:rsidRPr="00EB4E70">
        <w:rPr>
          <w:rFonts w:ascii="Times New Roman" w:hAnsi="Times New Roman" w:cs="Times New Roman"/>
          <w:color w:val="000000"/>
          <w:sz w:val="24"/>
        </w:rPr>
        <w:t>A</w:t>
      </w:r>
      <w:r w:rsidRPr="00EB4E70">
        <w:rPr>
          <w:rFonts w:ascii="Times New Roman" w:hAnsi="Times New Roman" w:cs="Times New Roman"/>
          <w:color w:val="000000"/>
          <w:sz w:val="24"/>
        </w:rPr>
        <w:t>类基金份额交易代码，后端交易代码即为</w:t>
      </w:r>
      <w:r w:rsidRPr="00EB4E70">
        <w:rPr>
          <w:rFonts w:ascii="Times New Roman" w:hAnsi="Times New Roman" w:cs="Times New Roman"/>
          <w:color w:val="000000"/>
          <w:sz w:val="24"/>
        </w:rPr>
        <w:t>B</w:t>
      </w:r>
      <w:r w:rsidRPr="00EB4E70">
        <w:rPr>
          <w:rFonts w:ascii="Times New Roman" w:hAnsi="Times New Roman" w:cs="Times New Roman"/>
          <w:color w:val="000000"/>
          <w:sz w:val="24"/>
        </w:rPr>
        <w:t>类基金份额交易代码。</w:t>
      </w:r>
    </w:p>
    <w:p w:rsidR="00C64911" w:rsidRPr="00EB4E70" w:rsidRDefault="00C64911" w:rsidP="00C64911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EB4E70">
        <w:rPr>
          <w:rFonts w:ascii="Times New Roman" w:hAnsi="Times New Roman" w:cs="Times New Roman"/>
          <w:color w:val="000000"/>
          <w:sz w:val="24"/>
        </w:rPr>
        <w:t xml:space="preserve">   </w:t>
      </w:r>
      <w:r w:rsidRPr="00EB4E70">
        <w:rPr>
          <w:rFonts w:ascii="Times New Roman" w:hAnsi="Times New Roman" w:cs="Times New Roman"/>
          <w:color w:val="000000"/>
          <w:sz w:val="24"/>
        </w:rPr>
        <w:t>（</w:t>
      </w:r>
      <w:r w:rsidRPr="00EB4E70">
        <w:rPr>
          <w:rFonts w:ascii="Times New Roman" w:hAnsi="Times New Roman" w:cs="Times New Roman"/>
          <w:color w:val="000000"/>
          <w:sz w:val="24"/>
        </w:rPr>
        <w:t>2</w:t>
      </w:r>
      <w:r w:rsidRPr="00EB4E70">
        <w:rPr>
          <w:rFonts w:ascii="Times New Roman" w:hAnsi="Times New Roman" w:cs="Times New Roman"/>
          <w:color w:val="000000"/>
          <w:sz w:val="24"/>
        </w:rPr>
        <w:t>）除了对单笔金额在人民币</w:t>
      </w:r>
      <w:r w:rsidRPr="00EB4E70">
        <w:rPr>
          <w:rFonts w:ascii="Times New Roman" w:hAnsi="Times New Roman" w:cs="Times New Roman"/>
          <w:color w:val="000000"/>
          <w:sz w:val="24"/>
        </w:rPr>
        <w:t>5</w:t>
      </w:r>
      <w:r w:rsidRPr="00EB4E70">
        <w:rPr>
          <w:rFonts w:ascii="Times New Roman" w:hAnsi="Times New Roman" w:cs="Times New Roman"/>
          <w:color w:val="000000"/>
          <w:sz w:val="24"/>
        </w:rPr>
        <w:t>万元以上</w:t>
      </w:r>
      <w:r w:rsidRPr="00EB4E70">
        <w:rPr>
          <w:rFonts w:ascii="Times New Roman" w:hAnsi="Times New Roman" w:cs="Times New Roman"/>
          <w:color w:val="000000"/>
          <w:sz w:val="24"/>
        </w:rPr>
        <w:t>(</w:t>
      </w:r>
      <w:r w:rsidRPr="00EB4E70">
        <w:rPr>
          <w:rFonts w:ascii="Times New Roman" w:hAnsi="Times New Roman" w:cs="Times New Roman"/>
          <w:color w:val="000000"/>
          <w:sz w:val="24"/>
        </w:rPr>
        <w:t>不含</w:t>
      </w:r>
      <w:r w:rsidRPr="00EB4E70">
        <w:rPr>
          <w:rFonts w:ascii="Times New Roman" w:hAnsi="Times New Roman" w:cs="Times New Roman"/>
          <w:color w:val="000000"/>
          <w:sz w:val="24"/>
        </w:rPr>
        <w:t>5</w:t>
      </w:r>
      <w:r w:rsidRPr="00EB4E70">
        <w:rPr>
          <w:rFonts w:ascii="Times New Roman" w:hAnsi="Times New Roman" w:cs="Times New Roman"/>
          <w:color w:val="000000"/>
          <w:sz w:val="24"/>
        </w:rPr>
        <w:t>万元</w:t>
      </w:r>
      <w:r w:rsidRPr="00EB4E70">
        <w:rPr>
          <w:rFonts w:ascii="Times New Roman" w:hAnsi="Times New Roman" w:cs="Times New Roman"/>
          <w:color w:val="000000"/>
          <w:sz w:val="24"/>
        </w:rPr>
        <w:t>)</w:t>
      </w:r>
      <w:r w:rsidRPr="00EB4E70">
        <w:rPr>
          <w:rFonts w:ascii="Times New Roman" w:hAnsi="Times New Roman" w:cs="Times New Roman"/>
          <w:color w:val="000000"/>
          <w:sz w:val="24"/>
        </w:rPr>
        <w:t>的申购及转换入申请（含定期定额投资业务发起的申购申请）进行限制外，对于当日单个基金账户累计申购及转换</w:t>
      </w:r>
      <w:proofErr w:type="gramStart"/>
      <w:r w:rsidRPr="00EB4E70">
        <w:rPr>
          <w:rFonts w:ascii="Times New Roman" w:hAnsi="Times New Roman" w:cs="Times New Roman"/>
          <w:color w:val="000000"/>
          <w:sz w:val="24"/>
        </w:rPr>
        <w:t>入金额</w:t>
      </w:r>
      <w:proofErr w:type="gramEnd"/>
      <w:r w:rsidRPr="00EB4E70">
        <w:rPr>
          <w:rFonts w:ascii="Times New Roman" w:hAnsi="Times New Roman" w:cs="Times New Roman"/>
          <w:color w:val="000000"/>
          <w:sz w:val="24"/>
        </w:rPr>
        <w:t>在人民币</w:t>
      </w:r>
      <w:r w:rsidRPr="00EB4E70">
        <w:rPr>
          <w:rFonts w:ascii="Times New Roman" w:hAnsi="Times New Roman" w:cs="Times New Roman"/>
          <w:color w:val="000000"/>
          <w:sz w:val="24"/>
        </w:rPr>
        <w:t>5</w:t>
      </w:r>
      <w:r w:rsidRPr="00EB4E70">
        <w:rPr>
          <w:rFonts w:ascii="Times New Roman" w:hAnsi="Times New Roman" w:cs="Times New Roman"/>
          <w:color w:val="000000"/>
          <w:sz w:val="24"/>
        </w:rPr>
        <w:t>万元以上（不含</w:t>
      </w:r>
      <w:r w:rsidRPr="00EB4E70">
        <w:rPr>
          <w:rFonts w:ascii="Times New Roman" w:hAnsi="Times New Roman" w:cs="Times New Roman"/>
          <w:color w:val="000000"/>
          <w:sz w:val="24"/>
        </w:rPr>
        <w:t>5</w:t>
      </w:r>
      <w:r w:rsidRPr="00EB4E70">
        <w:rPr>
          <w:rFonts w:ascii="Times New Roman" w:hAnsi="Times New Roman" w:cs="Times New Roman"/>
          <w:color w:val="000000"/>
          <w:sz w:val="24"/>
        </w:rPr>
        <w:t>万元）的申购及转换入申请（含定期定额投资业务发起的申购申请，本基金</w:t>
      </w:r>
      <w:r w:rsidRPr="00EB4E70">
        <w:rPr>
          <w:rFonts w:ascii="Times New Roman" w:hAnsi="Times New Roman" w:cs="Times New Roman"/>
          <w:color w:val="000000"/>
          <w:sz w:val="24"/>
        </w:rPr>
        <w:t>A</w:t>
      </w:r>
      <w:r w:rsidRPr="00EB4E70">
        <w:rPr>
          <w:rFonts w:ascii="Times New Roman" w:hAnsi="Times New Roman" w:cs="Times New Roman"/>
          <w:color w:val="000000"/>
          <w:sz w:val="24"/>
        </w:rPr>
        <w:t>、</w:t>
      </w:r>
      <w:r w:rsidRPr="00EB4E70">
        <w:rPr>
          <w:rFonts w:ascii="Times New Roman" w:hAnsi="Times New Roman" w:cs="Times New Roman"/>
          <w:color w:val="000000"/>
          <w:sz w:val="24"/>
        </w:rPr>
        <w:t>B</w:t>
      </w:r>
      <w:r w:rsidRPr="00EB4E70">
        <w:rPr>
          <w:rFonts w:ascii="Times New Roman" w:hAnsi="Times New Roman" w:cs="Times New Roman"/>
          <w:color w:val="000000"/>
          <w:sz w:val="24"/>
        </w:rPr>
        <w:t>、</w:t>
      </w:r>
      <w:r w:rsidRPr="00EB4E70">
        <w:rPr>
          <w:rFonts w:ascii="Times New Roman" w:hAnsi="Times New Roman" w:cs="Times New Roman"/>
          <w:color w:val="000000"/>
          <w:sz w:val="24"/>
        </w:rPr>
        <w:t>C</w:t>
      </w:r>
      <w:r w:rsidRPr="00EB4E70">
        <w:rPr>
          <w:rFonts w:ascii="Times New Roman" w:hAnsi="Times New Roman" w:cs="Times New Roman"/>
          <w:color w:val="000000"/>
          <w:sz w:val="24"/>
        </w:rPr>
        <w:t>三类基金份额申请金额并予以合计），本基金管理人也有权拒绝，不予确认。</w:t>
      </w:r>
    </w:p>
    <w:p w:rsidR="00C64911" w:rsidRPr="00C64911" w:rsidRDefault="00C64911" w:rsidP="00C64911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C64911" w:rsidRPr="00C64911" w:rsidRDefault="00C64911" w:rsidP="00C64911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C64911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C64911" w:rsidRDefault="006D519A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本基金暂停大额申购（转换转入、定期定额投资）期间，其他交易业务仍照常办理，详情请查阅相关公告。</w:t>
      </w:r>
    </w:p>
    <w:p w:rsidR="006D519A" w:rsidRPr="00C64911" w:rsidRDefault="006D519A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15</w:t>
      </w:r>
      <w:r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日起，本基金所有销售网点恢复办理本基金的大额申购（转换转入、定期定额投资）业务，届时不再另行公告。</w:t>
      </w:r>
    </w:p>
    <w:p w:rsidR="00C64911" w:rsidRPr="00C64911" w:rsidRDefault="006D519A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投资者于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日申请赎回或转换转出本</w:t>
      </w:r>
      <w:proofErr w:type="gramStart"/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份额的，赎回或转换的有效申请将于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日按照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日本基金的基金份额净值确认赎回金额或转换金额。投资者于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日申请申购或转换转入本</w:t>
      </w:r>
      <w:proofErr w:type="gramStart"/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份额的，申购或转换转入的有效申请将于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15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日按照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日本基金的基金份额净值进行确认，并自确认成功日起享受本基金的权益。假期前未确认的交易申请、未到账的赎回款项等，将于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27302">
        <w:rPr>
          <w:rFonts w:ascii="Times New Roman" w:eastAsia="宋体" w:hAnsi="Times New Roman" w:cs="Times New Roman"/>
          <w:color w:val="000000"/>
          <w:sz w:val="24"/>
          <w:szCs w:val="24"/>
        </w:rPr>
        <w:t>15</w:t>
      </w:r>
      <w:r w:rsidR="00C64911"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日起继续处理。</w:t>
      </w: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特别提示：</w:t>
      </w:r>
    </w:p>
    <w:p w:rsidR="006B160F" w:rsidRDefault="00C64911" w:rsidP="006B160F">
      <w:pPr>
        <w:adjustRightInd w:val="0"/>
        <w:spacing w:line="360" w:lineRule="auto"/>
        <w:ind w:firstLineChars="150" w:firstLine="3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（一）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投资者于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2A6F7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日赎回或转换转出本</w:t>
      </w:r>
      <w:proofErr w:type="gramStart"/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份额的，赎回或转换资金将于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2A6F7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2A6F7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日从基金资产划出，但由于资金划转周期，有可能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15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日之后才能到账。投资者于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日赎回或转换转出本</w:t>
      </w:r>
      <w:proofErr w:type="gramStart"/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份额的，赎回或转换资金将于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2A6F74">
        <w:rPr>
          <w:rFonts w:ascii="Times New Roman" w:eastAsia="宋体" w:hAnsi="Times New Roman" w:cs="Times New Roman"/>
          <w:color w:val="000000"/>
          <w:sz w:val="24"/>
          <w:szCs w:val="24"/>
        </w:rPr>
        <w:t>15</w:t>
      </w:r>
      <w:r w:rsidR="00C1024F" w:rsidRPr="00C102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日从基金资产划出。</w:t>
      </w:r>
      <w:r w:rsidR="006B160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:rsidR="00C64911" w:rsidRPr="00C64911" w:rsidRDefault="00C64911" w:rsidP="006B160F">
      <w:pPr>
        <w:adjustRightInd w:val="0"/>
        <w:spacing w:line="360" w:lineRule="auto"/>
        <w:ind w:firstLineChars="150" w:firstLine="3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（二）请投资者及早做好交易安排，避免因交易跨越“</w:t>
      </w:r>
      <w:r w:rsidR="002A6F7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春节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”假期带来不便及资金在途的损失。</w:t>
      </w: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www.bocomschroder.com</w:t>
      </w: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C64911" w:rsidRPr="00C64911" w:rsidRDefault="00C64911" w:rsidP="00C649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6491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:rsidR="00C64911" w:rsidRPr="00C64911" w:rsidRDefault="00C64911" w:rsidP="00C64911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C64911" w:rsidRPr="00C64911" w:rsidRDefault="00C64911" w:rsidP="00C64911">
      <w:pPr>
        <w:rPr>
          <w:rFonts w:ascii="Times New Roman" w:eastAsia="宋体" w:hAnsi="Times New Roman" w:cs="Times New Roman"/>
          <w:sz w:val="24"/>
          <w:szCs w:val="24"/>
        </w:rPr>
      </w:pPr>
    </w:p>
    <w:p w:rsidR="00C64911" w:rsidRPr="00C64911" w:rsidRDefault="00C64911" w:rsidP="00C64911">
      <w:pPr>
        <w:rPr>
          <w:rFonts w:ascii="Times New Roman" w:eastAsia="宋体" w:hAnsi="Times New Roman" w:cs="Times New Roman"/>
          <w:szCs w:val="24"/>
        </w:rPr>
      </w:pPr>
    </w:p>
    <w:p w:rsidR="00C64911" w:rsidRPr="00C64911" w:rsidRDefault="00C64911" w:rsidP="00C64911">
      <w:pPr>
        <w:rPr>
          <w:rFonts w:ascii="Times New Roman" w:eastAsia="宋体" w:hAnsi="Times New Roman" w:cs="Times New Roman"/>
          <w:szCs w:val="24"/>
        </w:rPr>
      </w:pPr>
    </w:p>
    <w:p w:rsidR="00C64911" w:rsidRPr="00C64911" w:rsidRDefault="00C64911" w:rsidP="00C64911">
      <w:pPr>
        <w:rPr>
          <w:rFonts w:ascii="Times New Roman" w:eastAsia="宋体" w:hAnsi="Times New Roman" w:cs="Times New Roman"/>
          <w:szCs w:val="24"/>
        </w:rPr>
      </w:pPr>
    </w:p>
    <w:p w:rsidR="00C64911" w:rsidRPr="00C64911" w:rsidRDefault="00C64911" w:rsidP="00C64911">
      <w:pPr>
        <w:rPr>
          <w:rFonts w:ascii="Times New Roman" w:eastAsia="宋体" w:hAnsi="Times New Roman" w:cs="Times New Roman"/>
          <w:szCs w:val="24"/>
        </w:rPr>
      </w:pPr>
    </w:p>
    <w:p w:rsidR="00C64911" w:rsidRPr="00C64911" w:rsidRDefault="00C64911" w:rsidP="00C64911">
      <w:pPr>
        <w:rPr>
          <w:rFonts w:ascii="Times New Roman" w:eastAsia="宋体" w:hAnsi="Times New Roman" w:cs="Times New Roman"/>
          <w:szCs w:val="24"/>
        </w:rPr>
      </w:pPr>
    </w:p>
    <w:p w:rsidR="00825AFB" w:rsidRDefault="002C0F3F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3F" w:rsidRDefault="002C0F3F">
      <w:r>
        <w:separator/>
      </w:r>
    </w:p>
  </w:endnote>
  <w:endnote w:type="continuationSeparator" w:id="0">
    <w:p w:rsidR="002C0F3F" w:rsidRDefault="002C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C1024F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2C0F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C1024F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6A1">
      <w:rPr>
        <w:rStyle w:val="a5"/>
        <w:noProof/>
      </w:rPr>
      <w:t>3</w:t>
    </w:r>
    <w:r>
      <w:rPr>
        <w:rStyle w:val="a5"/>
      </w:rPr>
      <w:fldChar w:fldCharType="end"/>
    </w:r>
  </w:p>
  <w:p w:rsidR="005401BF" w:rsidRDefault="002C0F3F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3F" w:rsidRDefault="002C0F3F">
      <w:r>
        <w:separator/>
      </w:r>
    </w:p>
  </w:footnote>
  <w:footnote w:type="continuationSeparator" w:id="0">
    <w:p w:rsidR="002C0F3F" w:rsidRDefault="002C0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C64911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24F"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11"/>
    <w:rsid w:val="0002025D"/>
    <w:rsid w:val="00193068"/>
    <w:rsid w:val="001B76A6"/>
    <w:rsid w:val="00234D31"/>
    <w:rsid w:val="00244069"/>
    <w:rsid w:val="002825FF"/>
    <w:rsid w:val="002829D0"/>
    <w:rsid w:val="002A6F74"/>
    <w:rsid w:val="002C0F3F"/>
    <w:rsid w:val="00397AF3"/>
    <w:rsid w:val="003D315A"/>
    <w:rsid w:val="00455CE2"/>
    <w:rsid w:val="00542F73"/>
    <w:rsid w:val="00557FCF"/>
    <w:rsid w:val="00595A6E"/>
    <w:rsid w:val="005A4DAB"/>
    <w:rsid w:val="005F3DE4"/>
    <w:rsid w:val="005F6CB6"/>
    <w:rsid w:val="00663BA5"/>
    <w:rsid w:val="006B160F"/>
    <w:rsid w:val="006B1AED"/>
    <w:rsid w:val="006D519A"/>
    <w:rsid w:val="00727302"/>
    <w:rsid w:val="008B4316"/>
    <w:rsid w:val="008D5FF4"/>
    <w:rsid w:val="00B11686"/>
    <w:rsid w:val="00BD1A48"/>
    <w:rsid w:val="00BE72B2"/>
    <w:rsid w:val="00C1024F"/>
    <w:rsid w:val="00C64911"/>
    <w:rsid w:val="00C84756"/>
    <w:rsid w:val="00CF5B26"/>
    <w:rsid w:val="00D076A1"/>
    <w:rsid w:val="00D900D8"/>
    <w:rsid w:val="00DC59A3"/>
    <w:rsid w:val="00E0290C"/>
    <w:rsid w:val="00E67C90"/>
    <w:rsid w:val="00EB4E70"/>
    <w:rsid w:val="00ED1D41"/>
    <w:rsid w:val="00EF1431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962CD2-726A-4D73-B1F0-AE1CDA7D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649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6491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6491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64911"/>
  </w:style>
  <w:style w:type="paragraph" w:styleId="a6">
    <w:name w:val="Balloon Text"/>
    <w:basedOn w:val="a"/>
    <w:link w:val="Char1"/>
    <w:uiPriority w:val="99"/>
    <w:semiHidden/>
    <w:unhideWhenUsed/>
    <w:rsid w:val="00ED1D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1D4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C5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许帆</cp:lastModifiedBy>
  <cp:revision>23</cp:revision>
  <dcterms:created xsi:type="dcterms:W3CDTF">2015-09-18T06:11:00Z</dcterms:created>
  <dcterms:modified xsi:type="dcterms:W3CDTF">2016-01-28T12:14:00Z</dcterms:modified>
</cp:coreProperties>
</file>