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074E9F" w:rsidRPr="005E324A" w:rsidRDefault="00074E9F" w:rsidP="00074E9F">
      <w:pPr>
        <w:autoSpaceDE w:val="0"/>
        <w:autoSpaceDN w:val="0"/>
        <w:adjustRightInd w:val="0"/>
        <w:spacing w:line="360" w:lineRule="auto"/>
        <w:jc w:val="left"/>
        <w:rPr>
          <w:rFonts w:eastAsiaTheme="minorEastAsia"/>
          <w:color w:val="000000"/>
          <w:kern w:val="0"/>
          <w:sz w:val="24"/>
        </w:rPr>
      </w:pP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交银施罗德中证互联网金融指数分级证券投资基金</w:t>
      </w:r>
    </w:p>
    <w:p w:rsidR="007F47E2" w:rsidRPr="005E324A" w:rsidRDefault="007F47E2" w:rsidP="007951F3">
      <w:pPr>
        <w:spacing w:line="360" w:lineRule="auto"/>
        <w:jc w:val="center"/>
        <w:rPr>
          <w:rFonts w:eastAsiaTheme="minorEastAsia"/>
          <w:b/>
          <w:sz w:val="36"/>
          <w:szCs w:val="36"/>
        </w:rPr>
      </w:pPr>
      <w:r w:rsidRPr="005E324A">
        <w:rPr>
          <w:rFonts w:eastAsiaTheme="minorEastAsia"/>
          <w:b/>
          <w:sz w:val="36"/>
          <w:szCs w:val="36"/>
        </w:rPr>
        <w:t>2015</w:t>
      </w:r>
      <w:r w:rsidRPr="005E324A">
        <w:rPr>
          <w:rFonts w:eastAsiaTheme="minorEastAsia"/>
          <w:b/>
          <w:sz w:val="36"/>
          <w:szCs w:val="36"/>
        </w:rPr>
        <w:t>年第</w:t>
      </w:r>
      <w:r w:rsidRPr="005E324A">
        <w:rPr>
          <w:rFonts w:eastAsiaTheme="minorEastAsia"/>
          <w:b/>
          <w:sz w:val="36"/>
          <w:szCs w:val="36"/>
        </w:rPr>
        <w:t>4</w:t>
      </w:r>
      <w:r w:rsidRPr="005E324A">
        <w:rPr>
          <w:rFonts w:eastAsiaTheme="minorEastAsia"/>
          <w:b/>
          <w:sz w:val="36"/>
          <w:szCs w:val="36"/>
        </w:rPr>
        <w:t>季度报告</w:t>
      </w:r>
    </w:p>
    <w:p w:rsidR="00074E9F" w:rsidRPr="005E324A" w:rsidRDefault="001B64E7" w:rsidP="007951F3">
      <w:pPr>
        <w:spacing w:line="360" w:lineRule="auto"/>
        <w:jc w:val="center"/>
        <w:rPr>
          <w:rFonts w:eastAsiaTheme="minorEastAsia"/>
          <w:b/>
          <w:sz w:val="36"/>
          <w:szCs w:val="36"/>
        </w:rPr>
      </w:pPr>
      <w:r w:rsidRPr="005E324A">
        <w:rPr>
          <w:rFonts w:eastAsiaTheme="minorEastAsia"/>
          <w:b/>
          <w:sz w:val="36"/>
          <w:szCs w:val="36"/>
        </w:rPr>
        <w:t>2015</w:t>
      </w:r>
      <w:r w:rsidRPr="005E324A">
        <w:rPr>
          <w:rFonts w:eastAsiaTheme="minorEastAsia"/>
          <w:b/>
          <w:sz w:val="36"/>
          <w:szCs w:val="36"/>
        </w:rPr>
        <w:t>年</w:t>
      </w:r>
      <w:r w:rsidRPr="005E324A">
        <w:rPr>
          <w:rFonts w:eastAsiaTheme="minorEastAsia"/>
          <w:b/>
          <w:sz w:val="36"/>
          <w:szCs w:val="36"/>
        </w:rPr>
        <w:t>12</w:t>
      </w:r>
      <w:r w:rsidRPr="005E324A">
        <w:rPr>
          <w:rFonts w:eastAsiaTheme="minorEastAsia"/>
          <w:b/>
          <w:sz w:val="36"/>
          <w:szCs w:val="36"/>
        </w:rPr>
        <w:t>月</w:t>
      </w:r>
      <w:r w:rsidRPr="005E324A">
        <w:rPr>
          <w:rFonts w:eastAsiaTheme="minorEastAsia"/>
          <w:b/>
          <w:sz w:val="36"/>
          <w:szCs w:val="36"/>
        </w:rPr>
        <w:t>31</w:t>
      </w:r>
      <w:r w:rsidRPr="005E324A">
        <w:rPr>
          <w:rFonts w:eastAsiaTheme="minorEastAsia"/>
          <w:b/>
          <w:sz w:val="36"/>
          <w:szCs w:val="36"/>
        </w:rPr>
        <w:t>日</w:t>
      </w: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jc w:val="center"/>
        <w:rPr>
          <w:rFonts w:eastAsiaTheme="minorEastAsia"/>
          <w:b/>
          <w:color w:val="000000"/>
          <w:sz w:val="24"/>
        </w:rPr>
      </w:pPr>
    </w:p>
    <w:p w:rsidR="00074E9F" w:rsidRPr="005E324A" w:rsidRDefault="00074E9F" w:rsidP="00074E9F">
      <w:pPr>
        <w:spacing w:line="360" w:lineRule="auto"/>
        <w:rPr>
          <w:rFonts w:eastAsiaTheme="minorEastAsia"/>
          <w:b/>
          <w:color w:val="000000"/>
          <w:sz w:val="24"/>
        </w:rPr>
      </w:pP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基金管理人：</w:t>
      </w:r>
      <w:r w:rsidR="008A4909" w:rsidRPr="005E324A">
        <w:rPr>
          <w:rFonts w:eastAsiaTheme="minorEastAsia"/>
          <w:b/>
          <w:color w:val="000000"/>
          <w:sz w:val="24"/>
        </w:rPr>
        <w:t>交银施罗德基金管理有限公司</w:t>
      </w:r>
    </w:p>
    <w:p w:rsidR="00074E9F" w:rsidRPr="005E324A" w:rsidRDefault="00074E9F" w:rsidP="007951F3">
      <w:pPr>
        <w:spacing w:line="360" w:lineRule="auto"/>
        <w:ind w:firstLineChars="900" w:firstLine="2168"/>
        <w:rPr>
          <w:rFonts w:eastAsiaTheme="minorEastAsia"/>
          <w:b/>
          <w:color w:val="000000"/>
          <w:sz w:val="24"/>
        </w:rPr>
      </w:pPr>
      <w:r w:rsidRPr="005E324A">
        <w:rPr>
          <w:rFonts w:eastAsiaTheme="minorEastAsia"/>
          <w:b/>
          <w:color w:val="000000"/>
          <w:sz w:val="24"/>
        </w:rPr>
        <w:t>基金托管人：</w:t>
      </w:r>
      <w:r w:rsidR="008A4909" w:rsidRPr="005E324A">
        <w:rPr>
          <w:rFonts w:eastAsiaTheme="minorEastAsia"/>
          <w:b/>
          <w:color w:val="000000"/>
          <w:sz w:val="24"/>
        </w:rPr>
        <w:t>中国建设银行股份有限公司</w:t>
      </w:r>
    </w:p>
    <w:p w:rsidR="00074E9F" w:rsidRPr="005E324A" w:rsidRDefault="00074E9F" w:rsidP="007951F3">
      <w:pPr>
        <w:spacing w:line="360" w:lineRule="auto"/>
        <w:ind w:firstLineChars="900" w:firstLine="2168"/>
        <w:rPr>
          <w:rFonts w:eastAsiaTheme="minorEastAsia"/>
          <w:b/>
          <w:color w:val="000000"/>
          <w:sz w:val="24"/>
        </w:rPr>
        <w:sectPr w:rsidR="00074E9F" w:rsidRPr="005E324A" w:rsidSect="00230A66">
          <w:headerReference w:type="default" r:id="rId7"/>
          <w:footerReference w:type="default" r:id="rId8"/>
          <w:pgSz w:w="11926" w:h="15840"/>
          <w:pgMar w:top="1418" w:right="1418" w:bottom="851" w:left="1418" w:header="851" w:footer="992" w:gutter="0"/>
          <w:cols w:space="720"/>
          <w:noEndnote/>
        </w:sectPr>
      </w:pPr>
      <w:r w:rsidRPr="005E324A">
        <w:rPr>
          <w:rFonts w:eastAsiaTheme="minorEastAsia"/>
          <w:b/>
          <w:color w:val="000000"/>
          <w:sz w:val="24"/>
        </w:rPr>
        <w:t>报告送出日期：</w:t>
      </w:r>
      <w:r w:rsidR="007D1C16" w:rsidRPr="005E324A">
        <w:rPr>
          <w:rFonts w:eastAsiaTheme="minorEastAsia"/>
          <w:b/>
          <w:color w:val="000000"/>
          <w:sz w:val="24"/>
        </w:rPr>
        <w:t>二〇一六年一月二十一日</w:t>
      </w:r>
    </w:p>
    <w:p w:rsidR="00220542" w:rsidRPr="005E324A" w:rsidRDefault="00220542" w:rsidP="00784EF2">
      <w:pPr>
        <w:pStyle w:val="1"/>
        <w:spacing w:beforeLines="100" w:before="312" w:afterLines="100" w:after="312" w:line="360" w:lineRule="auto"/>
        <w:jc w:val="center"/>
        <w:rPr>
          <w:rFonts w:eastAsiaTheme="minorEastAsia"/>
          <w:b w:val="0"/>
          <w:color w:val="000000"/>
          <w:kern w:val="0"/>
          <w:sz w:val="24"/>
          <w:szCs w:val="24"/>
        </w:rPr>
      </w:pPr>
      <w:r w:rsidRPr="005E324A">
        <w:rPr>
          <w:rFonts w:eastAsiaTheme="minorEastAsia"/>
          <w:color w:val="000000"/>
          <w:kern w:val="0"/>
          <w:sz w:val="24"/>
          <w:szCs w:val="24"/>
        </w:rPr>
        <w:lastRenderedPageBreak/>
        <w:t xml:space="preserve">§1  </w:t>
      </w:r>
      <w:r w:rsidRPr="005E324A">
        <w:rPr>
          <w:rFonts w:eastAsiaTheme="minorEastAsia"/>
          <w:color w:val="000000"/>
          <w:kern w:val="0"/>
          <w:sz w:val="24"/>
          <w:szCs w:val="24"/>
        </w:rPr>
        <w:t>重要提示</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基金托管人中国建设银行股份有限公司根据本基金合同规定，于</w:t>
      </w:r>
      <w:r>
        <w:rPr>
          <w:rFonts w:eastAsiaTheme="minorEastAsia"/>
          <w:color w:val="000000"/>
          <w:sz w:val="24"/>
        </w:rPr>
        <w:t>2016</w:t>
      </w:r>
      <w:r>
        <w:rPr>
          <w:rFonts w:eastAsiaTheme="minorEastAsia"/>
          <w:color w:val="000000"/>
          <w:sz w:val="24"/>
        </w:rPr>
        <w:t>年</w:t>
      </w:r>
      <w:r>
        <w:rPr>
          <w:rFonts w:eastAsiaTheme="minorEastAsia"/>
          <w:color w:val="000000"/>
          <w:sz w:val="24"/>
        </w:rPr>
        <w:t>1</w:t>
      </w:r>
      <w:r>
        <w:rPr>
          <w:rFonts w:eastAsiaTheme="minorEastAsia"/>
          <w:color w:val="000000"/>
          <w:sz w:val="24"/>
        </w:rPr>
        <w:t>月</w:t>
      </w:r>
      <w:r>
        <w:rPr>
          <w:rFonts w:eastAsiaTheme="minorEastAsia"/>
          <w:color w:val="000000"/>
          <w:sz w:val="24"/>
        </w:rPr>
        <w:t>20</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220542" w:rsidRPr="005E324A" w:rsidRDefault="008A4909" w:rsidP="007951F3">
      <w:pPr>
        <w:spacing w:line="360" w:lineRule="auto"/>
        <w:ind w:firstLineChars="200" w:firstLine="480"/>
        <w:rPr>
          <w:rFonts w:eastAsiaTheme="minorEastAsia"/>
          <w:color w:val="000000"/>
          <w:sz w:val="24"/>
        </w:rPr>
      </w:pPr>
      <w:r w:rsidRPr="005E324A">
        <w:rPr>
          <w:rFonts w:eastAsiaTheme="minorEastAsia"/>
          <w:color w:val="000000"/>
          <w:sz w:val="24"/>
        </w:rPr>
        <w:t>本报告期自</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日起至</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日止。</w:t>
      </w:r>
    </w:p>
    <w:p w:rsidR="00220542" w:rsidRPr="005E324A" w:rsidRDefault="00220542" w:rsidP="00784EF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§2  </w:t>
      </w:r>
      <w:r w:rsidRPr="005E324A">
        <w:rPr>
          <w:rFonts w:eastAsiaTheme="minorEastAsia"/>
          <w:color w:val="000000"/>
          <w:kern w:val="0"/>
          <w:sz w:val="24"/>
          <w:szCs w:val="24"/>
        </w:rPr>
        <w:t>基金产品概况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5"/>
        <w:gridCol w:w="1826"/>
        <w:gridCol w:w="1826"/>
        <w:gridCol w:w="1827"/>
      </w:tblGrid>
      <w:tr w:rsidR="008A4909" w:rsidRPr="005E324A" w:rsidTr="007A6BEA">
        <w:tc>
          <w:tcPr>
            <w:tcW w:w="2835" w:type="dxa"/>
          </w:tcPr>
          <w:p w:rsidR="008A4909" w:rsidRPr="005E324A" w:rsidRDefault="008A4909" w:rsidP="007A6BEA">
            <w:pPr>
              <w:adjustRightInd w:val="0"/>
              <w:spacing w:before="29" w:line="360" w:lineRule="auto"/>
              <w:ind w:left="17"/>
              <w:jc w:val="left"/>
              <w:rPr>
                <w:rFonts w:eastAsiaTheme="minorEastAsia"/>
                <w:kern w:val="0"/>
                <w:sz w:val="24"/>
              </w:rPr>
            </w:pPr>
            <w:r w:rsidRPr="005E324A">
              <w:rPr>
                <w:rFonts w:eastAsiaTheme="minorEastAsia"/>
                <w:kern w:val="0"/>
                <w:sz w:val="24"/>
              </w:rPr>
              <w:t>基金简称</w:t>
            </w:r>
          </w:p>
        </w:tc>
        <w:tc>
          <w:tcPr>
            <w:tcW w:w="5479" w:type="dxa"/>
            <w:gridSpan w:val="3"/>
          </w:tcPr>
          <w:p w:rsidR="008A4909" w:rsidRPr="005E324A" w:rsidRDefault="008A4909"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交银中证互联网金融指数分级</w:t>
            </w:r>
          </w:p>
        </w:tc>
      </w:tr>
      <w:tr w:rsidR="00161BBC" w:rsidRPr="005E324A" w:rsidTr="00161BBC">
        <w:tc>
          <w:tcPr>
            <w:tcW w:w="2835" w:type="dxa"/>
            <w:vAlign w:val="center"/>
          </w:tcPr>
          <w:p w:rsidR="00161BBC" w:rsidRPr="005E324A" w:rsidRDefault="00161BBC" w:rsidP="00161BBC">
            <w:pPr>
              <w:rPr>
                <w:sz w:val="24"/>
              </w:rPr>
            </w:pPr>
            <w:r w:rsidRPr="005E324A">
              <w:rPr>
                <w:sz w:val="24"/>
              </w:rPr>
              <w:t>场内简称</w:t>
            </w:r>
          </w:p>
        </w:tc>
        <w:tc>
          <w:tcPr>
            <w:tcW w:w="5479" w:type="dxa"/>
            <w:gridSpan w:val="3"/>
            <w:vAlign w:val="center"/>
          </w:tcPr>
          <w:p w:rsidR="00161BBC" w:rsidRPr="005E324A" w:rsidRDefault="00161BBC" w:rsidP="00161BBC">
            <w:pPr>
              <w:rPr>
                <w:sz w:val="24"/>
              </w:rPr>
            </w:pPr>
            <w:r w:rsidRPr="005E324A">
              <w:rPr>
                <w:sz w:val="24"/>
              </w:rPr>
              <w:t>E</w:t>
            </w:r>
            <w:r w:rsidRPr="005E324A">
              <w:rPr>
                <w:sz w:val="24"/>
              </w:rPr>
              <w:t>金融</w:t>
            </w:r>
          </w:p>
        </w:tc>
      </w:tr>
      <w:tr w:rsidR="002A44F9" w:rsidRPr="005E324A" w:rsidTr="002A44F9">
        <w:tc>
          <w:tcPr>
            <w:tcW w:w="2835" w:type="dxa"/>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kern w:val="0"/>
                <w:sz w:val="24"/>
              </w:rPr>
            </w:pPr>
            <w:r w:rsidRPr="005E324A">
              <w:rPr>
                <w:rFonts w:eastAsiaTheme="minorEastAsia"/>
                <w:kern w:val="0"/>
                <w:sz w:val="24"/>
              </w:rPr>
              <w:t>基金主代码</w:t>
            </w:r>
          </w:p>
        </w:tc>
        <w:tc>
          <w:tcPr>
            <w:tcW w:w="5479" w:type="dxa"/>
            <w:gridSpan w:val="3"/>
            <w:tcBorders>
              <w:top w:val="single" w:sz="4" w:space="0" w:color="auto"/>
              <w:left w:val="single" w:sz="4" w:space="0" w:color="auto"/>
              <w:bottom w:val="single" w:sz="4" w:space="0" w:color="auto"/>
              <w:right w:val="single" w:sz="4" w:space="0" w:color="auto"/>
            </w:tcBorders>
            <w:hideMark/>
          </w:tcPr>
          <w:p w:rsidR="002A44F9" w:rsidRPr="005E324A" w:rsidRDefault="002A44F9">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2A44F9">
        <w:tc>
          <w:tcPr>
            <w:tcW w:w="2835" w:type="dxa"/>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kern w:val="0"/>
                <w:sz w:val="24"/>
              </w:rPr>
            </w:pPr>
            <w:r w:rsidRPr="005E324A">
              <w:rPr>
                <w:rFonts w:eastAsiaTheme="minorEastAsia"/>
                <w:kern w:val="0"/>
                <w:sz w:val="24"/>
              </w:rPr>
              <w:t>交易代码</w:t>
            </w:r>
          </w:p>
        </w:tc>
        <w:tc>
          <w:tcPr>
            <w:tcW w:w="5479" w:type="dxa"/>
            <w:gridSpan w:val="3"/>
            <w:tcBorders>
              <w:top w:val="single" w:sz="4" w:space="0" w:color="auto"/>
              <w:left w:val="single" w:sz="4" w:space="0" w:color="auto"/>
              <w:bottom w:val="single" w:sz="4" w:space="0" w:color="auto"/>
              <w:right w:val="single" w:sz="4" w:space="0" w:color="auto"/>
            </w:tcBorders>
          </w:tcPr>
          <w:p w:rsidR="00134868" w:rsidRPr="005E324A" w:rsidRDefault="00134868" w:rsidP="00CA4126">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164907</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基金运作方式</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契约型开放式</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基金合同生效日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6</w:t>
            </w:r>
            <w:r w:rsidRPr="005E324A">
              <w:rPr>
                <w:rFonts w:eastAsiaTheme="minorEastAsia"/>
                <w:color w:val="000000"/>
                <w:kern w:val="0"/>
                <w:sz w:val="24"/>
              </w:rPr>
              <w:t>月</w:t>
            </w:r>
            <w:r w:rsidRPr="005E324A">
              <w:rPr>
                <w:rFonts w:eastAsiaTheme="minorEastAsia"/>
                <w:color w:val="000000"/>
                <w:kern w:val="0"/>
                <w:sz w:val="24"/>
              </w:rPr>
              <w:t>26</w:t>
            </w:r>
            <w:r w:rsidRPr="005E324A">
              <w:rPr>
                <w:rFonts w:eastAsiaTheme="minorEastAsia"/>
                <w:color w:val="000000"/>
                <w:kern w:val="0"/>
                <w:sz w:val="24"/>
              </w:rPr>
              <w:t>日</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报告期末基金份额总额</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330,206,889.63</w:t>
            </w:r>
            <w:r w:rsidRPr="005E324A">
              <w:rPr>
                <w:rFonts w:eastAsiaTheme="minorEastAsia"/>
                <w:color w:val="000000"/>
                <w:kern w:val="0"/>
                <w:sz w:val="24"/>
              </w:rPr>
              <w:t>份</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投资目标</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本基金采用指数化投资，紧密跟踪标的指数，追求跟踪偏离度与跟踪误差最小化。本基金力争控制本基金日均跟踪偏离度的绝对值不超过</w:t>
            </w:r>
            <w:r w:rsidRPr="005E324A">
              <w:rPr>
                <w:rFonts w:eastAsiaTheme="minorEastAsia"/>
                <w:color w:val="000000"/>
                <w:kern w:val="0"/>
                <w:sz w:val="24"/>
              </w:rPr>
              <w:t>0.35%</w:t>
            </w:r>
            <w:r w:rsidRPr="005E324A">
              <w:rPr>
                <w:rFonts w:eastAsiaTheme="minorEastAsia"/>
                <w:color w:val="000000"/>
                <w:kern w:val="0"/>
                <w:sz w:val="24"/>
              </w:rPr>
              <w:t>，年跟踪误差不超过</w:t>
            </w:r>
            <w:r w:rsidRPr="005E324A">
              <w:rPr>
                <w:rFonts w:eastAsiaTheme="minorEastAsia"/>
                <w:color w:val="000000"/>
                <w:kern w:val="0"/>
                <w:sz w:val="24"/>
              </w:rPr>
              <w:t>4%</w:t>
            </w:r>
            <w:r w:rsidRPr="005E324A">
              <w:rPr>
                <w:rFonts w:eastAsiaTheme="minorEastAsia"/>
                <w:color w:val="000000"/>
                <w:kern w:val="0"/>
                <w:sz w:val="24"/>
              </w:rPr>
              <w:t>。</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投资策略</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本基金为指数型基金，绝大部分资产采用完全复制标的指数的方法跟踪标的指数，即按照中证互联网</w:t>
            </w:r>
            <w:r w:rsidRPr="005E324A">
              <w:rPr>
                <w:rFonts w:eastAsiaTheme="minorEastAsia"/>
                <w:color w:val="000000"/>
                <w:kern w:val="0"/>
                <w:sz w:val="24"/>
              </w:rPr>
              <w:lastRenderedPageBreak/>
              <w:t>金融指数中的成份股组成及其权重构建股票投资组合，并根据标的指数成份股及其权重的变动进行相应调整。当预期成份股发生调整和成份股发生配股、增发、分红等行为时，或因基金的申购和赎回等对本基金跟踪标的指数的效果可能带来影响时，或因某些特殊情况导致成份股流动性不足时，或其他原因导致无法有效复制和跟踪标的指数时，基金管理人可以对投资组合管理进行适当变通和调整，从而使得投资组合紧密地跟踪标的指数。</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lastRenderedPageBreak/>
              <w:t>业绩比较基准</w:t>
            </w:r>
          </w:p>
        </w:tc>
        <w:tc>
          <w:tcPr>
            <w:tcW w:w="5479" w:type="dxa"/>
            <w:gridSpan w:val="3"/>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中证互联网金融指数收益率</w:t>
            </w:r>
            <w:r w:rsidRPr="005E324A">
              <w:rPr>
                <w:rFonts w:eastAsiaTheme="minorEastAsia"/>
                <w:color w:val="000000"/>
                <w:kern w:val="0"/>
                <w:sz w:val="24"/>
              </w:rPr>
              <w:t>×95%</w:t>
            </w:r>
            <w:r w:rsidRPr="005E324A">
              <w:rPr>
                <w:rFonts w:eastAsiaTheme="minorEastAsia"/>
                <w:color w:val="000000"/>
                <w:kern w:val="0"/>
                <w:sz w:val="24"/>
              </w:rPr>
              <w:t>＋银行活期存款利率（税后）</w:t>
            </w:r>
            <w:r w:rsidRPr="005E324A">
              <w:rPr>
                <w:rFonts w:eastAsiaTheme="minorEastAsia"/>
                <w:color w:val="000000"/>
                <w:kern w:val="0"/>
                <w:sz w:val="24"/>
              </w:rPr>
              <w:t>×5%</w:t>
            </w:r>
            <w:r w:rsidRPr="005E324A">
              <w:rPr>
                <w:rFonts w:eastAsiaTheme="minorEastAsia"/>
                <w:color w:val="000000"/>
                <w:kern w:val="0"/>
                <w:sz w:val="24"/>
              </w:rPr>
              <w:t>。</w:t>
            </w:r>
          </w:p>
        </w:tc>
      </w:tr>
      <w:tr w:rsidR="00134868" w:rsidRPr="005E324A" w:rsidTr="00A008DA">
        <w:tc>
          <w:tcPr>
            <w:tcW w:w="2835" w:type="dxa"/>
          </w:tcPr>
          <w:p w:rsidR="00134868" w:rsidRPr="005E324A" w:rsidRDefault="00134868" w:rsidP="00A008DA">
            <w:pPr>
              <w:adjustRightInd w:val="0"/>
              <w:spacing w:before="29" w:line="360" w:lineRule="auto"/>
              <w:ind w:left="17"/>
              <w:jc w:val="left"/>
              <w:rPr>
                <w:rFonts w:eastAsiaTheme="minorEastAsia"/>
                <w:sz w:val="24"/>
              </w:rPr>
            </w:pPr>
            <w:bookmarkStart w:id="0" w:name="_GoBack"/>
            <w:bookmarkEnd w:id="0"/>
            <w:r w:rsidRPr="005E324A">
              <w:rPr>
                <w:rFonts w:eastAsiaTheme="minorEastAsia"/>
                <w:kern w:val="0"/>
                <w:sz w:val="24"/>
              </w:rPr>
              <w:t>风险收益特征</w:t>
            </w:r>
          </w:p>
        </w:tc>
        <w:tc>
          <w:tcPr>
            <w:tcW w:w="5479" w:type="dxa"/>
            <w:gridSpan w:val="3"/>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交银互联网金融份额具有与标的指数、以及标的指数所代表的股票市场相似的风险收益特征；交银互联网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份额具有低预期风险、预期收益相对稳定的特征；交银互联网金融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基金管理人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交银施罗德基金管理有限公司</w:t>
            </w:r>
          </w:p>
        </w:tc>
      </w:tr>
      <w:tr w:rsidR="00134868" w:rsidRPr="005E324A" w:rsidTr="007A6BEA">
        <w:tc>
          <w:tcPr>
            <w:tcW w:w="2835" w:type="dxa"/>
          </w:tcPr>
          <w:p w:rsidR="00134868" w:rsidRPr="005E324A" w:rsidRDefault="00134868" w:rsidP="007A6BEA">
            <w:pPr>
              <w:adjustRightInd w:val="0"/>
              <w:spacing w:before="29" w:line="360" w:lineRule="auto"/>
              <w:ind w:left="17"/>
              <w:jc w:val="left"/>
              <w:rPr>
                <w:rFonts w:eastAsiaTheme="minorEastAsia"/>
                <w:sz w:val="24"/>
              </w:rPr>
            </w:pPr>
            <w:r w:rsidRPr="005E324A">
              <w:rPr>
                <w:rFonts w:eastAsiaTheme="minorEastAsia"/>
                <w:kern w:val="0"/>
                <w:sz w:val="24"/>
              </w:rPr>
              <w:t>基金托管人</w:t>
            </w:r>
          </w:p>
        </w:tc>
        <w:tc>
          <w:tcPr>
            <w:tcW w:w="5479" w:type="dxa"/>
            <w:gridSpan w:val="3"/>
          </w:tcPr>
          <w:p w:rsidR="00134868" w:rsidRPr="005E324A" w:rsidRDefault="00134868" w:rsidP="007A6BE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中国建设银行股份有限公司</w:t>
            </w:r>
          </w:p>
        </w:tc>
      </w:tr>
      <w:tr w:rsidR="00134868" w:rsidRPr="005E324A" w:rsidTr="000B5208">
        <w:tc>
          <w:tcPr>
            <w:tcW w:w="2835" w:type="dxa"/>
          </w:tcPr>
          <w:p w:rsidR="00134868" w:rsidRPr="005E324A" w:rsidRDefault="00134868" w:rsidP="005F621F">
            <w:pPr>
              <w:adjustRightInd w:val="0"/>
              <w:spacing w:before="29" w:line="360" w:lineRule="auto"/>
              <w:ind w:left="17"/>
              <w:jc w:val="left"/>
              <w:rPr>
                <w:rFonts w:eastAsiaTheme="minorEastAsia"/>
                <w:kern w:val="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级基金的基金简称</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p>
        </w:tc>
        <w:tc>
          <w:tcPr>
            <w:tcW w:w="1826"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1827" w:type="dxa"/>
            <w:vAlign w:val="center"/>
          </w:tcPr>
          <w:p w:rsidR="00134868" w:rsidRPr="005E324A" w:rsidRDefault="00134868" w:rsidP="000B5208">
            <w:pPr>
              <w:rPr>
                <w:rFonts w:eastAsiaTheme="minorEastAsia"/>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C136F5" w:rsidRPr="005E324A" w:rsidTr="000B5208">
        <w:tc>
          <w:tcPr>
            <w:tcW w:w="2835" w:type="dxa"/>
          </w:tcPr>
          <w:p w:rsidR="00C136F5" w:rsidRPr="005E324A" w:rsidRDefault="00C136F5"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级基金的场内简称</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p>
        </w:tc>
        <w:tc>
          <w:tcPr>
            <w:tcW w:w="1826"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A</w:t>
            </w:r>
          </w:p>
        </w:tc>
        <w:tc>
          <w:tcPr>
            <w:tcW w:w="1827" w:type="dxa"/>
            <w:vAlign w:val="center"/>
          </w:tcPr>
          <w:p w:rsidR="00C136F5" w:rsidRPr="005E324A" w:rsidRDefault="00C136F5" w:rsidP="000B5208">
            <w:pPr>
              <w:rPr>
                <w:rFonts w:eastAsiaTheme="minorEastAsia"/>
                <w:color w:val="000000"/>
                <w:kern w:val="0"/>
                <w:sz w:val="24"/>
              </w:rPr>
            </w:pPr>
            <w:r w:rsidRPr="005E324A">
              <w:rPr>
                <w:sz w:val="24"/>
              </w:rPr>
              <w:t>E</w:t>
            </w:r>
            <w:r w:rsidRPr="005E324A">
              <w:rPr>
                <w:sz w:val="24"/>
              </w:rPr>
              <w:t>金融</w:t>
            </w:r>
            <w:r w:rsidRPr="005E324A">
              <w:rPr>
                <w:sz w:val="24"/>
              </w:rPr>
              <w:t>B</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t>下属</w:t>
            </w:r>
            <w:r w:rsidR="005F621F" w:rsidRPr="005E324A">
              <w:rPr>
                <w:rFonts w:eastAsiaTheme="minorEastAsia"/>
                <w:color w:val="000000"/>
                <w:sz w:val="24"/>
              </w:rPr>
              <w:t>分</w:t>
            </w:r>
            <w:r w:rsidRPr="005E324A">
              <w:rPr>
                <w:rFonts w:eastAsiaTheme="minorEastAsia"/>
                <w:color w:val="000000"/>
                <w:sz w:val="24"/>
              </w:rPr>
              <w:t>级基金的交易代码</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164907</w:t>
            </w:r>
          </w:p>
        </w:tc>
        <w:tc>
          <w:tcPr>
            <w:tcW w:w="1826"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150317</w:t>
            </w:r>
          </w:p>
        </w:tc>
        <w:tc>
          <w:tcPr>
            <w:tcW w:w="1827" w:type="dxa"/>
            <w:vAlign w:val="center"/>
          </w:tcPr>
          <w:p w:rsidR="00134868" w:rsidRPr="005E324A" w:rsidRDefault="00134868" w:rsidP="005E7140">
            <w:pPr>
              <w:adjustRightInd w:val="0"/>
              <w:spacing w:before="29" w:line="360" w:lineRule="auto"/>
              <w:ind w:left="17"/>
              <w:jc w:val="left"/>
              <w:rPr>
                <w:rFonts w:eastAsiaTheme="minorEastAsia"/>
                <w:sz w:val="24"/>
              </w:rPr>
            </w:pPr>
            <w:r w:rsidRPr="005E324A">
              <w:rPr>
                <w:rFonts w:eastAsiaTheme="minorEastAsia"/>
                <w:color w:val="000000"/>
                <w:kern w:val="0"/>
                <w:sz w:val="24"/>
              </w:rPr>
              <w:t>150318</w:t>
            </w:r>
          </w:p>
        </w:tc>
      </w:tr>
      <w:tr w:rsidR="00134868" w:rsidRPr="005E324A" w:rsidTr="00EB3E72">
        <w:tc>
          <w:tcPr>
            <w:tcW w:w="2835" w:type="dxa"/>
          </w:tcPr>
          <w:p w:rsidR="00134868" w:rsidRPr="005E324A" w:rsidRDefault="00134868" w:rsidP="00CD0AAD">
            <w:pPr>
              <w:adjustRightInd w:val="0"/>
              <w:spacing w:before="29" w:line="360" w:lineRule="auto"/>
              <w:ind w:left="17"/>
              <w:jc w:val="left"/>
              <w:rPr>
                <w:rFonts w:eastAsiaTheme="minorEastAsia"/>
                <w:color w:val="000000"/>
                <w:sz w:val="24"/>
              </w:rPr>
            </w:pPr>
            <w:r w:rsidRPr="005E324A">
              <w:rPr>
                <w:rFonts w:eastAsiaTheme="minorEastAsia"/>
                <w:color w:val="000000"/>
                <w:sz w:val="24"/>
              </w:rPr>
              <w:lastRenderedPageBreak/>
              <w:t>报告期末下属</w:t>
            </w:r>
            <w:r w:rsidR="005F621F" w:rsidRPr="005E324A">
              <w:rPr>
                <w:rFonts w:eastAsiaTheme="minorEastAsia"/>
                <w:color w:val="000000"/>
                <w:sz w:val="24"/>
              </w:rPr>
              <w:t>分</w:t>
            </w:r>
            <w:r w:rsidRPr="005E324A">
              <w:rPr>
                <w:rFonts w:eastAsiaTheme="minorEastAsia"/>
                <w:color w:val="000000"/>
                <w:sz w:val="24"/>
              </w:rPr>
              <w:t>级基金的份额总额</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262,822,479.63</w:t>
            </w:r>
            <w:r w:rsidRPr="005E324A">
              <w:rPr>
                <w:rFonts w:eastAsiaTheme="minorEastAsia"/>
                <w:color w:val="000000"/>
                <w:kern w:val="0"/>
                <w:sz w:val="24"/>
              </w:rPr>
              <w:t>份</w:t>
            </w:r>
          </w:p>
        </w:tc>
        <w:tc>
          <w:tcPr>
            <w:tcW w:w="1826"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33,692,205.00</w:t>
            </w:r>
            <w:r w:rsidRPr="005E324A">
              <w:rPr>
                <w:rFonts w:eastAsiaTheme="minorEastAsia"/>
                <w:color w:val="000000"/>
                <w:kern w:val="0"/>
                <w:sz w:val="24"/>
              </w:rPr>
              <w:t>份</w:t>
            </w:r>
          </w:p>
        </w:tc>
        <w:tc>
          <w:tcPr>
            <w:tcW w:w="1827" w:type="dxa"/>
            <w:vAlign w:val="center"/>
          </w:tcPr>
          <w:p w:rsidR="00134868" w:rsidRPr="005E324A" w:rsidRDefault="00134868" w:rsidP="00057DD3">
            <w:pPr>
              <w:jc w:val="left"/>
              <w:rPr>
                <w:rFonts w:eastAsiaTheme="minorEastAsia"/>
                <w:sz w:val="24"/>
              </w:rPr>
            </w:pPr>
            <w:r w:rsidRPr="005E324A">
              <w:rPr>
                <w:rFonts w:eastAsiaTheme="minorEastAsia"/>
                <w:color w:val="000000"/>
                <w:kern w:val="0"/>
                <w:sz w:val="24"/>
              </w:rPr>
              <w:t>33,692,205.00</w:t>
            </w:r>
            <w:r w:rsidRPr="005E324A">
              <w:rPr>
                <w:rFonts w:eastAsiaTheme="minorEastAsia"/>
                <w:color w:val="000000"/>
                <w:kern w:val="0"/>
                <w:sz w:val="24"/>
              </w:rPr>
              <w:t>份</w:t>
            </w:r>
          </w:p>
        </w:tc>
      </w:tr>
      <w:tr w:rsidR="00134868" w:rsidRPr="005E324A" w:rsidTr="00EB3E72">
        <w:tc>
          <w:tcPr>
            <w:tcW w:w="2835" w:type="dxa"/>
          </w:tcPr>
          <w:p w:rsidR="00134868" w:rsidRPr="005E324A" w:rsidRDefault="00307735" w:rsidP="00A008DA">
            <w:pPr>
              <w:adjustRightInd w:val="0"/>
              <w:spacing w:before="29" w:line="360" w:lineRule="auto"/>
              <w:ind w:left="17"/>
              <w:jc w:val="left"/>
              <w:rPr>
                <w:rFonts w:eastAsiaTheme="minorEastAsia"/>
                <w:sz w:val="24"/>
              </w:rPr>
            </w:pPr>
            <w:r w:rsidRPr="005E324A">
              <w:rPr>
                <w:sz w:val="24"/>
              </w:rPr>
              <w:t>下属分级基金的</w:t>
            </w:r>
            <w:r w:rsidR="00134868" w:rsidRPr="005E324A">
              <w:rPr>
                <w:rFonts w:eastAsiaTheme="minorEastAsia"/>
                <w:kern w:val="0"/>
                <w:sz w:val="24"/>
              </w:rPr>
              <w:t>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金融份额具有与标的指数、以及标的指数所代表的股票市场相似的风险收益特征</w:t>
            </w:r>
          </w:p>
        </w:tc>
        <w:tc>
          <w:tcPr>
            <w:tcW w:w="1826"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A</w:t>
            </w:r>
            <w:r w:rsidRPr="005E324A">
              <w:rPr>
                <w:rFonts w:eastAsiaTheme="minorEastAsia"/>
                <w:color w:val="000000"/>
                <w:kern w:val="0"/>
                <w:sz w:val="24"/>
              </w:rPr>
              <w:t>份额具有低预期风险、预期收益相对稳定的特征</w:t>
            </w:r>
          </w:p>
        </w:tc>
        <w:tc>
          <w:tcPr>
            <w:tcW w:w="1827" w:type="dxa"/>
          </w:tcPr>
          <w:p w:rsidR="00134868" w:rsidRPr="005E324A" w:rsidRDefault="00134868" w:rsidP="00A008DA">
            <w:pPr>
              <w:adjustRightInd w:val="0"/>
              <w:spacing w:before="29" w:line="360" w:lineRule="auto"/>
              <w:ind w:left="17"/>
              <w:jc w:val="left"/>
              <w:rPr>
                <w:rFonts w:eastAsiaTheme="minorEastAsia"/>
                <w:color w:val="000000"/>
                <w:sz w:val="24"/>
              </w:rPr>
            </w:pPr>
            <w:r w:rsidRPr="005E324A">
              <w:rPr>
                <w:rFonts w:eastAsiaTheme="minorEastAsia"/>
                <w:color w:val="000000"/>
                <w:kern w:val="0"/>
                <w:sz w:val="24"/>
              </w:rPr>
              <w:t>交银</w:t>
            </w:r>
            <w:r w:rsidRPr="005E324A">
              <w:rPr>
                <w:rFonts w:eastAsiaTheme="minorEastAsia"/>
                <w:color w:val="000000"/>
                <w:kern w:val="0"/>
                <w:sz w:val="24"/>
              </w:rPr>
              <w:t>E</w:t>
            </w:r>
            <w:r w:rsidRPr="005E324A">
              <w:rPr>
                <w:rFonts w:eastAsiaTheme="minorEastAsia"/>
                <w:color w:val="000000"/>
                <w:kern w:val="0"/>
                <w:sz w:val="24"/>
              </w:rPr>
              <w:t>金融</w:t>
            </w:r>
            <w:r w:rsidRPr="005E324A">
              <w:rPr>
                <w:rFonts w:eastAsiaTheme="minorEastAsia"/>
                <w:color w:val="000000"/>
                <w:kern w:val="0"/>
                <w:sz w:val="24"/>
              </w:rPr>
              <w:t>B</w:t>
            </w:r>
            <w:r w:rsidRPr="005E324A">
              <w:rPr>
                <w:rFonts w:eastAsiaTheme="minorEastAsia"/>
                <w:color w:val="000000"/>
                <w:kern w:val="0"/>
                <w:sz w:val="24"/>
              </w:rPr>
              <w:t>份额具有高预期风险、高预期收益的特征</w:t>
            </w:r>
          </w:p>
        </w:tc>
      </w:tr>
    </w:tbl>
    <w:p w:rsidR="00220542" w:rsidRPr="005E324A" w:rsidRDefault="00220542" w:rsidP="00784EF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§3  </w:t>
      </w:r>
      <w:r w:rsidRPr="005E324A">
        <w:rPr>
          <w:rFonts w:eastAsiaTheme="minorEastAsia"/>
          <w:color w:val="000000"/>
          <w:kern w:val="0"/>
          <w:sz w:val="24"/>
          <w:szCs w:val="24"/>
        </w:rPr>
        <w:t>主要财务指标和基金净值表现</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3.1 </w:t>
      </w:r>
      <w:r w:rsidRPr="005E324A">
        <w:rPr>
          <w:rFonts w:eastAsiaTheme="minorEastAsia"/>
          <w:b/>
          <w:color w:val="000000"/>
          <w:kern w:val="0"/>
          <w:sz w:val="24"/>
        </w:rPr>
        <w:t>主要财务指标</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4962"/>
      </w:tblGrid>
      <w:tr w:rsidR="00784EF2" w:rsidRPr="005E324A" w:rsidTr="00784EF2">
        <w:tc>
          <w:tcPr>
            <w:tcW w:w="3402" w:type="dxa"/>
            <w:vAlign w:val="center"/>
          </w:tcPr>
          <w:p w:rsidR="00FC219C" w:rsidRPr="005E324A" w:rsidRDefault="00FC219C" w:rsidP="004D67E0">
            <w:pPr>
              <w:adjustRightInd w:val="0"/>
              <w:spacing w:before="29" w:line="360" w:lineRule="auto"/>
              <w:ind w:left="17"/>
              <w:jc w:val="center"/>
              <w:rPr>
                <w:rFonts w:eastAsiaTheme="minorEastAsia"/>
                <w:kern w:val="0"/>
                <w:sz w:val="24"/>
              </w:rPr>
            </w:pPr>
            <w:r w:rsidRPr="005E324A">
              <w:rPr>
                <w:rFonts w:eastAsiaTheme="minorEastAsia"/>
                <w:kern w:val="0"/>
                <w:sz w:val="24"/>
              </w:rPr>
              <w:t>主要财务指标</w:t>
            </w:r>
          </w:p>
        </w:tc>
        <w:tc>
          <w:tcPr>
            <w:tcW w:w="4962" w:type="dxa"/>
            <w:vAlign w:val="center"/>
          </w:tcPr>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报告期</w:t>
            </w:r>
          </w:p>
          <w:p w:rsidR="00FC219C" w:rsidRPr="005E324A" w:rsidRDefault="00FC219C" w:rsidP="004D67E0">
            <w:pPr>
              <w:adjustRightInd w:val="0"/>
              <w:spacing w:before="29" w:line="360" w:lineRule="auto"/>
              <w:ind w:left="17"/>
              <w:jc w:val="center"/>
              <w:rPr>
                <w:rFonts w:eastAsiaTheme="minorEastAsia"/>
                <w:color w:val="000000"/>
                <w:sz w:val="24"/>
              </w:rPr>
            </w:pP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10</w:t>
            </w:r>
            <w:r w:rsidRPr="005E324A">
              <w:rPr>
                <w:rFonts w:eastAsiaTheme="minorEastAsia"/>
                <w:color w:val="000000"/>
                <w:sz w:val="24"/>
              </w:rPr>
              <w:t>月</w:t>
            </w:r>
            <w:r w:rsidRPr="005E324A">
              <w:rPr>
                <w:rFonts w:eastAsiaTheme="minorEastAsia"/>
                <w:color w:val="000000"/>
                <w:sz w:val="24"/>
              </w:rPr>
              <w:t>1</w:t>
            </w:r>
            <w:r w:rsidRPr="005E324A">
              <w:rPr>
                <w:rFonts w:eastAsiaTheme="minorEastAsia"/>
                <w:color w:val="000000"/>
                <w:sz w:val="24"/>
              </w:rPr>
              <w:t>日</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31</w:t>
            </w:r>
            <w:r w:rsidRPr="005E324A">
              <w:rPr>
                <w:rFonts w:eastAsiaTheme="minorEastAsia"/>
                <w:color w:val="000000"/>
                <w:sz w:val="24"/>
              </w:rPr>
              <w:t>日</w:t>
            </w:r>
            <w:r w:rsidRPr="005E324A">
              <w:rPr>
                <w:rFonts w:eastAsiaTheme="minorEastAsia"/>
                <w:color w:val="000000"/>
                <w:sz w:val="24"/>
              </w:rPr>
              <w:t>)</w:t>
            </w:r>
          </w:p>
        </w:tc>
      </w:tr>
      <w:tr w:rsidR="00784EF2" w:rsidRPr="005E324A" w:rsidTr="00784EF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1.</w:t>
            </w:r>
            <w:r w:rsidRPr="005E324A">
              <w:rPr>
                <w:rFonts w:eastAsiaTheme="minorEastAsia"/>
                <w:kern w:val="0"/>
                <w:sz w:val="24"/>
              </w:rPr>
              <w:t>本期已实现收益</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-7,770,142.68</w:t>
            </w:r>
          </w:p>
        </w:tc>
      </w:tr>
      <w:tr w:rsidR="00784EF2" w:rsidRPr="005E324A" w:rsidTr="00784EF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2.</w:t>
            </w:r>
            <w:r w:rsidRPr="005E324A">
              <w:rPr>
                <w:rFonts w:eastAsiaTheme="minorEastAsia"/>
                <w:kern w:val="0"/>
                <w:sz w:val="24"/>
              </w:rPr>
              <w:t>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67,261,148.52</w:t>
            </w:r>
          </w:p>
        </w:tc>
      </w:tr>
      <w:tr w:rsidR="00784EF2" w:rsidRPr="005E324A" w:rsidTr="00784EF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3.</w:t>
            </w:r>
            <w:r w:rsidRPr="005E324A">
              <w:rPr>
                <w:rFonts w:eastAsiaTheme="minorEastAsia"/>
                <w:kern w:val="0"/>
                <w:sz w:val="24"/>
              </w:rPr>
              <w:t>加权平均基金份额本期利润</w:t>
            </w:r>
          </w:p>
        </w:tc>
        <w:tc>
          <w:tcPr>
            <w:tcW w:w="4962" w:type="dxa"/>
            <w:vAlign w:val="bottom"/>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0.1767</w:t>
            </w:r>
          </w:p>
        </w:tc>
      </w:tr>
      <w:tr w:rsidR="00784EF2" w:rsidRPr="005E324A" w:rsidTr="00784EF2">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4.</w:t>
            </w:r>
            <w:r w:rsidRPr="005E324A">
              <w:rPr>
                <w:rFonts w:eastAsiaTheme="minorEastAsia"/>
                <w:kern w:val="0"/>
                <w:sz w:val="24"/>
              </w:rPr>
              <w:t>期末基金资产净值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301,357,003.80</w:t>
            </w:r>
          </w:p>
        </w:tc>
      </w:tr>
      <w:tr w:rsidR="00784EF2" w:rsidRPr="005E324A" w:rsidTr="00784EF2">
        <w:trPr>
          <w:trHeight w:val="158"/>
        </w:trPr>
        <w:tc>
          <w:tcPr>
            <w:tcW w:w="3402" w:type="dxa"/>
          </w:tcPr>
          <w:p w:rsidR="00FC219C" w:rsidRPr="005E324A" w:rsidRDefault="00FC219C" w:rsidP="004D67E0">
            <w:pPr>
              <w:adjustRightInd w:val="0"/>
              <w:spacing w:before="29" w:line="360" w:lineRule="auto"/>
              <w:ind w:left="17"/>
              <w:rPr>
                <w:rFonts w:eastAsiaTheme="minorEastAsia"/>
                <w:kern w:val="0"/>
                <w:sz w:val="24"/>
              </w:rPr>
            </w:pPr>
            <w:r w:rsidRPr="005E324A">
              <w:rPr>
                <w:rFonts w:eastAsiaTheme="minorEastAsia"/>
                <w:kern w:val="0"/>
                <w:sz w:val="24"/>
              </w:rPr>
              <w:t>5.</w:t>
            </w:r>
            <w:r w:rsidRPr="005E324A">
              <w:rPr>
                <w:rFonts w:eastAsiaTheme="minorEastAsia"/>
                <w:kern w:val="0"/>
                <w:sz w:val="24"/>
              </w:rPr>
              <w:t>期末基金份额净值</w:t>
            </w:r>
          </w:p>
        </w:tc>
        <w:tc>
          <w:tcPr>
            <w:tcW w:w="4962" w:type="dxa"/>
          </w:tcPr>
          <w:p w:rsidR="00FC219C" w:rsidRPr="005E324A" w:rsidRDefault="00FC219C" w:rsidP="005E7140">
            <w:pPr>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0.913</w:t>
            </w:r>
          </w:p>
        </w:tc>
      </w:tr>
    </w:tbl>
    <w:p w:rsidR="00E85E7E" w:rsidRDefault="00784EF2">
      <w:pPr>
        <w:autoSpaceDE w:val="0"/>
        <w:autoSpaceDN w:val="0"/>
        <w:adjustRightInd w:val="0"/>
        <w:spacing w:line="360"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、上述基金业绩指标不包括持有人认购或交易基金的各项费用，计入费用后的实际收益水平要低于所列数字；</w:t>
      </w:r>
    </w:p>
    <w:p w:rsidR="00220542" w:rsidRPr="005E324A" w:rsidRDefault="006D676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 xml:space="preserve">    2</w:t>
      </w:r>
      <w:r w:rsidRPr="005E324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3.2 </w:t>
      </w:r>
      <w:r w:rsidRPr="005E324A">
        <w:rPr>
          <w:rFonts w:eastAsiaTheme="minorEastAsia"/>
          <w:b/>
          <w:color w:val="000000"/>
          <w:kern w:val="0"/>
          <w:sz w:val="24"/>
        </w:rPr>
        <w:t>基金净值表现</w:t>
      </w:r>
    </w:p>
    <w:p w:rsidR="007622F6" w:rsidRPr="005E324A" w:rsidRDefault="00220542"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3.2.1</w:t>
        </w:r>
      </w:smartTag>
      <w:r w:rsidRPr="005E324A">
        <w:rPr>
          <w:rFonts w:eastAsiaTheme="minorEastAsia"/>
          <w:b/>
          <w:color w:val="000000"/>
          <w:kern w:val="0"/>
          <w:sz w:val="24"/>
        </w:rPr>
        <w:t>本报告期基金份额净值增长率及其与同期业绩比较基准收益率的比较</w:t>
      </w:r>
    </w:p>
    <w:tbl>
      <w:tblPr>
        <w:tblStyle w:val="af7"/>
        <w:tblW w:w="0" w:type="auto"/>
        <w:tblInd w:w="15" w:type="dxa"/>
        <w:tblLayout w:type="fixed"/>
        <w:tblLook w:val="04A0" w:firstRow="1" w:lastRow="0" w:firstColumn="1" w:lastColumn="0" w:noHBand="0" w:noVBand="1"/>
      </w:tblPr>
      <w:tblGrid>
        <w:gridCol w:w="1215"/>
        <w:gridCol w:w="1216"/>
        <w:gridCol w:w="1216"/>
        <w:gridCol w:w="1216"/>
        <w:gridCol w:w="1216"/>
        <w:gridCol w:w="1217"/>
        <w:gridCol w:w="1217"/>
      </w:tblGrid>
      <w:tr w:rsidR="00E27A14" w:rsidRPr="005E324A" w:rsidTr="00E34CDF">
        <w:tc>
          <w:tcPr>
            <w:tcW w:w="1215"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阶段</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w:t>
            </w:r>
            <w:r w:rsidRPr="005E324A">
              <w:rPr>
                <w:rFonts w:ascii="宋体" w:hAnsi="宋体" w:cs="宋体" w:hint="eastAsia"/>
                <w:color w:val="000000"/>
                <w:sz w:val="24"/>
              </w:rPr>
              <w:t>①</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highlight w:val="green"/>
              </w:rPr>
            </w:pPr>
            <w:r w:rsidRPr="005E324A">
              <w:rPr>
                <w:rFonts w:eastAsiaTheme="minorEastAsia"/>
                <w:color w:val="000000"/>
                <w:sz w:val="24"/>
              </w:rPr>
              <w:t>净值增长率标准差</w:t>
            </w:r>
            <w:r w:rsidRPr="005E324A">
              <w:rPr>
                <w:rFonts w:ascii="宋体" w:hAnsi="宋体" w:cs="宋体" w:hint="eastAsia"/>
                <w:color w:val="000000"/>
                <w:sz w:val="24"/>
              </w:rPr>
              <w:t>②</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w:t>
            </w:r>
            <w:r w:rsidRPr="005E324A">
              <w:rPr>
                <w:rFonts w:ascii="宋体" w:hAnsi="宋体" w:cs="宋体" w:hint="eastAsia"/>
                <w:color w:val="000000"/>
                <w:sz w:val="24"/>
              </w:rPr>
              <w:t>③</w:t>
            </w:r>
          </w:p>
        </w:tc>
        <w:tc>
          <w:tcPr>
            <w:tcW w:w="1216"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eastAsiaTheme="minorEastAsia"/>
                <w:color w:val="000000"/>
                <w:sz w:val="24"/>
              </w:rPr>
              <w:t>业绩比较基准收益率标准差</w:t>
            </w:r>
            <w:r w:rsidRPr="005E324A">
              <w:rPr>
                <w:rFonts w:ascii="宋体" w:hAnsi="宋体" w:cs="宋体" w:hint="eastAsia"/>
                <w:color w:val="000000"/>
                <w:sz w:val="24"/>
              </w:rPr>
              <w:t>④</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①</w:t>
            </w:r>
            <w:r w:rsidRPr="005E324A">
              <w:rPr>
                <w:rFonts w:eastAsiaTheme="minorEastAsia"/>
                <w:color w:val="000000"/>
                <w:sz w:val="24"/>
              </w:rPr>
              <w:t>－</w:t>
            </w:r>
            <w:r w:rsidRPr="005E324A">
              <w:rPr>
                <w:rFonts w:ascii="宋体" w:hAnsi="宋体" w:cs="宋体" w:hint="eastAsia"/>
                <w:color w:val="000000"/>
                <w:sz w:val="24"/>
              </w:rPr>
              <w:t>③</w:t>
            </w:r>
          </w:p>
        </w:tc>
        <w:tc>
          <w:tcPr>
            <w:tcW w:w="1217" w:type="dxa"/>
            <w:vAlign w:val="center"/>
          </w:tcPr>
          <w:p w:rsidR="00E27A14" w:rsidRPr="005E324A" w:rsidRDefault="00E27A14" w:rsidP="00465C86">
            <w:pPr>
              <w:snapToGrid w:val="0"/>
              <w:spacing w:line="288" w:lineRule="auto"/>
              <w:jc w:val="center"/>
              <w:rPr>
                <w:rFonts w:eastAsiaTheme="minorEastAsia"/>
                <w:color w:val="000000"/>
                <w:sz w:val="24"/>
              </w:rPr>
            </w:pPr>
            <w:r w:rsidRPr="005E324A">
              <w:rPr>
                <w:rFonts w:ascii="宋体" w:hAnsi="宋体" w:cs="宋体" w:hint="eastAsia"/>
                <w:color w:val="000000"/>
                <w:sz w:val="24"/>
              </w:rPr>
              <w:t>②</w:t>
            </w:r>
            <w:r w:rsidRPr="005E324A">
              <w:rPr>
                <w:rFonts w:eastAsiaTheme="minorEastAsia"/>
                <w:color w:val="000000"/>
                <w:sz w:val="24"/>
              </w:rPr>
              <w:t>－</w:t>
            </w:r>
            <w:r w:rsidRPr="005E324A">
              <w:rPr>
                <w:rFonts w:ascii="宋体" w:hAnsi="宋体" w:cs="宋体" w:hint="eastAsia"/>
                <w:color w:val="000000"/>
                <w:sz w:val="24"/>
              </w:rPr>
              <w:t>④</w:t>
            </w:r>
          </w:p>
        </w:tc>
      </w:tr>
      <w:tr w:rsidR="00E85E7E">
        <w:tc>
          <w:tcPr>
            <w:tcW w:w="1215" w:type="dxa"/>
            <w:vAlign w:val="center"/>
          </w:tcPr>
          <w:p w:rsidR="00E85E7E" w:rsidRDefault="00784EF2">
            <w:pPr>
              <w:jc w:val="left"/>
            </w:pPr>
            <w:r>
              <w:rPr>
                <w:rFonts w:eastAsiaTheme="minorEastAsia"/>
                <w:color w:val="000000"/>
                <w:kern w:val="0"/>
                <w:sz w:val="24"/>
              </w:rPr>
              <w:t>过去三个月</w:t>
            </w:r>
          </w:p>
        </w:tc>
        <w:tc>
          <w:tcPr>
            <w:tcW w:w="1216" w:type="dxa"/>
            <w:vAlign w:val="center"/>
          </w:tcPr>
          <w:p w:rsidR="00E85E7E" w:rsidRDefault="00784EF2">
            <w:pPr>
              <w:jc w:val="center"/>
            </w:pPr>
            <w:r>
              <w:rPr>
                <w:rFonts w:eastAsiaTheme="minorEastAsia"/>
                <w:color w:val="000000"/>
                <w:kern w:val="0"/>
                <w:sz w:val="24"/>
              </w:rPr>
              <w:t>27.16%</w:t>
            </w:r>
          </w:p>
        </w:tc>
        <w:tc>
          <w:tcPr>
            <w:tcW w:w="1216" w:type="dxa"/>
            <w:vAlign w:val="center"/>
          </w:tcPr>
          <w:p w:rsidR="00E85E7E" w:rsidRDefault="00784EF2">
            <w:pPr>
              <w:jc w:val="center"/>
            </w:pPr>
            <w:r>
              <w:rPr>
                <w:rFonts w:eastAsiaTheme="minorEastAsia"/>
                <w:color w:val="000000"/>
                <w:kern w:val="0"/>
                <w:sz w:val="24"/>
              </w:rPr>
              <w:t>2.31%</w:t>
            </w:r>
          </w:p>
        </w:tc>
        <w:tc>
          <w:tcPr>
            <w:tcW w:w="1216" w:type="dxa"/>
            <w:vAlign w:val="center"/>
          </w:tcPr>
          <w:p w:rsidR="00E85E7E" w:rsidRDefault="00784EF2">
            <w:pPr>
              <w:jc w:val="center"/>
            </w:pPr>
            <w:r>
              <w:rPr>
                <w:rFonts w:eastAsiaTheme="minorEastAsia"/>
                <w:color w:val="000000"/>
                <w:kern w:val="0"/>
                <w:sz w:val="24"/>
              </w:rPr>
              <w:t>28.76%</w:t>
            </w:r>
          </w:p>
        </w:tc>
        <w:tc>
          <w:tcPr>
            <w:tcW w:w="1216" w:type="dxa"/>
            <w:vAlign w:val="center"/>
          </w:tcPr>
          <w:p w:rsidR="00E85E7E" w:rsidRDefault="00784EF2">
            <w:pPr>
              <w:jc w:val="center"/>
            </w:pPr>
            <w:r>
              <w:rPr>
                <w:rFonts w:eastAsiaTheme="minorEastAsia"/>
                <w:color w:val="000000"/>
                <w:kern w:val="0"/>
                <w:sz w:val="24"/>
              </w:rPr>
              <w:t>2.26%</w:t>
            </w:r>
          </w:p>
        </w:tc>
        <w:tc>
          <w:tcPr>
            <w:tcW w:w="1217" w:type="dxa"/>
            <w:vAlign w:val="center"/>
          </w:tcPr>
          <w:p w:rsidR="00E85E7E" w:rsidRDefault="00784EF2">
            <w:pPr>
              <w:jc w:val="center"/>
            </w:pPr>
            <w:r>
              <w:rPr>
                <w:rFonts w:eastAsiaTheme="minorEastAsia"/>
                <w:color w:val="000000"/>
                <w:kern w:val="0"/>
                <w:sz w:val="24"/>
              </w:rPr>
              <w:t>-1.60%</w:t>
            </w:r>
          </w:p>
        </w:tc>
        <w:tc>
          <w:tcPr>
            <w:tcW w:w="1217" w:type="dxa"/>
            <w:vAlign w:val="center"/>
          </w:tcPr>
          <w:p w:rsidR="00E85E7E" w:rsidRDefault="00784EF2">
            <w:pPr>
              <w:jc w:val="center"/>
            </w:pPr>
            <w:r>
              <w:rPr>
                <w:rFonts w:eastAsiaTheme="minorEastAsia"/>
                <w:color w:val="000000"/>
                <w:kern w:val="0"/>
                <w:sz w:val="24"/>
              </w:rPr>
              <w:t>0.05%</w:t>
            </w:r>
          </w:p>
        </w:tc>
      </w:tr>
    </w:tbl>
    <w:p w:rsidR="00465C86" w:rsidRPr="005E324A" w:rsidRDefault="00465C86" w:rsidP="0019563C">
      <w:pPr>
        <w:tabs>
          <w:tab w:val="left" w:pos="1800"/>
        </w:tabs>
        <w:spacing w:line="360" w:lineRule="auto"/>
        <w:rPr>
          <w:rFonts w:eastAsiaTheme="minorEastAsia"/>
          <w:color w:val="000000"/>
          <w:sz w:val="24"/>
        </w:rPr>
      </w:pPr>
    </w:p>
    <w:p w:rsidR="00220542" w:rsidRPr="005E324A" w:rsidRDefault="00220542" w:rsidP="003A4DA3">
      <w:pPr>
        <w:spacing w:line="360" w:lineRule="auto"/>
        <w:rPr>
          <w:rFonts w:eastAsiaTheme="minorEastAsia"/>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3.2.2</w:t>
        </w:r>
        <w:r w:rsidR="00C4274D" w:rsidRPr="005E324A">
          <w:rPr>
            <w:rStyle w:val="af8"/>
            <w:color w:val="000000"/>
            <w:sz w:val="24"/>
            <w:shd w:val="clear" w:color="auto" w:fill="FFFFFF"/>
          </w:rPr>
          <w:t>自基金合同生效以来</w:t>
        </w:r>
      </w:smartTag>
      <w:r w:rsidRPr="005E324A">
        <w:rPr>
          <w:rFonts w:eastAsiaTheme="minorEastAsia"/>
          <w:b/>
          <w:bCs/>
          <w:color w:val="000000"/>
          <w:sz w:val="24"/>
        </w:rPr>
        <w:t>基金累计份额净值增长率变动及其与同期业绩比较基准收益率变动的比较</w:t>
      </w:r>
    </w:p>
    <w:p w:rsidR="0042253F" w:rsidRPr="005E324A" w:rsidRDefault="0042253F" w:rsidP="003A4DA3">
      <w:pPr>
        <w:spacing w:line="360" w:lineRule="auto"/>
        <w:jc w:val="center"/>
        <w:rPr>
          <w:rFonts w:eastAsiaTheme="minorEastAsia"/>
          <w:sz w:val="24"/>
        </w:rPr>
      </w:pPr>
      <w:r w:rsidRPr="005E324A">
        <w:rPr>
          <w:rFonts w:eastAsiaTheme="minorEastAsia"/>
          <w:sz w:val="24"/>
        </w:rPr>
        <w:t>交银施罗德中证互联网金融指数分级证券投资基金</w:t>
      </w:r>
    </w:p>
    <w:p w:rsidR="0042253F" w:rsidRPr="005E324A" w:rsidRDefault="0042253F" w:rsidP="003A4DA3">
      <w:pPr>
        <w:pStyle w:val="a5"/>
        <w:snapToGrid w:val="0"/>
        <w:spacing w:line="360" w:lineRule="auto"/>
        <w:jc w:val="center"/>
        <w:rPr>
          <w:rFonts w:ascii="Times New Roman" w:eastAsiaTheme="minorEastAsia" w:hAnsi="Times New Roman"/>
          <w:color w:val="000000"/>
          <w:sz w:val="24"/>
          <w:szCs w:val="24"/>
        </w:rPr>
      </w:pPr>
      <w:r w:rsidRPr="005E324A">
        <w:rPr>
          <w:rFonts w:ascii="Times New Roman" w:eastAsiaTheme="minorEastAsia" w:hAnsi="Times New Roman"/>
          <w:color w:val="000000"/>
          <w:sz w:val="24"/>
          <w:szCs w:val="24"/>
        </w:rPr>
        <w:t>累计份额净值增长率与业绩比较基准收益率历史走势对比图</w:t>
      </w:r>
    </w:p>
    <w:p w:rsidR="006868CD" w:rsidRPr="005E324A" w:rsidRDefault="006868CD" w:rsidP="003A4DA3">
      <w:pPr>
        <w:spacing w:line="360" w:lineRule="auto"/>
        <w:jc w:val="center"/>
        <w:rPr>
          <w:rFonts w:eastAsiaTheme="minorEastAsia"/>
          <w:sz w:val="24"/>
        </w:rPr>
      </w:pPr>
      <w:r w:rsidRPr="005E324A">
        <w:rPr>
          <w:rFonts w:eastAsiaTheme="minorEastAsia"/>
          <w:color w:val="000000"/>
          <w:kern w:val="0"/>
          <w:sz w:val="24"/>
        </w:rPr>
        <w:t>（</w:t>
      </w:r>
      <w:r w:rsidR="001B64E7" w:rsidRPr="005E324A">
        <w:rPr>
          <w:rFonts w:eastAsiaTheme="minorEastAsia"/>
          <w:color w:val="000000"/>
          <w:kern w:val="0"/>
          <w:sz w:val="24"/>
        </w:rPr>
        <w:t>2015</w:t>
      </w:r>
      <w:r w:rsidR="001B64E7" w:rsidRPr="005E324A">
        <w:rPr>
          <w:rFonts w:eastAsiaTheme="minorEastAsia"/>
          <w:color w:val="000000"/>
          <w:kern w:val="0"/>
          <w:sz w:val="24"/>
        </w:rPr>
        <w:t>年</w:t>
      </w:r>
      <w:r w:rsidR="001B64E7" w:rsidRPr="005E324A">
        <w:rPr>
          <w:rFonts w:eastAsiaTheme="minorEastAsia"/>
          <w:color w:val="000000"/>
          <w:kern w:val="0"/>
          <w:sz w:val="24"/>
        </w:rPr>
        <w:t>6</w:t>
      </w:r>
      <w:r w:rsidR="001B64E7" w:rsidRPr="005E324A">
        <w:rPr>
          <w:rFonts w:eastAsiaTheme="minorEastAsia"/>
          <w:color w:val="000000"/>
          <w:kern w:val="0"/>
          <w:sz w:val="24"/>
        </w:rPr>
        <w:t>月</w:t>
      </w:r>
      <w:r w:rsidR="001B64E7" w:rsidRPr="005E324A">
        <w:rPr>
          <w:rFonts w:eastAsiaTheme="minorEastAsia"/>
          <w:color w:val="000000"/>
          <w:kern w:val="0"/>
          <w:sz w:val="24"/>
        </w:rPr>
        <w:t>26</w:t>
      </w:r>
      <w:r w:rsidR="001B64E7" w:rsidRPr="005E324A">
        <w:rPr>
          <w:rFonts w:eastAsiaTheme="minorEastAsia"/>
          <w:color w:val="000000"/>
          <w:kern w:val="0"/>
          <w:sz w:val="24"/>
        </w:rPr>
        <w:t>日</w:t>
      </w:r>
      <w:r w:rsidRPr="005E324A">
        <w:rPr>
          <w:rFonts w:eastAsiaTheme="minorEastAsia"/>
          <w:color w:val="000000"/>
          <w:kern w:val="0"/>
          <w:sz w:val="24"/>
        </w:rPr>
        <w:t>至</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w:t>
      </w:r>
    </w:p>
    <w:p w:rsidR="0042253F" w:rsidRPr="005E324A" w:rsidRDefault="00E548E9" w:rsidP="0042253F">
      <w:pPr>
        <w:tabs>
          <w:tab w:val="left" w:pos="1800"/>
        </w:tabs>
        <w:spacing w:line="360" w:lineRule="auto"/>
        <w:jc w:val="center"/>
        <w:rPr>
          <w:rFonts w:eastAsiaTheme="minorEastAsia"/>
          <w:color w:val="000000"/>
          <w:sz w:val="24"/>
        </w:rPr>
      </w:pPr>
      <w:r w:rsidRPr="005E324A">
        <w:rPr>
          <w:rFonts w:eastAsiaTheme="minorEastAsia"/>
          <w:noProof/>
          <w:color w:val="000000"/>
          <w:sz w:val="24"/>
        </w:rPr>
        <w:drawing>
          <wp:inline distT="0" distB="0" distL="0" distR="0">
            <wp:extent cx="5276850" cy="3086100"/>
            <wp:effectExtent l="0" t="0" r="0" b="0"/>
            <wp:docPr id="1" name="图片 1"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浏览器下载\走势图柱状图\走势图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76850" cy="3086100"/>
                    </a:xfrm>
                    <a:prstGeom prst="rect">
                      <a:avLst/>
                    </a:prstGeom>
                    <a:noFill/>
                    <a:ln>
                      <a:noFill/>
                    </a:ln>
                  </pic:spPr>
                </pic:pic>
              </a:graphicData>
            </a:graphic>
          </wp:inline>
        </w:drawing>
      </w:r>
    </w:p>
    <w:p w:rsidR="0042253F" w:rsidRPr="005E324A" w:rsidRDefault="0042253F"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注：本基金基金合同生效日为</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6</w:t>
      </w:r>
      <w:r w:rsidRPr="005E324A">
        <w:rPr>
          <w:rFonts w:eastAsiaTheme="minorEastAsia"/>
          <w:color w:val="000000"/>
          <w:sz w:val="24"/>
        </w:rPr>
        <w:t>月</w:t>
      </w:r>
      <w:r w:rsidRPr="005E324A">
        <w:rPr>
          <w:rFonts w:eastAsiaTheme="minorEastAsia"/>
          <w:color w:val="000000"/>
          <w:sz w:val="24"/>
        </w:rPr>
        <w:t>26</w:t>
      </w:r>
      <w:r w:rsidRPr="005E324A">
        <w:rPr>
          <w:rFonts w:eastAsiaTheme="minorEastAsia"/>
          <w:color w:val="000000"/>
          <w:sz w:val="24"/>
        </w:rPr>
        <w:t>日，基金合同生效日至报告期期末，本基金运作时间未满一年。本基金建仓期为自基金合同生效日起的</w:t>
      </w:r>
      <w:r w:rsidRPr="005E324A">
        <w:rPr>
          <w:rFonts w:eastAsiaTheme="minorEastAsia"/>
          <w:color w:val="000000"/>
          <w:sz w:val="24"/>
        </w:rPr>
        <w:t>6</w:t>
      </w:r>
      <w:r w:rsidRPr="005E324A">
        <w:rPr>
          <w:rFonts w:eastAsiaTheme="minorEastAsia"/>
          <w:color w:val="000000"/>
          <w:sz w:val="24"/>
        </w:rPr>
        <w:t>个月。截至建仓期结束，本基金各项资产配置比例符合基金合同及招募说明书有关投资比例的约定。</w:t>
      </w:r>
    </w:p>
    <w:p w:rsidR="0042253F" w:rsidRPr="005E324A" w:rsidRDefault="0042253F" w:rsidP="0019563C">
      <w:pPr>
        <w:pStyle w:val="a5"/>
        <w:snapToGrid w:val="0"/>
        <w:spacing w:before="120" w:line="360" w:lineRule="auto"/>
        <w:jc w:val="center"/>
        <w:rPr>
          <w:rFonts w:ascii="Times New Roman" w:eastAsiaTheme="minorEastAsia" w:hAnsi="Times New Roman"/>
          <w:color w:val="000000"/>
          <w:sz w:val="24"/>
          <w:szCs w:val="24"/>
        </w:rPr>
      </w:pPr>
    </w:p>
    <w:p w:rsidR="00220542" w:rsidRPr="005E324A" w:rsidRDefault="00220542" w:rsidP="00784EF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§4  </w:t>
      </w:r>
      <w:r w:rsidRPr="005E324A">
        <w:rPr>
          <w:rFonts w:eastAsiaTheme="minorEastAsia"/>
          <w:color w:val="000000"/>
          <w:kern w:val="0"/>
          <w:sz w:val="24"/>
          <w:szCs w:val="24"/>
        </w:rPr>
        <w:t>管理人报告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4.1 </w:t>
      </w:r>
      <w:r w:rsidRPr="005E324A">
        <w:rPr>
          <w:rFonts w:eastAsiaTheme="minorEastAsia"/>
          <w:b/>
          <w:color w:val="000000"/>
          <w:kern w:val="0"/>
          <w:sz w:val="24"/>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7622F6" w:rsidRPr="005E324A" w:rsidTr="00026AAE">
        <w:trPr>
          <w:cantSplit/>
        </w:trPr>
        <w:tc>
          <w:tcPr>
            <w:tcW w:w="952"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姓名</w:t>
            </w:r>
          </w:p>
        </w:tc>
        <w:tc>
          <w:tcPr>
            <w:tcW w:w="930"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职务</w:t>
            </w:r>
          </w:p>
        </w:tc>
        <w:tc>
          <w:tcPr>
            <w:tcW w:w="2519" w:type="dxa"/>
            <w:gridSpan w:val="2"/>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任本基金的基金经理期限</w:t>
            </w:r>
          </w:p>
        </w:tc>
        <w:tc>
          <w:tcPr>
            <w:tcW w:w="1254"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证券从业年限</w:t>
            </w:r>
          </w:p>
        </w:tc>
        <w:tc>
          <w:tcPr>
            <w:tcW w:w="3276" w:type="dxa"/>
            <w:vMerge w:val="restart"/>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说明</w:t>
            </w:r>
          </w:p>
        </w:tc>
      </w:tr>
      <w:tr w:rsidR="007622F6" w:rsidRPr="005E324A" w:rsidTr="00026AAE">
        <w:trPr>
          <w:cantSplit/>
        </w:trPr>
        <w:tc>
          <w:tcPr>
            <w:tcW w:w="952"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930" w:type="dxa"/>
            <w:vMerge/>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1210"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任职日期</w:t>
            </w:r>
          </w:p>
        </w:tc>
        <w:tc>
          <w:tcPr>
            <w:tcW w:w="1309" w:type="dxa"/>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r w:rsidRPr="005E324A">
              <w:rPr>
                <w:rFonts w:eastAsiaTheme="minorEastAsia"/>
                <w:color w:val="000000"/>
                <w:kern w:val="0"/>
                <w:sz w:val="24"/>
              </w:rPr>
              <w:t>离任日期</w:t>
            </w:r>
          </w:p>
        </w:tc>
        <w:tc>
          <w:tcPr>
            <w:tcW w:w="1254"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c>
          <w:tcPr>
            <w:tcW w:w="3276" w:type="dxa"/>
            <w:vMerge/>
            <w:vAlign w:val="center"/>
          </w:tcPr>
          <w:p w:rsidR="007622F6" w:rsidRPr="005E324A" w:rsidRDefault="007622F6" w:rsidP="007A6BEA">
            <w:pPr>
              <w:autoSpaceDE w:val="0"/>
              <w:autoSpaceDN w:val="0"/>
              <w:adjustRightInd w:val="0"/>
              <w:spacing w:before="29" w:line="288" w:lineRule="auto"/>
              <w:ind w:left="15"/>
              <w:jc w:val="center"/>
              <w:rPr>
                <w:rFonts w:eastAsiaTheme="minorEastAsia"/>
                <w:color w:val="000000"/>
                <w:kern w:val="0"/>
                <w:sz w:val="24"/>
              </w:rPr>
            </w:pPr>
          </w:p>
        </w:tc>
      </w:tr>
      <w:tr w:rsidR="00E85E7E">
        <w:tc>
          <w:tcPr>
            <w:tcW w:w="952" w:type="dxa"/>
            <w:vAlign w:val="center"/>
          </w:tcPr>
          <w:p w:rsidR="00E85E7E" w:rsidRDefault="00784EF2">
            <w:pPr>
              <w:jc w:val="center"/>
            </w:pPr>
            <w:r>
              <w:rPr>
                <w:rFonts w:eastAsiaTheme="minorEastAsia"/>
                <w:color w:val="000000"/>
                <w:sz w:val="24"/>
              </w:rPr>
              <w:t>蔡铮</w:t>
            </w:r>
          </w:p>
        </w:tc>
        <w:tc>
          <w:tcPr>
            <w:tcW w:w="930" w:type="dxa"/>
            <w:vAlign w:val="center"/>
          </w:tcPr>
          <w:p w:rsidR="00E85E7E" w:rsidRDefault="00784EF2">
            <w:pPr>
              <w:jc w:val="center"/>
            </w:pPr>
            <w:r>
              <w:rPr>
                <w:rFonts w:eastAsiaTheme="minorEastAsia"/>
                <w:color w:val="000000"/>
                <w:sz w:val="24"/>
              </w:rPr>
              <w:t>交银环球精选混合</w:t>
            </w:r>
            <w:r>
              <w:rPr>
                <w:rFonts w:eastAsiaTheme="minorEastAsia"/>
                <w:color w:val="000000"/>
                <w:sz w:val="24"/>
              </w:rPr>
              <w:t>(QDII)</w:t>
            </w:r>
            <w:r>
              <w:rPr>
                <w:rFonts w:eastAsiaTheme="minorEastAsia"/>
                <w:color w:val="000000"/>
                <w:sz w:val="24"/>
              </w:rPr>
              <w:t>、交银上证</w:t>
            </w:r>
            <w:r>
              <w:rPr>
                <w:rFonts w:eastAsiaTheme="minorEastAsia"/>
                <w:color w:val="000000"/>
                <w:sz w:val="24"/>
              </w:rPr>
              <w:t>180</w:t>
            </w:r>
            <w:r>
              <w:rPr>
                <w:rFonts w:eastAsiaTheme="minorEastAsia"/>
                <w:color w:val="000000"/>
                <w:sz w:val="24"/>
              </w:rPr>
              <w:t>公司治理</w:t>
            </w:r>
            <w:r>
              <w:rPr>
                <w:rFonts w:eastAsiaTheme="minorEastAsia"/>
                <w:color w:val="000000"/>
                <w:sz w:val="24"/>
              </w:rPr>
              <w:t>ETF</w:t>
            </w:r>
            <w:r>
              <w:rPr>
                <w:rFonts w:eastAsiaTheme="minorEastAsia"/>
                <w:color w:val="000000"/>
                <w:sz w:val="24"/>
              </w:rPr>
              <w:t>及其联接、交银深证</w:t>
            </w:r>
            <w:r>
              <w:rPr>
                <w:rFonts w:eastAsiaTheme="minorEastAsia"/>
                <w:color w:val="000000"/>
                <w:sz w:val="24"/>
              </w:rPr>
              <w:t>300</w:t>
            </w:r>
            <w:r>
              <w:rPr>
                <w:rFonts w:eastAsiaTheme="minorEastAsia"/>
                <w:color w:val="000000"/>
                <w:sz w:val="24"/>
              </w:rPr>
              <w:t>价值</w:t>
            </w:r>
            <w:r>
              <w:rPr>
                <w:rFonts w:eastAsiaTheme="minorEastAsia"/>
                <w:color w:val="000000"/>
                <w:sz w:val="24"/>
              </w:rPr>
              <w:t>ETF</w:t>
            </w:r>
            <w:r>
              <w:rPr>
                <w:rFonts w:eastAsiaTheme="minorEastAsia"/>
                <w:color w:val="000000"/>
                <w:sz w:val="24"/>
              </w:rPr>
              <w:t>及其联接、交银全球资源混合</w:t>
            </w:r>
            <w:r>
              <w:rPr>
                <w:rFonts w:eastAsiaTheme="minorEastAsia"/>
                <w:color w:val="000000"/>
                <w:sz w:val="24"/>
              </w:rPr>
              <w:t>(QDII)</w:t>
            </w:r>
            <w:r>
              <w:rPr>
                <w:rFonts w:eastAsiaTheme="minorEastAsia"/>
                <w:color w:val="000000"/>
                <w:sz w:val="24"/>
              </w:rPr>
              <w:t>、交银国证新能源指数分级、交银中证海外中国互联网指数（</w:t>
            </w:r>
            <w:r>
              <w:rPr>
                <w:rFonts w:eastAsiaTheme="minorEastAsia"/>
                <w:color w:val="000000"/>
                <w:sz w:val="24"/>
              </w:rPr>
              <w:t>QDII-LOF)</w:t>
            </w:r>
            <w:r>
              <w:rPr>
                <w:rFonts w:eastAsiaTheme="minorEastAsia"/>
                <w:color w:val="000000"/>
                <w:sz w:val="24"/>
              </w:rPr>
              <w:t>、交银中证互联网金融指数分级、交银中证环境治理指数分级的基金经理，公司量化投资部助理总经理</w:t>
            </w:r>
          </w:p>
        </w:tc>
        <w:tc>
          <w:tcPr>
            <w:tcW w:w="1210" w:type="dxa"/>
            <w:vAlign w:val="center"/>
          </w:tcPr>
          <w:p w:rsidR="00E85E7E" w:rsidRDefault="00784EF2">
            <w:pPr>
              <w:jc w:val="center"/>
            </w:pPr>
            <w:r>
              <w:rPr>
                <w:rFonts w:eastAsiaTheme="minorEastAsia"/>
                <w:color w:val="000000"/>
                <w:sz w:val="24"/>
              </w:rPr>
              <w:t>2015-06-26</w:t>
            </w:r>
          </w:p>
        </w:tc>
        <w:tc>
          <w:tcPr>
            <w:tcW w:w="1309" w:type="dxa"/>
            <w:vAlign w:val="center"/>
          </w:tcPr>
          <w:p w:rsidR="00E85E7E" w:rsidRDefault="00784EF2">
            <w:pPr>
              <w:jc w:val="center"/>
            </w:pPr>
            <w:r>
              <w:rPr>
                <w:rFonts w:eastAsiaTheme="minorEastAsia"/>
                <w:color w:val="000000"/>
                <w:sz w:val="24"/>
              </w:rPr>
              <w:t>-</w:t>
            </w:r>
          </w:p>
        </w:tc>
        <w:tc>
          <w:tcPr>
            <w:tcW w:w="1254" w:type="dxa"/>
            <w:vAlign w:val="center"/>
          </w:tcPr>
          <w:p w:rsidR="00E85E7E" w:rsidRDefault="00784EF2">
            <w:pPr>
              <w:jc w:val="center"/>
            </w:pPr>
            <w:r>
              <w:rPr>
                <w:rFonts w:eastAsiaTheme="minorEastAsia"/>
                <w:color w:val="000000"/>
                <w:sz w:val="24"/>
              </w:rPr>
              <w:t>6</w:t>
            </w:r>
            <w:r>
              <w:rPr>
                <w:rFonts w:eastAsiaTheme="minorEastAsia"/>
                <w:color w:val="000000"/>
                <w:sz w:val="24"/>
              </w:rPr>
              <w:t>年</w:t>
            </w:r>
          </w:p>
        </w:tc>
        <w:tc>
          <w:tcPr>
            <w:tcW w:w="3276" w:type="dxa"/>
            <w:vAlign w:val="center"/>
          </w:tcPr>
          <w:p w:rsidR="00E85E7E" w:rsidRDefault="00784EF2">
            <w:r>
              <w:rPr>
                <w:rFonts w:eastAsiaTheme="minorEastAsia"/>
                <w:color w:val="000000"/>
                <w:sz w:val="24"/>
              </w:rPr>
              <w:t>蔡铮先生，复旦大学电子工程硕士。历任瑞士银行香港分行分析员。</w:t>
            </w:r>
            <w:r>
              <w:rPr>
                <w:rFonts w:eastAsiaTheme="minorEastAsia"/>
                <w:color w:val="000000"/>
                <w:sz w:val="24"/>
              </w:rPr>
              <w:t>2009</w:t>
            </w:r>
            <w:r>
              <w:rPr>
                <w:rFonts w:eastAsiaTheme="minorEastAsia"/>
                <w:color w:val="000000"/>
                <w:sz w:val="24"/>
              </w:rPr>
              <w:t>年加入交银施罗德基金管理有限公司，历任投资研究部数量分析师、基金经理助理。</w:t>
            </w:r>
            <w:r>
              <w:rPr>
                <w:rFonts w:eastAsiaTheme="minorEastAsia"/>
                <w:color w:val="000000"/>
                <w:sz w:val="24"/>
              </w:rPr>
              <w:t>2012</w:t>
            </w:r>
            <w:r>
              <w:rPr>
                <w:rFonts w:eastAsiaTheme="minorEastAsia"/>
                <w:color w:val="000000"/>
                <w:sz w:val="24"/>
              </w:rPr>
              <w:t>年</w:t>
            </w:r>
            <w:r>
              <w:rPr>
                <w:rFonts w:eastAsiaTheme="minorEastAsia"/>
                <w:color w:val="000000"/>
                <w:sz w:val="24"/>
              </w:rPr>
              <w:t>12</w:t>
            </w:r>
            <w:r>
              <w:rPr>
                <w:rFonts w:eastAsiaTheme="minorEastAsia"/>
                <w:color w:val="000000"/>
                <w:sz w:val="24"/>
              </w:rPr>
              <w:t>月</w:t>
            </w:r>
            <w:r>
              <w:rPr>
                <w:rFonts w:eastAsiaTheme="minorEastAsia"/>
                <w:color w:val="000000"/>
                <w:sz w:val="24"/>
              </w:rPr>
              <w:t>27</w:t>
            </w:r>
            <w:r>
              <w:rPr>
                <w:rFonts w:eastAsiaTheme="minorEastAsia"/>
                <w:color w:val="000000"/>
                <w:sz w:val="24"/>
              </w:rPr>
              <w:t>日至</w:t>
            </w:r>
            <w:r>
              <w:rPr>
                <w:rFonts w:eastAsiaTheme="minorEastAsia"/>
                <w:color w:val="000000"/>
                <w:sz w:val="24"/>
              </w:rPr>
              <w:t>2015</w:t>
            </w:r>
            <w:r>
              <w:rPr>
                <w:rFonts w:eastAsiaTheme="minorEastAsia"/>
                <w:color w:val="000000"/>
                <w:sz w:val="24"/>
              </w:rPr>
              <w:t>年</w:t>
            </w:r>
            <w:r>
              <w:rPr>
                <w:rFonts w:eastAsiaTheme="minorEastAsia"/>
                <w:color w:val="000000"/>
                <w:sz w:val="24"/>
              </w:rPr>
              <w:t>6</w:t>
            </w:r>
            <w:r>
              <w:rPr>
                <w:rFonts w:eastAsiaTheme="minorEastAsia"/>
                <w:color w:val="000000"/>
                <w:sz w:val="24"/>
              </w:rPr>
              <w:t>月</w:t>
            </w:r>
            <w:r>
              <w:rPr>
                <w:rFonts w:eastAsiaTheme="minorEastAsia"/>
                <w:color w:val="000000"/>
                <w:sz w:val="24"/>
              </w:rPr>
              <w:t>30</w:t>
            </w:r>
            <w:r>
              <w:rPr>
                <w:rFonts w:eastAsiaTheme="minorEastAsia"/>
                <w:color w:val="000000"/>
                <w:sz w:val="24"/>
              </w:rPr>
              <w:t>日担任交银施罗德沪深</w:t>
            </w:r>
            <w:r>
              <w:rPr>
                <w:rFonts w:eastAsiaTheme="minorEastAsia"/>
                <w:color w:val="000000"/>
                <w:sz w:val="24"/>
              </w:rPr>
              <w:t>300</w:t>
            </w:r>
            <w:r>
              <w:rPr>
                <w:rFonts w:eastAsiaTheme="minorEastAsia"/>
                <w:color w:val="000000"/>
                <w:sz w:val="24"/>
              </w:rPr>
              <w:t>行业分层等权重指数证券投资基金基金经理。</w:t>
            </w:r>
          </w:p>
        </w:tc>
      </w:tr>
    </w:tbl>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注：基金经理（或基金经理小组）期后变动（如有）敬请关注基金管理人发布的相关公告。</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4.2</w:t>
      </w:r>
      <w:r w:rsidR="00BA4BD3" w:rsidRPr="005E324A">
        <w:rPr>
          <w:rFonts w:eastAsiaTheme="minorEastAsia"/>
          <w:b/>
          <w:bCs/>
          <w:color w:val="000000"/>
          <w:sz w:val="24"/>
        </w:rPr>
        <w:t>管理人对报告期内本基金运作遵规守信情况的说明</w:t>
      </w:r>
    </w:p>
    <w:p w:rsidR="00220542"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5E324A" w:rsidRDefault="00220542" w:rsidP="003A4DA3">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4.3 </w:t>
      </w:r>
      <w:r w:rsidRPr="005E324A">
        <w:rPr>
          <w:rFonts w:eastAsiaTheme="minorEastAsia"/>
          <w:b/>
          <w:color w:val="000000"/>
          <w:kern w:val="0"/>
          <w:sz w:val="24"/>
        </w:rPr>
        <w:t>公平交易专项说明</w:t>
      </w:r>
    </w:p>
    <w:p w:rsidR="00EB0BF5" w:rsidRPr="005E324A" w:rsidRDefault="00EB0BF5" w:rsidP="003A4DA3">
      <w:pPr>
        <w:spacing w:line="360" w:lineRule="auto"/>
        <w:rPr>
          <w:rFonts w:eastAsiaTheme="minorEastAsia"/>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sz w:val="24"/>
          </w:rPr>
          <w:t>4.3.1</w:t>
        </w:r>
      </w:smartTag>
      <w:r w:rsidRPr="005E324A">
        <w:rPr>
          <w:rFonts w:eastAsiaTheme="minorEastAsia"/>
          <w:sz w:val="24"/>
        </w:rPr>
        <w:t xml:space="preserve"> </w:t>
      </w:r>
      <w:r w:rsidRPr="005E324A">
        <w:rPr>
          <w:rFonts w:eastAsiaTheme="minorEastAsia"/>
          <w:sz w:val="24"/>
        </w:rPr>
        <w:t>公平交易制度的执行情况</w:t>
      </w:r>
    </w:p>
    <w:p w:rsidR="00E85E7E" w:rsidRDefault="00784EF2">
      <w:pPr>
        <w:spacing w:line="360" w:lineRule="auto"/>
        <w:ind w:firstLineChars="200" w:firstLine="480"/>
        <w:rPr>
          <w:rFonts w:eastAsiaTheme="minorEastAsia"/>
          <w:color w:val="000000"/>
          <w:kern w:val="0"/>
          <w:sz w:val="24"/>
        </w:rPr>
      </w:pPr>
      <w:r>
        <w:rPr>
          <w:rFonts w:eastAsiaTheme="minorEastAsia"/>
          <w:color w:val="000000"/>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85E7E" w:rsidRDefault="00784EF2">
      <w:pPr>
        <w:spacing w:line="360" w:lineRule="auto"/>
        <w:ind w:firstLineChars="200" w:firstLine="480"/>
        <w:rPr>
          <w:rFonts w:eastAsiaTheme="minorEastAsia"/>
          <w:color w:val="000000"/>
          <w:kern w:val="0"/>
          <w:sz w:val="24"/>
        </w:rPr>
      </w:pPr>
      <w:r>
        <w:rPr>
          <w:rFonts w:eastAsiaTheme="minorEastAsia"/>
          <w:color w:val="000000"/>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rFonts w:eastAsiaTheme="minorEastAsia"/>
          <w:color w:val="000000"/>
          <w:kern w:val="0"/>
          <w:sz w:val="24"/>
        </w:rPr>
        <w:t>“</w:t>
      </w:r>
      <w:r>
        <w:rPr>
          <w:rFonts w:eastAsiaTheme="minorEastAsia"/>
          <w:color w:val="000000"/>
          <w:kern w:val="0"/>
          <w:sz w:val="24"/>
        </w:rPr>
        <w:t>时间优先、价格优先、比例分配</w:t>
      </w:r>
      <w:r>
        <w:rPr>
          <w:rFonts w:eastAsiaTheme="minorEastAsia"/>
          <w:color w:val="000000"/>
          <w:kern w:val="0"/>
          <w:sz w:val="24"/>
        </w:rPr>
        <w:t>”</w:t>
      </w:r>
      <w:r>
        <w:rPr>
          <w:rFonts w:eastAsiaTheme="minorEastAsia"/>
          <w:color w:val="000000"/>
          <w:kern w:val="0"/>
          <w:sz w:val="24"/>
        </w:rPr>
        <w:t>的原则，全部通过交易系统进行比例分配；对于非集中竞价交易、以公司名义进行的场外交易，遵循</w:t>
      </w:r>
      <w:r>
        <w:rPr>
          <w:rFonts w:eastAsiaTheme="minorEastAsia"/>
          <w:color w:val="000000"/>
          <w:kern w:val="0"/>
          <w:sz w:val="24"/>
        </w:rPr>
        <w:t>“</w:t>
      </w:r>
      <w:r>
        <w:rPr>
          <w:rFonts w:eastAsiaTheme="minorEastAsia"/>
          <w:color w:val="000000"/>
          <w:kern w:val="0"/>
          <w:sz w:val="24"/>
        </w:rPr>
        <w:t>价格优先、比例分配</w:t>
      </w:r>
      <w:r>
        <w:rPr>
          <w:rFonts w:eastAsiaTheme="minorEastAsia"/>
          <w:color w:val="000000"/>
          <w:kern w:val="0"/>
          <w:sz w:val="24"/>
        </w:rPr>
        <w:t>”</w:t>
      </w:r>
      <w:r>
        <w:rPr>
          <w:rFonts w:eastAsiaTheme="minorEastAsia"/>
          <w:color w:val="000000"/>
          <w:kern w:val="0"/>
          <w:sz w:val="24"/>
        </w:rPr>
        <w:t>的原则按事前独立确定的投资方案对交易结果进行分配。</w:t>
      </w:r>
    </w:p>
    <w:p w:rsidR="00E85E7E" w:rsidRDefault="00784EF2">
      <w:pPr>
        <w:spacing w:line="360" w:lineRule="auto"/>
        <w:ind w:firstLineChars="200" w:firstLine="480"/>
        <w:rPr>
          <w:rFonts w:eastAsiaTheme="minorEastAsia"/>
          <w:color w:val="000000"/>
          <w:kern w:val="0"/>
          <w:sz w:val="24"/>
        </w:rPr>
      </w:pPr>
      <w:r>
        <w:rPr>
          <w:rFonts w:eastAsiaTheme="minorEastAsia"/>
          <w:color w:val="000000"/>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报告期内本公司严格执行公平交易制度，公平对待旗下各投资组合，未发现任何违反公平交易的行为。</w:t>
      </w:r>
    </w:p>
    <w:p w:rsidR="00EB0BF5" w:rsidRPr="005E324A" w:rsidRDefault="00EB0BF5" w:rsidP="003A4DA3">
      <w:pPr>
        <w:spacing w:line="360" w:lineRule="auto"/>
        <w:rPr>
          <w:rFonts w:eastAsiaTheme="minorEastAsia"/>
          <w:sz w:val="24"/>
        </w:rPr>
      </w:pPr>
      <w:r w:rsidRPr="005E324A">
        <w:rPr>
          <w:rFonts w:eastAsiaTheme="minorEastAsia"/>
          <w:sz w:val="24"/>
        </w:rPr>
        <w:t>4.3.</w:t>
      </w:r>
      <w:r w:rsidR="004542DD" w:rsidRPr="005E324A">
        <w:rPr>
          <w:rFonts w:eastAsiaTheme="minorEastAsia"/>
          <w:sz w:val="24"/>
        </w:rPr>
        <w:t>2</w:t>
      </w:r>
      <w:r w:rsidRPr="005E324A">
        <w:rPr>
          <w:rFonts w:eastAsiaTheme="minorEastAsia"/>
          <w:sz w:val="24"/>
        </w:rPr>
        <w:t xml:space="preserve"> </w:t>
      </w:r>
      <w:r w:rsidRPr="005E324A">
        <w:rPr>
          <w:rFonts w:eastAsiaTheme="minorEastAsia"/>
          <w:sz w:val="24"/>
        </w:rPr>
        <w:t>异常交易行为的专项说明</w:t>
      </w:r>
    </w:p>
    <w:p w:rsidR="00EB0BF5"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本基金于本报告期内不存在异常交易行为。本报告期内，本公司管理的所有投资组合参与的交易所公开竞价同日反向交易成交较少的单边交易量没有超过该证券当日总成交量</w:t>
      </w:r>
      <w:r w:rsidRPr="005E324A">
        <w:rPr>
          <w:rFonts w:eastAsiaTheme="minorEastAsia"/>
          <w:color w:val="000000"/>
          <w:kern w:val="0"/>
          <w:sz w:val="24"/>
        </w:rPr>
        <w:t>5%</w:t>
      </w:r>
      <w:r w:rsidRPr="005E324A">
        <w:rPr>
          <w:rFonts w:eastAsiaTheme="minorEastAsia"/>
          <w:color w:val="000000"/>
          <w:kern w:val="0"/>
          <w:sz w:val="24"/>
        </w:rPr>
        <w:t>的情形，本基金与本公司管理的其他投资组合在不同时间窗下（如日内、</w:t>
      </w:r>
      <w:r w:rsidRPr="005E324A">
        <w:rPr>
          <w:rFonts w:eastAsiaTheme="minorEastAsia"/>
          <w:color w:val="000000"/>
          <w:kern w:val="0"/>
          <w:sz w:val="24"/>
        </w:rPr>
        <w:t>3</w:t>
      </w:r>
      <w:r w:rsidRPr="005E324A">
        <w:rPr>
          <w:rFonts w:eastAsiaTheme="minorEastAsia"/>
          <w:color w:val="000000"/>
          <w:kern w:val="0"/>
          <w:sz w:val="24"/>
        </w:rPr>
        <w:t>日内、</w:t>
      </w:r>
      <w:r w:rsidRPr="005E324A">
        <w:rPr>
          <w:rFonts w:eastAsiaTheme="minorEastAsia"/>
          <w:color w:val="000000"/>
          <w:kern w:val="0"/>
          <w:sz w:val="24"/>
        </w:rPr>
        <w:t>5</w:t>
      </w:r>
      <w:r w:rsidRPr="005E324A">
        <w:rPr>
          <w:rFonts w:eastAsiaTheme="minorEastAsia"/>
          <w:color w:val="000000"/>
          <w:kern w:val="0"/>
          <w:sz w:val="24"/>
        </w:rPr>
        <w:t>日内）同向交易的交易价差未出现异常。</w:t>
      </w:r>
    </w:p>
    <w:p w:rsidR="00220542" w:rsidRPr="005E324A" w:rsidRDefault="00220542" w:rsidP="003A4DA3">
      <w:pPr>
        <w:spacing w:line="360" w:lineRule="auto"/>
        <w:ind w:firstLineChars="200" w:firstLine="480"/>
        <w:rPr>
          <w:rFonts w:eastAsiaTheme="minorEastAsia"/>
          <w:color w:val="000000"/>
          <w:sz w:val="24"/>
        </w:rPr>
      </w:pPr>
    </w:p>
    <w:p w:rsidR="00D33924" w:rsidRPr="005E324A" w:rsidRDefault="00D33924"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4.4 </w:t>
      </w:r>
      <w:r w:rsidRPr="005E324A">
        <w:rPr>
          <w:rFonts w:eastAsiaTheme="minorEastAsia"/>
          <w:b/>
          <w:color w:val="000000"/>
          <w:kern w:val="0"/>
          <w:sz w:val="24"/>
        </w:rPr>
        <w:t>报告期内基金的投资策略和</w:t>
      </w:r>
      <w:r w:rsidR="00EF03C6" w:rsidRPr="005E324A">
        <w:rPr>
          <w:rFonts w:eastAsiaTheme="minorEastAsia"/>
          <w:b/>
          <w:color w:val="000000"/>
          <w:kern w:val="0"/>
          <w:sz w:val="24"/>
        </w:rPr>
        <w:t>运作分析</w:t>
      </w:r>
    </w:p>
    <w:p w:rsidR="00E85E7E" w:rsidRDefault="00784EF2">
      <w:pPr>
        <w:spacing w:line="360" w:lineRule="auto"/>
        <w:ind w:firstLineChars="200" w:firstLine="480"/>
        <w:rPr>
          <w:rFonts w:eastAsiaTheme="minorEastAsia"/>
          <w:color w:val="000000"/>
          <w:kern w:val="0"/>
          <w:sz w:val="24"/>
        </w:rPr>
      </w:pPr>
      <w:r>
        <w:rPr>
          <w:rFonts w:eastAsiaTheme="minorEastAsia"/>
          <w:color w:val="000000"/>
          <w:kern w:val="0"/>
          <w:sz w:val="24"/>
        </w:rPr>
        <w:t>2015</w:t>
      </w:r>
      <w:r>
        <w:rPr>
          <w:rFonts w:eastAsiaTheme="minorEastAsia"/>
          <w:color w:val="000000"/>
          <w:kern w:val="0"/>
          <w:sz w:val="24"/>
        </w:rPr>
        <w:t>年第四季度，国内经济先行指标出现企稳，但经济增长和企业盈利下行压力依然较大。随着美联储加息，全球资产风险偏好暂获回升。货币政策延续宽松和国家对股市维稳意愿的加强进一步推动了资本市场的反弹行情。作为跟踪中证互联网金融指数的指数基金，在第四季度基金总体呈现出上涨走势。</w:t>
      </w:r>
    </w:p>
    <w:p w:rsidR="00D33924"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展望</w:t>
      </w:r>
      <w:r w:rsidRPr="005E324A">
        <w:rPr>
          <w:rFonts w:eastAsiaTheme="minorEastAsia"/>
          <w:color w:val="000000"/>
          <w:kern w:val="0"/>
          <w:sz w:val="24"/>
        </w:rPr>
        <w:t>2016</w:t>
      </w:r>
      <w:r w:rsidRPr="005E324A">
        <w:rPr>
          <w:rFonts w:eastAsiaTheme="minorEastAsia"/>
          <w:color w:val="000000"/>
          <w:kern w:val="0"/>
          <w:sz w:val="24"/>
        </w:rPr>
        <w:t>年第一季度，宽松的货币政策环境有望持续，一些大的改革措施有望落地，整个经济环境因此有望从明显下滑过渡到稳步寻底回升，因此我们有理由对未来市场保持谨慎乐观的态度。</w:t>
      </w:r>
    </w:p>
    <w:p w:rsidR="00414CF1" w:rsidRPr="005E324A" w:rsidRDefault="00414CF1" w:rsidP="003A4DA3">
      <w:pPr>
        <w:spacing w:line="360" w:lineRule="auto"/>
        <w:ind w:firstLineChars="200" w:firstLine="480"/>
        <w:rPr>
          <w:rFonts w:eastAsiaTheme="minorEastAsia"/>
          <w:color w:val="000000"/>
          <w:kern w:val="0"/>
          <w:sz w:val="24"/>
        </w:rPr>
      </w:pPr>
    </w:p>
    <w:p w:rsidR="00D33924" w:rsidRPr="005E324A" w:rsidRDefault="00EF03C6" w:rsidP="003A4DA3">
      <w:pPr>
        <w:spacing w:line="360" w:lineRule="auto"/>
        <w:rPr>
          <w:rFonts w:eastAsiaTheme="minorEastAsia"/>
          <w:b/>
          <w:sz w:val="24"/>
        </w:rPr>
      </w:pPr>
      <w:r w:rsidRPr="005E324A">
        <w:rPr>
          <w:rFonts w:eastAsiaTheme="minorEastAsia"/>
          <w:b/>
          <w:sz w:val="24"/>
        </w:rPr>
        <w:t>4.5</w:t>
      </w:r>
      <w:r w:rsidR="00D33924" w:rsidRPr="005E324A">
        <w:rPr>
          <w:rFonts w:eastAsiaTheme="minorEastAsia"/>
          <w:b/>
          <w:sz w:val="24"/>
        </w:rPr>
        <w:t>报告期内基金的业绩表现</w:t>
      </w:r>
    </w:p>
    <w:p w:rsidR="00D33924" w:rsidRPr="005E324A" w:rsidRDefault="007622F6" w:rsidP="003A4DA3">
      <w:pPr>
        <w:spacing w:line="360" w:lineRule="auto"/>
        <w:ind w:firstLineChars="200" w:firstLine="480"/>
        <w:rPr>
          <w:rFonts w:eastAsiaTheme="minorEastAsia"/>
          <w:color w:val="000000"/>
          <w:kern w:val="0"/>
          <w:sz w:val="24"/>
        </w:rPr>
      </w:pPr>
      <w:r w:rsidRPr="005E324A">
        <w:rPr>
          <w:rFonts w:eastAsiaTheme="minorEastAsia"/>
          <w:color w:val="000000"/>
          <w:kern w:val="0"/>
          <w:sz w:val="24"/>
        </w:rPr>
        <w:t>截至</w:t>
      </w:r>
      <w:r w:rsidRPr="005E324A">
        <w:rPr>
          <w:rFonts w:eastAsiaTheme="minorEastAsia"/>
          <w:color w:val="000000"/>
          <w:kern w:val="0"/>
          <w:sz w:val="24"/>
        </w:rPr>
        <w:t>2015</w:t>
      </w:r>
      <w:r w:rsidRPr="005E324A">
        <w:rPr>
          <w:rFonts w:eastAsiaTheme="minorEastAsia"/>
          <w:color w:val="000000"/>
          <w:kern w:val="0"/>
          <w:sz w:val="24"/>
        </w:rPr>
        <w:t>年</w:t>
      </w:r>
      <w:r w:rsidRPr="005E324A">
        <w:rPr>
          <w:rFonts w:eastAsiaTheme="minorEastAsia"/>
          <w:color w:val="000000"/>
          <w:kern w:val="0"/>
          <w:sz w:val="24"/>
        </w:rPr>
        <w:t>12</w:t>
      </w:r>
      <w:r w:rsidRPr="005E324A">
        <w:rPr>
          <w:rFonts w:eastAsiaTheme="minorEastAsia"/>
          <w:color w:val="000000"/>
          <w:kern w:val="0"/>
          <w:sz w:val="24"/>
        </w:rPr>
        <w:t>月</w:t>
      </w:r>
      <w:r w:rsidRPr="005E324A">
        <w:rPr>
          <w:rFonts w:eastAsiaTheme="minorEastAsia"/>
          <w:color w:val="000000"/>
          <w:kern w:val="0"/>
          <w:sz w:val="24"/>
        </w:rPr>
        <w:t>31</w:t>
      </w:r>
      <w:r w:rsidRPr="005E324A">
        <w:rPr>
          <w:rFonts w:eastAsiaTheme="minorEastAsia"/>
          <w:color w:val="000000"/>
          <w:kern w:val="0"/>
          <w:sz w:val="24"/>
        </w:rPr>
        <w:t>日，本基金份额净值为</w:t>
      </w:r>
      <w:r w:rsidRPr="005E324A">
        <w:rPr>
          <w:rFonts w:eastAsiaTheme="minorEastAsia"/>
          <w:color w:val="000000"/>
          <w:kern w:val="0"/>
          <w:sz w:val="24"/>
        </w:rPr>
        <w:t>0.913</w:t>
      </w:r>
      <w:r w:rsidRPr="005E324A">
        <w:rPr>
          <w:rFonts w:eastAsiaTheme="minorEastAsia"/>
          <w:color w:val="000000"/>
          <w:kern w:val="0"/>
          <w:sz w:val="24"/>
        </w:rPr>
        <w:t>元，本报告期份额净值增长率为</w:t>
      </w:r>
      <w:r w:rsidRPr="005E324A">
        <w:rPr>
          <w:rFonts w:eastAsiaTheme="minorEastAsia"/>
          <w:color w:val="000000"/>
          <w:kern w:val="0"/>
          <w:sz w:val="24"/>
        </w:rPr>
        <w:t>27.16%</w:t>
      </w:r>
      <w:r w:rsidRPr="005E324A">
        <w:rPr>
          <w:rFonts w:eastAsiaTheme="minorEastAsia"/>
          <w:color w:val="000000"/>
          <w:kern w:val="0"/>
          <w:sz w:val="24"/>
        </w:rPr>
        <w:t>，同期业绩比较基准增长率为</w:t>
      </w:r>
      <w:r w:rsidRPr="005E324A">
        <w:rPr>
          <w:rFonts w:eastAsiaTheme="minorEastAsia"/>
          <w:color w:val="000000"/>
          <w:kern w:val="0"/>
          <w:sz w:val="24"/>
        </w:rPr>
        <w:t>28.76%</w:t>
      </w:r>
      <w:r w:rsidRPr="005E324A">
        <w:rPr>
          <w:rFonts w:eastAsiaTheme="minorEastAsia"/>
          <w:color w:val="000000"/>
          <w:kern w:val="0"/>
          <w:sz w:val="24"/>
        </w:rPr>
        <w:t>。</w:t>
      </w:r>
    </w:p>
    <w:p w:rsidR="008E0E7C" w:rsidRPr="005E324A" w:rsidRDefault="008E0E7C" w:rsidP="003A4DA3">
      <w:pPr>
        <w:spacing w:line="360" w:lineRule="auto"/>
        <w:ind w:firstLineChars="200" w:firstLine="480"/>
        <w:rPr>
          <w:rFonts w:eastAsiaTheme="minorEastAsia"/>
          <w:color w:val="000000"/>
          <w:kern w:val="0"/>
          <w:sz w:val="24"/>
        </w:rPr>
      </w:pPr>
    </w:p>
    <w:p w:rsidR="0063382C" w:rsidRPr="005E324A" w:rsidRDefault="00F821AB" w:rsidP="0063382C">
      <w:pPr>
        <w:spacing w:line="360" w:lineRule="auto"/>
        <w:rPr>
          <w:rFonts w:eastAsiaTheme="minorEastAsia"/>
          <w:color w:val="000000"/>
          <w:sz w:val="24"/>
        </w:rPr>
      </w:pPr>
      <w:r w:rsidRPr="005E324A">
        <w:rPr>
          <w:rFonts w:eastAsiaTheme="minorEastAsia"/>
          <w:b/>
          <w:kern w:val="0"/>
          <w:sz w:val="24"/>
        </w:rPr>
        <w:t>4.6</w:t>
      </w:r>
      <w:r w:rsidR="0063382C" w:rsidRPr="005E324A">
        <w:rPr>
          <w:rFonts w:eastAsiaTheme="minorEastAsia"/>
          <w:b/>
          <w:kern w:val="0"/>
          <w:sz w:val="24"/>
        </w:rPr>
        <w:t>报告期内基金持有人数或基金资产净值预警说明</w:t>
      </w:r>
    </w:p>
    <w:p w:rsidR="0063382C" w:rsidRPr="005E324A" w:rsidRDefault="0063382C" w:rsidP="0063382C">
      <w:pPr>
        <w:spacing w:line="360" w:lineRule="auto"/>
        <w:ind w:firstLineChars="200" w:firstLine="480"/>
        <w:rPr>
          <w:rFonts w:eastAsiaTheme="minorEastAsia"/>
          <w:color w:val="000000"/>
          <w:kern w:val="0"/>
          <w:sz w:val="24"/>
        </w:rPr>
      </w:pPr>
      <w:r w:rsidRPr="005E324A">
        <w:rPr>
          <w:rFonts w:eastAsiaTheme="minorEastAsia"/>
          <w:color w:val="000000" w:themeColor="text1"/>
          <w:kern w:val="0"/>
          <w:sz w:val="24"/>
        </w:rPr>
        <w:t>本基金本报告期内无需预警说明。</w:t>
      </w:r>
    </w:p>
    <w:p w:rsidR="00220542" w:rsidRPr="005E324A" w:rsidRDefault="00220542" w:rsidP="00784EF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 xml:space="preserve">§5  </w:t>
      </w:r>
      <w:r w:rsidRPr="005E324A">
        <w:rPr>
          <w:rFonts w:eastAsiaTheme="minorEastAsia"/>
          <w:color w:val="000000"/>
          <w:kern w:val="0"/>
          <w:sz w:val="24"/>
          <w:szCs w:val="24"/>
        </w:rPr>
        <w:t>投资组合报告</w:t>
      </w: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5.1 </w:t>
      </w:r>
      <w:r w:rsidRPr="005E324A">
        <w:rPr>
          <w:rFonts w:eastAsiaTheme="minorEastAsia"/>
          <w:b/>
          <w:color w:val="000000"/>
          <w:kern w:val="0"/>
          <w:sz w:val="24"/>
        </w:rPr>
        <w:t>报告期末基金资产组合情况</w:t>
      </w:r>
    </w:p>
    <w:tbl>
      <w:tblPr>
        <w:tblStyle w:val="af7"/>
        <w:tblW w:w="8897" w:type="dxa"/>
        <w:jc w:val="center"/>
        <w:tblLayout w:type="fixed"/>
        <w:tblLook w:val="04A0" w:firstRow="1" w:lastRow="0" w:firstColumn="1" w:lastColumn="0" w:noHBand="0" w:noVBand="1"/>
      </w:tblPr>
      <w:tblGrid>
        <w:gridCol w:w="720"/>
        <w:gridCol w:w="3357"/>
        <w:gridCol w:w="2977"/>
        <w:gridCol w:w="1843"/>
      </w:tblGrid>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335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项目</w:t>
            </w:r>
          </w:p>
        </w:tc>
        <w:tc>
          <w:tcPr>
            <w:tcW w:w="2977"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金额</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占基金总资产的比例</w:t>
            </w: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1</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权益投资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285,149,374.40</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93.60</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其中：股票</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285,149,374.40</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93.60</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2</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固定收益投资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其中：债券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资产支持证券</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3</w:t>
            </w:r>
          </w:p>
        </w:tc>
        <w:tc>
          <w:tcPr>
            <w:tcW w:w="3357" w:type="dxa"/>
          </w:tcPr>
          <w:p w:rsidR="00804533" w:rsidRPr="005E324A" w:rsidRDefault="00804533" w:rsidP="00E210DA">
            <w:pPr>
              <w:autoSpaceDE w:val="0"/>
              <w:autoSpaceDN w:val="0"/>
              <w:adjustRightInd w:val="0"/>
              <w:spacing w:before="29" w:line="360" w:lineRule="auto"/>
              <w:ind w:left="17"/>
              <w:jc w:val="left"/>
              <w:rPr>
                <w:rFonts w:eastAsiaTheme="minorEastAsia"/>
                <w:color w:val="000000"/>
                <w:sz w:val="24"/>
              </w:rPr>
            </w:pPr>
            <w:r w:rsidRPr="005E324A">
              <w:rPr>
                <w:rFonts w:eastAsiaTheme="minorEastAsia"/>
                <w:color w:val="000000"/>
                <w:sz w:val="24"/>
              </w:rPr>
              <w:t>贵金属投资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4</w:t>
            </w:r>
          </w:p>
        </w:tc>
        <w:tc>
          <w:tcPr>
            <w:tcW w:w="3357" w:type="dxa"/>
            <w:vAlign w:val="center"/>
          </w:tcPr>
          <w:p w:rsidR="00804533" w:rsidRPr="005E324A" w:rsidRDefault="00804533" w:rsidP="00DD272F">
            <w:pPr>
              <w:spacing w:before="29" w:line="360" w:lineRule="auto"/>
              <w:ind w:left="17"/>
              <w:jc w:val="left"/>
              <w:rPr>
                <w:rFonts w:eastAsiaTheme="minorEastAsia"/>
                <w:color w:val="000000"/>
                <w:sz w:val="24"/>
              </w:rPr>
            </w:pPr>
            <w:r w:rsidRPr="005E324A">
              <w:rPr>
                <w:rFonts w:eastAsiaTheme="minorEastAsia"/>
                <w:color w:val="000000"/>
                <w:sz w:val="24"/>
              </w:rPr>
              <w:t>金融衍生品投资</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5</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其中：买断式回购的买入返售金融资产</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6</w:t>
            </w:r>
          </w:p>
        </w:tc>
        <w:tc>
          <w:tcPr>
            <w:tcW w:w="3357" w:type="dxa"/>
            <w:vAlign w:val="center"/>
          </w:tcPr>
          <w:p w:rsidR="00804533" w:rsidRPr="005E324A" w:rsidRDefault="00804533" w:rsidP="00DD272F">
            <w:pPr>
              <w:spacing w:before="29" w:line="360" w:lineRule="auto"/>
              <w:ind w:left="17"/>
              <w:jc w:val="left"/>
              <w:rPr>
                <w:rFonts w:eastAsiaTheme="minorEastAsia"/>
                <w:sz w:val="24"/>
              </w:rPr>
            </w:pPr>
            <w:r w:rsidRPr="005E324A">
              <w:rPr>
                <w:rFonts w:eastAsiaTheme="minorEastAsia"/>
                <w:color w:val="000000"/>
                <w:sz w:val="24"/>
              </w:rPr>
              <w:t>银行存款和结算备付金合计</w:t>
            </w:r>
          </w:p>
        </w:tc>
        <w:tc>
          <w:tcPr>
            <w:tcW w:w="2977"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19,251,267.56</w:t>
            </w:r>
          </w:p>
        </w:tc>
        <w:tc>
          <w:tcPr>
            <w:tcW w:w="1843" w:type="dxa"/>
            <w:vAlign w:val="center"/>
          </w:tcPr>
          <w:p w:rsidR="00804533" w:rsidRPr="005E324A" w:rsidRDefault="00804533" w:rsidP="00DD272F">
            <w:pPr>
              <w:spacing w:before="29" w:line="360" w:lineRule="auto"/>
              <w:ind w:left="17"/>
              <w:jc w:val="right"/>
              <w:rPr>
                <w:rFonts w:eastAsiaTheme="minorEastAsia"/>
                <w:color w:val="000000"/>
                <w:sz w:val="24"/>
              </w:rPr>
            </w:pPr>
            <w:r w:rsidRPr="005E324A">
              <w:rPr>
                <w:rFonts w:eastAsiaTheme="minorEastAsia"/>
                <w:color w:val="000000"/>
                <w:sz w:val="24"/>
              </w:rPr>
              <w:t>6.32</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7</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其他各项资产</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252,833.84</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0.08</w:t>
            </w:r>
          </w:p>
        </w:tc>
      </w:tr>
      <w:tr w:rsidR="00804533" w:rsidRPr="005E324A" w:rsidTr="00DD272F">
        <w:trPr>
          <w:jc w:val="center"/>
        </w:trPr>
        <w:tc>
          <w:tcPr>
            <w:tcW w:w="720" w:type="dxa"/>
            <w:vAlign w:val="center"/>
          </w:tcPr>
          <w:p w:rsidR="00804533" w:rsidRPr="005E324A" w:rsidRDefault="00804533" w:rsidP="00DD272F">
            <w:pPr>
              <w:spacing w:before="29" w:line="360" w:lineRule="auto"/>
              <w:ind w:left="17"/>
              <w:jc w:val="center"/>
              <w:rPr>
                <w:rFonts w:eastAsiaTheme="minorEastAsia"/>
                <w:color w:val="000000"/>
                <w:sz w:val="24"/>
              </w:rPr>
            </w:pPr>
            <w:r w:rsidRPr="005E324A">
              <w:rPr>
                <w:rFonts w:eastAsiaTheme="minorEastAsia"/>
                <w:color w:val="000000"/>
                <w:sz w:val="24"/>
              </w:rPr>
              <w:t>8</w:t>
            </w:r>
          </w:p>
        </w:tc>
        <w:tc>
          <w:tcPr>
            <w:tcW w:w="3357" w:type="dxa"/>
            <w:vAlign w:val="center"/>
          </w:tcPr>
          <w:p w:rsidR="00804533" w:rsidRPr="005E324A" w:rsidRDefault="00804533" w:rsidP="00DD272F">
            <w:pPr>
              <w:jc w:val="left"/>
              <w:rPr>
                <w:rFonts w:eastAsiaTheme="minorEastAsia"/>
                <w:sz w:val="24"/>
              </w:rPr>
            </w:pPr>
            <w:r w:rsidRPr="005E324A">
              <w:rPr>
                <w:rFonts w:eastAsiaTheme="minorEastAsia"/>
                <w:color w:val="000000"/>
                <w:sz w:val="24"/>
              </w:rPr>
              <w:t>合计</w:t>
            </w:r>
          </w:p>
        </w:tc>
        <w:tc>
          <w:tcPr>
            <w:tcW w:w="2977"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304,653,475.80</w:t>
            </w:r>
          </w:p>
        </w:tc>
        <w:tc>
          <w:tcPr>
            <w:tcW w:w="1843" w:type="dxa"/>
            <w:vAlign w:val="center"/>
          </w:tcPr>
          <w:p w:rsidR="00804533" w:rsidRPr="005E324A" w:rsidRDefault="00804533" w:rsidP="00DD272F">
            <w:pPr>
              <w:jc w:val="right"/>
              <w:rPr>
                <w:rFonts w:eastAsiaTheme="minorEastAsia"/>
                <w:color w:val="000000"/>
                <w:sz w:val="24"/>
              </w:rPr>
            </w:pPr>
            <w:r w:rsidRPr="005E324A">
              <w:rPr>
                <w:rFonts w:eastAsiaTheme="minorEastAsia"/>
                <w:color w:val="000000"/>
                <w:sz w:val="24"/>
              </w:rPr>
              <w:t>100.00</w:t>
            </w:r>
          </w:p>
        </w:tc>
      </w:tr>
    </w:tbl>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5.2 </w:t>
      </w:r>
      <w:r w:rsidRPr="005E324A">
        <w:rPr>
          <w:rFonts w:eastAsiaTheme="minorEastAsia"/>
          <w:b/>
          <w:color w:val="000000"/>
          <w:kern w:val="0"/>
          <w:sz w:val="24"/>
        </w:rPr>
        <w:t>报告期末按行业分类的股票投资组合</w:t>
      </w: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5.2.1</w:t>
        </w:r>
        <w:r w:rsidR="00656A06">
          <w:rPr>
            <w:rFonts w:eastAsiaTheme="minorEastAsia" w:hint="eastAsia"/>
            <w:b/>
            <w:color w:val="000000"/>
            <w:kern w:val="0"/>
            <w:sz w:val="24"/>
          </w:rPr>
          <w:t xml:space="preserve"> </w:t>
        </w:r>
      </w:smartTag>
      <w:r w:rsidRPr="005E324A">
        <w:rPr>
          <w:rFonts w:eastAsiaTheme="minorEastAsia"/>
          <w:b/>
          <w:color w:val="000000"/>
          <w:kern w:val="0"/>
          <w:sz w:val="24"/>
        </w:rPr>
        <w:t>积极投资按行业分类的股票投资组合</w:t>
      </w:r>
    </w:p>
    <w:p w:rsidR="00220542"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784EF2" w:rsidRPr="005E324A" w:rsidRDefault="00784EF2" w:rsidP="0019563C">
      <w:pPr>
        <w:autoSpaceDE w:val="0"/>
        <w:autoSpaceDN w:val="0"/>
        <w:adjustRightInd w:val="0"/>
        <w:spacing w:line="360" w:lineRule="auto"/>
        <w:jc w:val="left"/>
        <w:rPr>
          <w:rFonts w:eastAsiaTheme="minorEastAsia"/>
          <w:color w:val="000000"/>
          <w:sz w:val="24"/>
        </w:rPr>
      </w:pPr>
    </w:p>
    <w:p w:rsidR="004318F0" w:rsidRPr="005E324A" w:rsidRDefault="004318F0" w:rsidP="003A4DA3">
      <w:pPr>
        <w:autoSpaceDE w:val="0"/>
        <w:autoSpaceDN w:val="0"/>
        <w:adjustRightInd w:val="0"/>
        <w:spacing w:line="360" w:lineRule="auto"/>
        <w:jc w:val="left"/>
        <w:rPr>
          <w:rFonts w:eastAsiaTheme="minorEastAsia"/>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5.2.2</w:t>
        </w:r>
        <w:r w:rsidR="00656A06">
          <w:rPr>
            <w:rFonts w:eastAsiaTheme="minorEastAsia" w:hint="eastAsia"/>
            <w:b/>
            <w:color w:val="000000"/>
            <w:kern w:val="0"/>
            <w:sz w:val="24"/>
          </w:rPr>
          <w:t xml:space="preserve"> </w:t>
        </w:r>
      </w:smartTag>
      <w:r w:rsidRPr="005E324A">
        <w:rPr>
          <w:rFonts w:eastAsiaTheme="minorEastAsia"/>
          <w:b/>
          <w:color w:val="000000"/>
          <w:kern w:val="0"/>
          <w:sz w:val="24"/>
        </w:rPr>
        <w:t>指数投资按行业分类的股票投资组合</w:t>
      </w:r>
    </w:p>
    <w:tbl>
      <w:tblPr>
        <w:tblW w:w="8731"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40"/>
        <w:gridCol w:w="3691"/>
        <w:gridCol w:w="2710"/>
        <w:gridCol w:w="1790"/>
      </w:tblGrid>
      <w:tr w:rsidR="00EA5D6D" w:rsidRPr="005E324A" w:rsidTr="006B5B3E">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行业类别</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公允价值（元）</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占基金资产净值比例（％）</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农、林、牧、渔业</w:t>
            </w:r>
          </w:p>
        </w:tc>
        <w:tc>
          <w:tcPr>
            <w:tcW w:w="2710" w:type="dxa"/>
            <w:tcBorders>
              <w:top w:val="single" w:sz="4" w:space="0" w:color="000000"/>
              <w:left w:val="single" w:sz="4" w:space="0" w:color="auto"/>
              <w:bottom w:val="single" w:sz="4" w:space="0" w:color="000000"/>
              <w:right w:val="single" w:sz="4" w:space="0" w:color="000000"/>
            </w:tcBorders>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EA5D6D" w:rsidRPr="005E324A" w:rsidRDefault="00EA5D6D" w:rsidP="00465C86">
            <w:pPr>
              <w:autoSpaceDE w:val="0"/>
              <w:autoSpaceDN w:val="0"/>
              <w:adjustRightInd w:val="0"/>
              <w:spacing w:before="29" w:line="360" w:lineRule="auto"/>
              <w:ind w:left="15"/>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采矿业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784EF2">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784EF2">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制造业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63,757,580.63</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21.16</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电力、热力、燃气及水生产和供应业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建筑业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批发和零售业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10,544,764.00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3.50</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交通运输、仓储和邮政业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1,713,878.80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0.57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住宿和餐饮业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sz w:val="24"/>
              </w:rPr>
            </w:pPr>
            <w:r w:rsidRPr="005E324A">
              <w:rPr>
                <w:rFonts w:eastAsiaTheme="minorEastAsia"/>
                <w:sz w:val="24"/>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sz w:val="24"/>
              </w:rPr>
            </w:pPr>
            <w:r w:rsidRPr="005E324A">
              <w:rPr>
                <w:rFonts w:eastAsiaTheme="minorEastAsia"/>
                <w:sz w:val="24"/>
              </w:rPr>
              <w:t>信息传输、软件和信息技术服务业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117,922,826.44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39.13</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金融业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57,093,389.69</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18.95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房地产业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18,229,502.84</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6.05</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租赁和商务服务业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15,887,432.00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5.27</w:t>
            </w:r>
          </w:p>
        </w:tc>
      </w:tr>
      <w:tr w:rsidR="00EA5D6D" w:rsidRPr="005E324A" w:rsidTr="006B5B3E">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465C86">
            <w:pPr>
              <w:adjustRightInd w:val="0"/>
              <w:snapToGrid w:val="0"/>
              <w:spacing w:line="400" w:lineRule="exact"/>
              <w:rPr>
                <w:rFonts w:eastAsiaTheme="minorEastAsia"/>
                <w:color w:val="000000"/>
                <w:sz w:val="24"/>
              </w:rPr>
            </w:pPr>
            <w:r w:rsidRPr="005E324A">
              <w:rPr>
                <w:rFonts w:eastAsiaTheme="minorEastAsia"/>
                <w:color w:val="000000"/>
                <w:sz w:val="24"/>
              </w:rPr>
              <w:t>科学研究和技术服务业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784EF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84EF2">
            <w:pPr>
              <w:adjustRightInd w:val="0"/>
              <w:snapToGrid w:val="0"/>
              <w:spacing w:line="400" w:lineRule="exact"/>
              <w:rPr>
                <w:rFonts w:eastAsiaTheme="minorEastAsia"/>
                <w:color w:val="000000"/>
                <w:sz w:val="24"/>
              </w:rPr>
            </w:pPr>
            <w:r w:rsidRPr="005E324A">
              <w:rPr>
                <w:rFonts w:eastAsiaTheme="minorEastAsia"/>
                <w:color w:val="000000"/>
                <w:sz w:val="24"/>
              </w:rPr>
              <w:t>水利、环境和公共设施管理业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784EF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84EF2">
            <w:pPr>
              <w:adjustRightInd w:val="0"/>
              <w:snapToGrid w:val="0"/>
              <w:spacing w:line="400" w:lineRule="exact"/>
              <w:rPr>
                <w:rFonts w:eastAsiaTheme="minorEastAsia"/>
                <w:color w:val="000000"/>
                <w:sz w:val="24"/>
              </w:rPr>
            </w:pPr>
            <w:r w:rsidRPr="005E324A">
              <w:rPr>
                <w:rFonts w:eastAsiaTheme="minorEastAsia"/>
                <w:color w:val="000000"/>
                <w:sz w:val="24"/>
              </w:rPr>
              <w:t>居民服务、修理和其他服务业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784EF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84EF2">
            <w:pPr>
              <w:adjustRightInd w:val="0"/>
              <w:snapToGrid w:val="0"/>
              <w:spacing w:line="400" w:lineRule="exact"/>
              <w:rPr>
                <w:rFonts w:eastAsiaTheme="minorEastAsia"/>
                <w:color w:val="000000"/>
                <w:sz w:val="24"/>
              </w:rPr>
            </w:pPr>
            <w:r w:rsidRPr="005E324A">
              <w:rPr>
                <w:rFonts w:eastAsiaTheme="minorEastAsia"/>
                <w:color w:val="000000"/>
                <w:sz w:val="24"/>
              </w:rPr>
              <w:t>教育</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784EF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84EF2">
            <w:pPr>
              <w:adjustRightInd w:val="0"/>
              <w:snapToGrid w:val="0"/>
              <w:spacing w:line="400" w:lineRule="exact"/>
              <w:rPr>
                <w:rFonts w:eastAsiaTheme="minorEastAsia"/>
                <w:color w:val="000000"/>
                <w:sz w:val="24"/>
              </w:rPr>
            </w:pPr>
            <w:r w:rsidRPr="005E324A">
              <w:rPr>
                <w:rFonts w:eastAsiaTheme="minorEastAsia"/>
                <w:color w:val="000000"/>
                <w:sz w:val="24"/>
              </w:rPr>
              <w:t>卫生和社会工作</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784EF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84EF2">
            <w:pPr>
              <w:adjustRightInd w:val="0"/>
              <w:snapToGrid w:val="0"/>
              <w:spacing w:line="400" w:lineRule="exact"/>
              <w:rPr>
                <w:rFonts w:eastAsiaTheme="minorEastAsia"/>
                <w:color w:val="000000"/>
                <w:sz w:val="24"/>
              </w:rPr>
            </w:pPr>
            <w:r w:rsidRPr="005E324A">
              <w:rPr>
                <w:rFonts w:eastAsiaTheme="minorEastAsia"/>
                <w:color w:val="000000"/>
                <w:sz w:val="24"/>
              </w:rPr>
              <w:t>文化、体育和娱乐业</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784EF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r w:rsidRPr="005E324A">
              <w:rPr>
                <w:rFonts w:eastAsiaTheme="minorEastAsia"/>
                <w:color w:val="000000"/>
                <w:sz w:val="24"/>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84EF2">
            <w:pPr>
              <w:adjustRightInd w:val="0"/>
              <w:snapToGrid w:val="0"/>
              <w:spacing w:line="400" w:lineRule="exact"/>
              <w:rPr>
                <w:rFonts w:eastAsiaTheme="minorEastAsia"/>
                <w:color w:val="000000"/>
                <w:sz w:val="24"/>
              </w:rPr>
            </w:pPr>
            <w:r w:rsidRPr="005E324A">
              <w:rPr>
                <w:rFonts w:eastAsiaTheme="minorEastAsia"/>
                <w:color w:val="000000"/>
                <w:sz w:val="24"/>
              </w:rPr>
              <w:t>综合</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465C86">
            <w:pPr>
              <w:jc w:val="right"/>
              <w:rPr>
                <w:rFonts w:eastAsiaTheme="minorEastAsia"/>
                <w:sz w:val="24"/>
              </w:rPr>
            </w:pPr>
            <w:r w:rsidRPr="005E324A">
              <w:rPr>
                <w:rFonts w:eastAsiaTheme="minorEastAsia"/>
                <w:sz w:val="24"/>
              </w:rPr>
              <w:t>-</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w:t>
            </w:r>
          </w:p>
        </w:tc>
      </w:tr>
      <w:tr w:rsidR="00EA5D6D" w:rsidRPr="005E324A" w:rsidTr="00784EF2">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tcPr>
          <w:p w:rsidR="00EA5D6D" w:rsidRPr="005E324A" w:rsidRDefault="00EA5D6D" w:rsidP="00465C86">
            <w:pPr>
              <w:adjustRightInd w:val="0"/>
              <w:snapToGrid w:val="0"/>
              <w:spacing w:line="400" w:lineRule="exact"/>
              <w:jc w:val="center"/>
              <w:rPr>
                <w:rFonts w:eastAsiaTheme="minorEastAsia"/>
                <w:color w:val="000000"/>
                <w:sz w:val="24"/>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tcPr>
          <w:p w:rsidR="00EA5D6D" w:rsidRPr="005E324A" w:rsidRDefault="00EA5D6D" w:rsidP="00784EF2">
            <w:pPr>
              <w:adjustRightInd w:val="0"/>
              <w:snapToGrid w:val="0"/>
              <w:spacing w:line="400" w:lineRule="exact"/>
              <w:rPr>
                <w:rFonts w:eastAsiaTheme="minorEastAsia"/>
                <w:color w:val="000000"/>
                <w:sz w:val="24"/>
              </w:rPr>
            </w:pPr>
            <w:r w:rsidRPr="005E324A">
              <w:rPr>
                <w:rFonts w:eastAsiaTheme="minorEastAsia"/>
                <w:color w:val="000000"/>
                <w:sz w:val="24"/>
              </w:rPr>
              <w:t>合计</w:t>
            </w:r>
          </w:p>
        </w:tc>
        <w:tc>
          <w:tcPr>
            <w:tcW w:w="2710" w:type="dxa"/>
            <w:tcBorders>
              <w:top w:val="single" w:sz="4" w:space="0" w:color="000000"/>
              <w:left w:val="single" w:sz="4" w:space="0" w:color="auto"/>
              <w:bottom w:val="single" w:sz="4" w:space="0" w:color="000000"/>
              <w:right w:val="single" w:sz="4" w:space="0" w:color="000000"/>
            </w:tcBorders>
            <w:vAlign w:val="bottom"/>
          </w:tcPr>
          <w:p w:rsidR="00EA5D6D" w:rsidRPr="005E324A" w:rsidRDefault="00EA5D6D" w:rsidP="00F70112">
            <w:pPr>
              <w:jc w:val="right"/>
              <w:rPr>
                <w:rFonts w:eastAsiaTheme="minorEastAsia"/>
                <w:sz w:val="24"/>
              </w:rPr>
            </w:pPr>
            <w:r w:rsidRPr="005E324A">
              <w:rPr>
                <w:rFonts w:eastAsiaTheme="minorEastAsia"/>
                <w:sz w:val="24"/>
              </w:rPr>
              <w:t>285,149,374.40</w:t>
            </w:r>
          </w:p>
        </w:tc>
        <w:tc>
          <w:tcPr>
            <w:tcW w:w="179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bottom"/>
          </w:tcPr>
          <w:p w:rsidR="00EA5D6D" w:rsidRPr="005E324A" w:rsidRDefault="00EA5D6D" w:rsidP="00465C86">
            <w:pPr>
              <w:jc w:val="right"/>
              <w:rPr>
                <w:rFonts w:eastAsiaTheme="minorEastAsia"/>
                <w:sz w:val="24"/>
              </w:rPr>
            </w:pPr>
            <w:r w:rsidRPr="005E324A">
              <w:rPr>
                <w:rFonts w:eastAsiaTheme="minorEastAsia"/>
                <w:sz w:val="24"/>
              </w:rPr>
              <w:t>94.62</w:t>
            </w:r>
          </w:p>
        </w:tc>
      </w:tr>
    </w:tbl>
    <w:p w:rsidR="004318F0" w:rsidRPr="005E324A" w:rsidRDefault="004318F0"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5.3</w:t>
      </w:r>
      <w:r w:rsidR="00656A06">
        <w:rPr>
          <w:rFonts w:eastAsiaTheme="minorEastAsia" w:hint="eastAsia"/>
          <w:b/>
          <w:color w:val="000000"/>
          <w:kern w:val="0"/>
          <w:sz w:val="24"/>
        </w:rPr>
        <w:t xml:space="preserve"> </w:t>
      </w:r>
      <w:r w:rsidR="00EF03C6" w:rsidRPr="005E324A">
        <w:rPr>
          <w:rFonts w:eastAsiaTheme="minorEastAsia"/>
          <w:b/>
          <w:color w:val="000000"/>
          <w:kern w:val="0"/>
          <w:sz w:val="24"/>
        </w:rPr>
        <w:t>报告</w:t>
      </w:r>
      <w:r w:rsidR="006E346E" w:rsidRPr="005E324A">
        <w:rPr>
          <w:rFonts w:eastAsiaTheme="minorEastAsia"/>
          <w:b/>
          <w:color w:val="000000"/>
          <w:kern w:val="0"/>
          <w:sz w:val="24"/>
        </w:rPr>
        <w:t>期末按公允价值占基金资产净值比例大小排序的股票投资明细</w:t>
      </w:r>
    </w:p>
    <w:p w:rsidR="00C22C7D" w:rsidRPr="005E324A" w:rsidRDefault="000625A6" w:rsidP="003A4DA3">
      <w:pPr>
        <w:spacing w:line="360" w:lineRule="auto"/>
        <w:rPr>
          <w:rFonts w:eastAsiaTheme="minorEastAsia"/>
          <w:b/>
          <w:sz w:val="24"/>
        </w:rPr>
      </w:pPr>
      <w:smartTag w:uri="urn:schemas-microsoft-com:office:smarttags" w:element="chsdate">
        <w:smartTagPr>
          <w:attr w:name="Year" w:val="1899"/>
          <w:attr w:name="Month" w:val="12"/>
          <w:attr w:name="Day" w:val="30"/>
          <w:attr w:name="IsLunarDate" w:val="False"/>
          <w:attr w:name="IsROCDate" w:val="False"/>
        </w:smartTagPr>
        <w:r w:rsidRPr="005E324A">
          <w:rPr>
            <w:rFonts w:eastAsiaTheme="minorEastAsia"/>
            <w:b/>
            <w:color w:val="000000"/>
            <w:kern w:val="0"/>
            <w:sz w:val="24"/>
          </w:rPr>
          <w:t>5.3.1</w:t>
        </w:r>
        <w:r w:rsidR="00EF03C6" w:rsidRPr="005E324A">
          <w:rPr>
            <w:rFonts w:eastAsiaTheme="minorEastAsia"/>
            <w:b/>
            <w:color w:val="000000"/>
            <w:kern w:val="0"/>
            <w:sz w:val="24"/>
          </w:rPr>
          <w:t>报告</w:t>
        </w:r>
      </w:smartTag>
      <w:r w:rsidR="00C22C7D" w:rsidRPr="005E324A">
        <w:rPr>
          <w:rFonts w:eastAsiaTheme="minorEastAsia"/>
          <w:b/>
          <w:color w:val="000000"/>
          <w:kern w:val="0"/>
          <w:sz w:val="24"/>
        </w:rPr>
        <w:t>期末</w:t>
      </w:r>
      <w:r w:rsidR="00C22C7D" w:rsidRPr="005E324A">
        <w:rPr>
          <w:rFonts w:eastAsiaTheme="minorEastAsia"/>
          <w:b/>
          <w:sz w:val="24"/>
        </w:rPr>
        <w:t>指数投资按公允价值占基金资产净值比例大小排序的前</w:t>
      </w:r>
      <w:r w:rsidR="00AF5585" w:rsidRPr="005E324A">
        <w:rPr>
          <w:rFonts w:eastAsiaTheme="minorEastAsia"/>
          <w:b/>
          <w:sz w:val="24"/>
        </w:rPr>
        <w:t>十</w:t>
      </w:r>
      <w:r w:rsidR="00C22C7D" w:rsidRPr="005E324A">
        <w:rPr>
          <w:rFonts w:eastAsiaTheme="minorEastAsia"/>
          <w:b/>
          <w:sz w:val="24"/>
        </w:rPr>
        <w:t>名股票投资明细</w:t>
      </w:r>
    </w:p>
    <w:tbl>
      <w:tblPr>
        <w:tblStyle w:val="af7"/>
        <w:tblW w:w="0" w:type="auto"/>
        <w:tblLayout w:type="fixed"/>
        <w:tblLook w:val="04A0" w:firstRow="1" w:lastRow="0" w:firstColumn="1" w:lastColumn="0" w:noHBand="0" w:noVBand="1"/>
      </w:tblPr>
      <w:tblGrid>
        <w:gridCol w:w="817"/>
        <w:gridCol w:w="1276"/>
        <w:gridCol w:w="1701"/>
        <w:gridCol w:w="1276"/>
        <w:gridCol w:w="1842"/>
        <w:gridCol w:w="1616"/>
      </w:tblGrid>
      <w:tr w:rsidR="007622F6" w:rsidRPr="005E324A" w:rsidTr="007A6BEA">
        <w:tc>
          <w:tcPr>
            <w:tcW w:w="817"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701"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27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数量</w:t>
            </w:r>
            <w:r w:rsidRPr="005E324A">
              <w:rPr>
                <w:rFonts w:eastAsiaTheme="minorEastAsia"/>
                <w:color w:val="000000"/>
                <w:sz w:val="24"/>
              </w:rPr>
              <w:t>(</w:t>
            </w:r>
            <w:r w:rsidRPr="005E324A">
              <w:rPr>
                <w:rFonts w:eastAsiaTheme="minorEastAsia"/>
                <w:color w:val="000000"/>
                <w:sz w:val="24"/>
              </w:rPr>
              <w:t>股</w:t>
            </w:r>
            <w:r w:rsidRPr="005E324A">
              <w:rPr>
                <w:rFonts w:eastAsiaTheme="minorEastAsia"/>
                <w:color w:val="000000"/>
                <w:sz w:val="24"/>
              </w:rPr>
              <w:t>)</w:t>
            </w:r>
          </w:p>
        </w:tc>
        <w:tc>
          <w:tcPr>
            <w:tcW w:w="1842" w:type="dxa"/>
            <w:vAlign w:val="center"/>
          </w:tcPr>
          <w:p w:rsidR="007622F6" w:rsidRPr="005E324A" w:rsidRDefault="007622F6" w:rsidP="007A6BEA">
            <w:pPr>
              <w:autoSpaceDE w:val="0"/>
              <w:autoSpaceDN w:val="0"/>
              <w:adjustRightInd w:val="0"/>
              <w:spacing w:before="29" w:line="360" w:lineRule="auto"/>
              <w:ind w:left="17"/>
              <w:jc w:val="center"/>
              <w:rPr>
                <w:rFonts w:eastAsiaTheme="minorEastAsia"/>
                <w:color w:val="000000"/>
                <w:sz w:val="24"/>
              </w:rPr>
            </w:pPr>
            <w:r w:rsidRPr="005E324A">
              <w:rPr>
                <w:rFonts w:eastAsiaTheme="minorEastAsia"/>
                <w:color w:val="000000"/>
                <w:sz w:val="24"/>
              </w:rPr>
              <w:t>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16" w:type="dxa"/>
            <w:vAlign w:val="center"/>
          </w:tcPr>
          <w:p w:rsidR="007622F6" w:rsidRPr="005E324A" w:rsidRDefault="007622F6"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r w:rsidRPr="005E324A">
              <w:rPr>
                <w:rFonts w:eastAsiaTheme="minorEastAsia"/>
                <w:color w:val="000000"/>
                <w:sz w:val="24"/>
              </w:rPr>
              <w:t>％</w:t>
            </w:r>
            <w:r w:rsidRPr="005E324A">
              <w:rPr>
                <w:rFonts w:eastAsiaTheme="minorEastAsia"/>
                <w:color w:val="000000"/>
                <w:sz w:val="24"/>
              </w:rPr>
              <w:t>)</w:t>
            </w:r>
          </w:p>
        </w:tc>
      </w:tr>
      <w:tr w:rsidR="00E85E7E">
        <w:tc>
          <w:tcPr>
            <w:tcW w:w="817" w:type="dxa"/>
            <w:vAlign w:val="center"/>
          </w:tcPr>
          <w:p w:rsidR="00E85E7E" w:rsidRDefault="00784EF2">
            <w:pPr>
              <w:jc w:val="center"/>
            </w:pPr>
            <w:r>
              <w:rPr>
                <w:rFonts w:eastAsiaTheme="minorEastAsia"/>
                <w:color w:val="000000"/>
                <w:sz w:val="24"/>
              </w:rPr>
              <w:t>1</w:t>
            </w:r>
          </w:p>
        </w:tc>
        <w:tc>
          <w:tcPr>
            <w:tcW w:w="1276" w:type="dxa"/>
            <w:vAlign w:val="center"/>
          </w:tcPr>
          <w:p w:rsidR="00E85E7E" w:rsidRDefault="00784EF2">
            <w:pPr>
              <w:jc w:val="center"/>
            </w:pPr>
            <w:r>
              <w:rPr>
                <w:rFonts w:eastAsiaTheme="minorEastAsia"/>
                <w:color w:val="000000"/>
                <w:sz w:val="24"/>
              </w:rPr>
              <w:t>300104</w:t>
            </w:r>
          </w:p>
        </w:tc>
        <w:tc>
          <w:tcPr>
            <w:tcW w:w="1701" w:type="dxa"/>
            <w:vAlign w:val="center"/>
          </w:tcPr>
          <w:p w:rsidR="00E85E7E" w:rsidRDefault="00784EF2">
            <w:pPr>
              <w:jc w:val="center"/>
            </w:pPr>
            <w:r>
              <w:rPr>
                <w:rFonts w:eastAsiaTheme="minorEastAsia"/>
                <w:color w:val="000000"/>
                <w:sz w:val="24"/>
              </w:rPr>
              <w:t>乐视网</w:t>
            </w:r>
          </w:p>
        </w:tc>
        <w:tc>
          <w:tcPr>
            <w:tcW w:w="1276" w:type="dxa"/>
            <w:vAlign w:val="center"/>
          </w:tcPr>
          <w:p w:rsidR="00E85E7E" w:rsidRDefault="00784EF2">
            <w:pPr>
              <w:jc w:val="right"/>
            </w:pPr>
            <w:r>
              <w:rPr>
                <w:rFonts w:eastAsiaTheme="minorEastAsia"/>
                <w:color w:val="000000"/>
                <w:sz w:val="24"/>
              </w:rPr>
              <w:t>231,262</w:t>
            </w:r>
          </w:p>
        </w:tc>
        <w:tc>
          <w:tcPr>
            <w:tcW w:w="1842" w:type="dxa"/>
            <w:vAlign w:val="center"/>
          </w:tcPr>
          <w:p w:rsidR="00E85E7E" w:rsidRDefault="00784EF2">
            <w:pPr>
              <w:jc w:val="right"/>
            </w:pPr>
            <w:r>
              <w:rPr>
                <w:rFonts w:eastAsiaTheme="minorEastAsia"/>
                <w:color w:val="000000"/>
                <w:sz w:val="24"/>
              </w:rPr>
              <w:t>13,917,347.16</w:t>
            </w:r>
          </w:p>
        </w:tc>
        <w:tc>
          <w:tcPr>
            <w:tcW w:w="1616" w:type="dxa"/>
            <w:vAlign w:val="center"/>
          </w:tcPr>
          <w:p w:rsidR="00E85E7E" w:rsidRDefault="00784EF2">
            <w:pPr>
              <w:jc w:val="right"/>
            </w:pPr>
            <w:r>
              <w:rPr>
                <w:rFonts w:eastAsiaTheme="minorEastAsia"/>
                <w:color w:val="000000"/>
                <w:sz w:val="24"/>
              </w:rPr>
              <w:t>4.62</w:t>
            </w:r>
          </w:p>
        </w:tc>
      </w:tr>
      <w:tr w:rsidR="00E85E7E">
        <w:tc>
          <w:tcPr>
            <w:tcW w:w="817" w:type="dxa"/>
            <w:vAlign w:val="center"/>
          </w:tcPr>
          <w:p w:rsidR="00E85E7E" w:rsidRDefault="00784EF2">
            <w:pPr>
              <w:jc w:val="center"/>
            </w:pPr>
            <w:r>
              <w:rPr>
                <w:rFonts w:eastAsiaTheme="minorEastAsia"/>
                <w:color w:val="000000"/>
                <w:sz w:val="24"/>
              </w:rPr>
              <w:t>2</w:t>
            </w:r>
          </w:p>
        </w:tc>
        <w:tc>
          <w:tcPr>
            <w:tcW w:w="1276" w:type="dxa"/>
            <w:vAlign w:val="center"/>
          </w:tcPr>
          <w:p w:rsidR="00E85E7E" w:rsidRDefault="00784EF2">
            <w:pPr>
              <w:jc w:val="center"/>
            </w:pPr>
            <w:r>
              <w:rPr>
                <w:rFonts w:eastAsiaTheme="minorEastAsia"/>
                <w:color w:val="000000"/>
                <w:sz w:val="24"/>
              </w:rPr>
              <w:t>600271</w:t>
            </w:r>
          </w:p>
        </w:tc>
        <w:tc>
          <w:tcPr>
            <w:tcW w:w="1701" w:type="dxa"/>
            <w:vAlign w:val="center"/>
          </w:tcPr>
          <w:p w:rsidR="00E85E7E" w:rsidRDefault="00784EF2">
            <w:pPr>
              <w:jc w:val="center"/>
            </w:pPr>
            <w:r>
              <w:rPr>
                <w:rFonts w:eastAsiaTheme="minorEastAsia"/>
                <w:color w:val="000000"/>
                <w:sz w:val="24"/>
              </w:rPr>
              <w:t>航天信息</w:t>
            </w:r>
          </w:p>
        </w:tc>
        <w:tc>
          <w:tcPr>
            <w:tcW w:w="1276" w:type="dxa"/>
            <w:vAlign w:val="center"/>
          </w:tcPr>
          <w:p w:rsidR="00E85E7E" w:rsidRDefault="00784EF2">
            <w:pPr>
              <w:jc w:val="right"/>
            </w:pPr>
            <w:r>
              <w:rPr>
                <w:rFonts w:eastAsiaTheme="minorEastAsia"/>
                <w:color w:val="000000"/>
                <w:sz w:val="24"/>
              </w:rPr>
              <w:t>132,576</w:t>
            </w:r>
          </w:p>
        </w:tc>
        <w:tc>
          <w:tcPr>
            <w:tcW w:w="1842" w:type="dxa"/>
            <w:vAlign w:val="center"/>
          </w:tcPr>
          <w:p w:rsidR="00E85E7E" w:rsidRDefault="00784EF2">
            <w:pPr>
              <w:jc w:val="right"/>
            </w:pPr>
            <w:r>
              <w:rPr>
                <w:rFonts w:eastAsiaTheme="minorEastAsia"/>
                <w:color w:val="000000"/>
                <w:sz w:val="24"/>
              </w:rPr>
              <w:t>9,473,880.96</w:t>
            </w:r>
          </w:p>
        </w:tc>
        <w:tc>
          <w:tcPr>
            <w:tcW w:w="1616" w:type="dxa"/>
            <w:vAlign w:val="center"/>
          </w:tcPr>
          <w:p w:rsidR="00E85E7E" w:rsidRDefault="00784EF2">
            <w:pPr>
              <w:jc w:val="right"/>
            </w:pPr>
            <w:r>
              <w:rPr>
                <w:rFonts w:eastAsiaTheme="minorEastAsia"/>
                <w:color w:val="000000"/>
                <w:sz w:val="24"/>
              </w:rPr>
              <w:t>3.14</w:t>
            </w:r>
          </w:p>
        </w:tc>
      </w:tr>
      <w:tr w:rsidR="00E85E7E">
        <w:tc>
          <w:tcPr>
            <w:tcW w:w="817" w:type="dxa"/>
            <w:vAlign w:val="center"/>
          </w:tcPr>
          <w:p w:rsidR="00E85E7E" w:rsidRDefault="00784EF2">
            <w:pPr>
              <w:jc w:val="center"/>
            </w:pPr>
            <w:r>
              <w:rPr>
                <w:rFonts w:eastAsiaTheme="minorEastAsia"/>
                <w:color w:val="000000"/>
                <w:sz w:val="24"/>
              </w:rPr>
              <w:t>3</w:t>
            </w:r>
          </w:p>
        </w:tc>
        <w:tc>
          <w:tcPr>
            <w:tcW w:w="1276" w:type="dxa"/>
            <w:vAlign w:val="center"/>
          </w:tcPr>
          <w:p w:rsidR="00E85E7E" w:rsidRDefault="00784EF2">
            <w:pPr>
              <w:jc w:val="center"/>
            </w:pPr>
            <w:r>
              <w:rPr>
                <w:rFonts w:eastAsiaTheme="minorEastAsia"/>
                <w:color w:val="000000"/>
                <w:sz w:val="24"/>
              </w:rPr>
              <w:t>601555</w:t>
            </w:r>
          </w:p>
        </w:tc>
        <w:tc>
          <w:tcPr>
            <w:tcW w:w="1701" w:type="dxa"/>
            <w:vAlign w:val="center"/>
          </w:tcPr>
          <w:p w:rsidR="00E85E7E" w:rsidRDefault="00784EF2">
            <w:pPr>
              <w:jc w:val="center"/>
            </w:pPr>
            <w:r>
              <w:rPr>
                <w:rFonts w:eastAsiaTheme="minorEastAsia"/>
                <w:color w:val="000000"/>
                <w:sz w:val="24"/>
              </w:rPr>
              <w:t>东吴证券</w:t>
            </w:r>
          </w:p>
        </w:tc>
        <w:tc>
          <w:tcPr>
            <w:tcW w:w="1276" w:type="dxa"/>
            <w:vAlign w:val="center"/>
          </w:tcPr>
          <w:p w:rsidR="00E85E7E" w:rsidRDefault="00784EF2">
            <w:pPr>
              <w:jc w:val="right"/>
            </w:pPr>
            <w:r>
              <w:rPr>
                <w:rFonts w:eastAsiaTheme="minorEastAsia"/>
                <w:color w:val="000000"/>
                <w:sz w:val="24"/>
              </w:rPr>
              <w:t>561,923</w:t>
            </w:r>
          </w:p>
        </w:tc>
        <w:tc>
          <w:tcPr>
            <w:tcW w:w="1842" w:type="dxa"/>
            <w:vAlign w:val="center"/>
          </w:tcPr>
          <w:p w:rsidR="00E85E7E" w:rsidRDefault="00784EF2">
            <w:pPr>
              <w:jc w:val="right"/>
            </w:pPr>
            <w:r>
              <w:rPr>
                <w:rFonts w:eastAsiaTheme="minorEastAsia"/>
                <w:color w:val="000000"/>
                <w:sz w:val="24"/>
              </w:rPr>
              <w:t>9,030,102.61</w:t>
            </w:r>
          </w:p>
        </w:tc>
        <w:tc>
          <w:tcPr>
            <w:tcW w:w="1616" w:type="dxa"/>
            <w:vAlign w:val="center"/>
          </w:tcPr>
          <w:p w:rsidR="00E85E7E" w:rsidRDefault="00784EF2">
            <w:pPr>
              <w:jc w:val="right"/>
            </w:pPr>
            <w:r>
              <w:rPr>
                <w:rFonts w:eastAsiaTheme="minorEastAsia"/>
                <w:color w:val="000000"/>
                <w:sz w:val="24"/>
              </w:rPr>
              <w:t>3.00</w:t>
            </w:r>
          </w:p>
        </w:tc>
      </w:tr>
      <w:tr w:rsidR="00E85E7E">
        <w:tc>
          <w:tcPr>
            <w:tcW w:w="817" w:type="dxa"/>
            <w:vAlign w:val="center"/>
          </w:tcPr>
          <w:p w:rsidR="00E85E7E" w:rsidRDefault="00784EF2">
            <w:pPr>
              <w:jc w:val="center"/>
            </w:pPr>
            <w:r>
              <w:rPr>
                <w:rFonts w:eastAsiaTheme="minorEastAsia"/>
                <w:color w:val="000000"/>
                <w:sz w:val="24"/>
              </w:rPr>
              <w:t>4</w:t>
            </w:r>
          </w:p>
        </w:tc>
        <w:tc>
          <w:tcPr>
            <w:tcW w:w="1276" w:type="dxa"/>
            <w:vAlign w:val="center"/>
          </w:tcPr>
          <w:p w:rsidR="00E85E7E" w:rsidRDefault="00784EF2">
            <w:pPr>
              <w:jc w:val="center"/>
            </w:pPr>
            <w:r>
              <w:rPr>
                <w:rFonts w:eastAsiaTheme="minorEastAsia"/>
                <w:color w:val="000000"/>
                <w:sz w:val="24"/>
              </w:rPr>
              <w:t>601166</w:t>
            </w:r>
          </w:p>
        </w:tc>
        <w:tc>
          <w:tcPr>
            <w:tcW w:w="1701" w:type="dxa"/>
            <w:vAlign w:val="center"/>
          </w:tcPr>
          <w:p w:rsidR="00E85E7E" w:rsidRDefault="00784EF2">
            <w:pPr>
              <w:jc w:val="center"/>
            </w:pPr>
            <w:r>
              <w:rPr>
                <w:rFonts w:eastAsiaTheme="minorEastAsia"/>
                <w:color w:val="000000"/>
                <w:sz w:val="24"/>
              </w:rPr>
              <w:t>兴业银行</w:t>
            </w:r>
          </w:p>
        </w:tc>
        <w:tc>
          <w:tcPr>
            <w:tcW w:w="1276" w:type="dxa"/>
            <w:vAlign w:val="center"/>
          </w:tcPr>
          <w:p w:rsidR="00E85E7E" w:rsidRDefault="00784EF2">
            <w:pPr>
              <w:jc w:val="right"/>
            </w:pPr>
            <w:r>
              <w:rPr>
                <w:rFonts w:eastAsiaTheme="minorEastAsia"/>
                <w:color w:val="000000"/>
                <w:sz w:val="24"/>
              </w:rPr>
              <w:t>524,700</w:t>
            </w:r>
          </w:p>
        </w:tc>
        <w:tc>
          <w:tcPr>
            <w:tcW w:w="1842" w:type="dxa"/>
            <w:vAlign w:val="center"/>
          </w:tcPr>
          <w:p w:rsidR="00E85E7E" w:rsidRDefault="00784EF2">
            <w:pPr>
              <w:jc w:val="right"/>
            </w:pPr>
            <w:r>
              <w:rPr>
                <w:rFonts w:eastAsiaTheme="minorEastAsia"/>
                <w:color w:val="000000"/>
                <w:sz w:val="24"/>
              </w:rPr>
              <w:t>8,956,629.00</w:t>
            </w:r>
          </w:p>
        </w:tc>
        <w:tc>
          <w:tcPr>
            <w:tcW w:w="1616" w:type="dxa"/>
            <w:vAlign w:val="center"/>
          </w:tcPr>
          <w:p w:rsidR="00E85E7E" w:rsidRDefault="00784EF2">
            <w:pPr>
              <w:jc w:val="right"/>
            </w:pPr>
            <w:r>
              <w:rPr>
                <w:rFonts w:eastAsiaTheme="minorEastAsia"/>
                <w:color w:val="000000"/>
                <w:sz w:val="24"/>
              </w:rPr>
              <w:t>2.97</w:t>
            </w:r>
          </w:p>
        </w:tc>
      </w:tr>
      <w:tr w:rsidR="00E85E7E">
        <w:tc>
          <w:tcPr>
            <w:tcW w:w="817" w:type="dxa"/>
            <w:vAlign w:val="center"/>
          </w:tcPr>
          <w:p w:rsidR="00E85E7E" w:rsidRDefault="00784EF2">
            <w:pPr>
              <w:jc w:val="center"/>
            </w:pPr>
            <w:r>
              <w:rPr>
                <w:rFonts w:eastAsiaTheme="minorEastAsia"/>
                <w:color w:val="000000"/>
                <w:sz w:val="24"/>
              </w:rPr>
              <w:t>5</w:t>
            </w:r>
          </w:p>
        </w:tc>
        <w:tc>
          <w:tcPr>
            <w:tcW w:w="1276" w:type="dxa"/>
            <w:vAlign w:val="center"/>
          </w:tcPr>
          <w:p w:rsidR="00E85E7E" w:rsidRDefault="00784EF2">
            <w:pPr>
              <w:jc w:val="center"/>
            </w:pPr>
            <w:r>
              <w:rPr>
                <w:rFonts w:eastAsiaTheme="minorEastAsia"/>
                <w:color w:val="000000"/>
                <w:sz w:val="24"/>
              </w:rPr>
              <w:t>002183</w:t>
            </w:r>
          </w:p>
        </w:tc>
        <w:tc>
          <w:tcPr>
            <w:tcW w:w="1701" w:type="dxa"/>
            <w:vAlign w:val="center"/>
          </w:tcPr>
          <w:p w:rsidR="00E85E7E" w:rsidRDefault="00784EF2">
            <w:pPr>
              <w:jc w:val="center"/>
            </w:pPr>
            <w:r>
              <w:rPr>
                <w:rFonts w:eastAsiaTheme="minorEastAsia"/>
                <w:color w:val="000000"/>
                <w:sz w:val="24"/>
              </w:rPr>
              <w:t>怡</w:t>
            </w:r>
            <w:r>
              <w:rPr>
                <w:rFonts w:eastAsiaTheme="minorEastAsia"/>
                <w:color w:val="000000"/>
                <w:sz w:val="24"/>
              </w:rPr>
              <w:t xml:space="preserve"> </w:t>
            </w:r>
            <w:r>
              <w:rPr>
                <w:rFonts w:eastAsiaTheme="minorEastAsia"/>
                <w:color w:val="000000"/>
                <w:sz w:val="24"/>
              </w:rPr>
              <w:t>亚</w:t>
            </w:r>
            <w:r>
              <w:rPr>
                <w:rFonts w:eastAsiaTheme="minorEastAsia"/>
                <w:color w:val="000000"/>
                <w:sz w:val="24"/>
              </w:rPr>
              <w:t xml:space="preserve"> </w:t>
            </w:r>
            <w:r>
              <w:rPr>
                <w:rFonts w:eastAsiaTheme="minorEastAsia"/>
                <w:color w:val="000000"/>
                <w:sz w:val="24"/>
              </w:rPr>
              <w:t>通</w:t>
            </w:r>
          </w:p>
        </w:tc>
        <w:tc>
          <w:tcPr>
            <w:tcW w:w="1276" w:type="dxa"/>
            <w:vAlign w:val="center"/>
          </w:tcPr>
          <w:p w:rsidR="00E85E7E" w:rsidRDefault="00784EF2">
            <w:pPr>
              <w:jc w:val="right"/>
            </w:pPr>
            <w:r>
              <w:rPr>
                <w:rFonts w:eastAsiaTheme="minorEastAsia"/>
                <w:color w:val="000000"/>
                <w:sz w:val="24"/>
              </w:rPr>
              <w:t>194,200</w:t>
            </w:r>
          </w:p>
        </w:tc>
        <w:tc>
          <w:tcPr>
            <w:tcW w:w="1842" w:type="dxa"/>
            <w:vAlign w:val="center"/>
          </w:tcPr>
          <w:p w:rsidR="00E85E7E" w:rsidRDefault="00784EF2">
            <w:pPr>
              <w:jc w:val="right"/>
            </w:pPr>
            <w:r>
              <w:rPr>
                <w:rFonts w:eastAsiaTheme="minorEastAsia"/>
                <w:color w:val="000000"/>
                <w:sz w:val="24"/>
              </w:rPr>
              <w:t>8,944,852.00</w:t>
            </w:r>
          </w:p>
        </w:tc>
        <w:tc>
          <w:tcPr>
            <w:tcW w:w="1616" w:type="dxa"/>
            <w:vAlign w:val="center"/>
          </w:tcPr>
          <w:p w:rsidR="00E85E7E" w:rsidRDefault="00784EF2">
            <w:pPr>
              <w:jc w:val="right"/>
            </w:pPr>
            <w:r>
              <w:rPr>
                <w:rFonts w:eastAsiaTheme="minorEastAsia"/>
                <w:color w:val="000000"/>
                <w:sz w:val="24"/>
              </w:rPr>
              <w:t>2.97</w:t>
            </w:r>
          </w:p>
        </w:tc>
      </w:tr>
      <w:tr w:rsidR="00E85E7E">
        <w:tc>
          <w:tcPr>
            <w:tcW w:w="817" w:type="dxa"/>
            <w:vAlign w:val="center"/>
          </w:tcPr>
          <w:p w:rsidR="00E85E7E" w:rsidRDefault="00784EF2">
            <w:pPr>
              <w:jc w:val="center"/>
            </w:pPr>
            <w:r>
              <w:rPr>
                <w:rFonts w:eastAsiaTheme="minorEastAsia"/>
                <w:color w:val="000000"/>
                <w:sz w:val="24"/>
              </w:rPr>
              <w:t>6</w:t>
            </w:r>
          </w:p>
        </w:tc>
        <w:tc>
          <w:tcPr>
            <w:tcW w:w="1276" w:type="dxa"/>
            <w:vAlign w:val="center"/>
          </w:tcPr>
          <w:p w:rsidR="00E85E7E" w:rsidRDefault="00784EF2">
            <w:pPr>
              <w:jc w:val="center"/>
            </w:pPr>
            <w:r>
              <w:rPr>
                <w:rFonts w:eastAsiaTheme="minorEastAsia"/>
                <w:color w:val="000000"/>
                <w:sz w:val="24"/>
              </w:rPr>
              <w:t>600109</w:t>
            </w:r>
          </w:p>
        </w:tc>
        <w:tc>
          <w:tcPr>
            <w:tcW w:w="1701" w:type="dxa"/>
            <w:vAlign w:val="center"/>
          </w:tcPr>
          <w:p w:rsidR="00E85E7E" w:rsidRDefault="00784EF2">
            <w:pPr>
              <w:jc w:val="center"/>
            </w:pPr>
            <w:r>
              <w:rPr>
                <w:rFonts w:eastAsiaTheme="minorEastAsia"/>
                <w:color w:val="000000"/>
                <w:sz w:val="24"/>
              </w:rPr>
              <w:t>国金证券</w:t>
            </w:r>
          </w:p>
        </w:tc>
        <w:tc>
          <w:tcPr>
            <w:tcW w:w="1276" w:type="dxa"/>
            <w:vAlign w:val="center"/>
          </w:tcPr>
          <w:p w:rsidR="00E85E7E" w:rsidRDefault="00784EF2">
            <w:pPr>
              <w:jc w:val="right"/>
            </w:pPr>
            <w:r>
              <w:rPr>
                <w:rFonts w:eastAsiaTheme="minorEastAsia"/>
                <w:color w:val="000000"/>
                <w:sz w:val="24"/>
              </w:rPr>
              <w:t>550,258</w:t>
            </w:r>
          </w:p>
        </w:tc>
        <w:tc>
          <w:tcPr>
            <w:tcW w:w="1842" w:type="dxa"/>
            <w:vAlign w:val="center"/>
          </w:tcPr>
          <w:p w:rsidR="00E85E7E" w:rsidRDefault="00784EF2">
            <w:pPr>
              <w:jc w:val="right"/>
            </w:pPr>
            <w:r>
              <w:rPr>
                <w:rFonts w:eastAsiaTheme="minorEastAsia"/>
                <w:color w:val="000000"/>
                <w:sz w:val="24"/>
              </w:rPr>
              <w:t>8,870,158.96</w:t>
            </w:r>
          </w:p>
        </w:tc>
        <w:tc>
          <w:tcPr>
            <w:tcW w:w="1616" w:type="dxa"/>
            <w:vAlign w:val="center"/>
          </w:tcPr>
          <w:p w:rsidR="00E85E7E" w:rsidRDefault="00784EF2">
            <w:pPr>
              <w:jc w:val="right"/>
            </w:pPr>
            <w:r>
              <w:rPr>
                <w:rFonts w:eastAsiaTheme="minorEastAsia"/>
                <w:color w:val="000000"/>
                <w:sz w:val="24"/>
              </w:rPr>
              <w:t>2.94</w:t>
            </w:r>
          </w:p>
        </w:tc>
      </w:tr>
      <w:tr w:rsidR="00E85E7E">
        <w:tc>
          <w:tcPr>
            <w:tcW w:w="817" w:type="dxa"/>
            <w:vAlign w:val="center"/>
          </w:tcPr>
          <w:p w:rsidR="00E85E7E" w:rsidRDefault="00784EF2">
            <w:pPr>
              <w:jc w:val="center"/>
            </w:pPr>
            <w:r>
              <w:rPr>
                <w:rFonts w:eastAsiaTheme="minorEastAsia"/>
                <w:color w:val="000000"/>
                <w:sz w:val="24"/>
              </w:rPr>
              <w:t>7</w:t>
            </w:r>
          </w:p>
        </w:tc>
        <w:tc>
          <w:tcPr>
            <w:tcW w:w="1276" w:type="dxa"/>
            <w:vAlign w:val="center"/>
          </w:tcPr>
          <w:p w:rsidR="00E85E7E" w:rsidRDefault="00784EF2">
            <w:pPr>
              <w:jc w:val="center"/>
            </w:pPr>
            <w:r>
              <w:rPr>
                <w:rFonts w:eastAsiaTheme="minorEastAsia"/>
                <w:color w:val="000000"/>
                <w:sz w:val="24"/>
              </w:rPr>
              <w:t>600446</w:t>
            </w:r>
          </w:p>
        </w:tc>
        <w:tc>
          <w:tcPr>
            <w:tcW w:w="1701" w:type="dxa"/>
            <w:vAlign w:val="center"/>
          </w:tcPr>
          <w:p w:rsidR="00E85E7E" w:rsidRDefault="00784EF2">
            <w:pPr>
              <w:jc w:val="center"/>
            </w:pPr>
            <w:r>
              <w:rPr>
                <w:rFonts w:eastAsiaTheme="minorEastAsia"/>
                <w:color w:val="000000"/>
                <w:sz w:val="24"/>
              </w:rPr>
              <w:t>金证股份</w:t>
            </w:r>
          </w:p>
        </w:tc>
        <w:tc>
          <w:tcPr>
            <w:tcW w:w="1276" w:type="dxa"/>
            <w:vAlign w:val="center"/>
          </w:tcPr>
          <w:p w:rsidR="00E85E7E" w:rsidRDefault="00784EF2">
            <w:pPr>
              <w:jc w:val="right"/>
            </w:pPr>
            <w:r>
              <w:rPr>
                <w:rFonts w:eastAsiaTheme="minorEastAsia"/>
                <w:color w:val="000000"/>
                <w:sz w:val="24"/>
              </w:rPr>
              <w:t>179,500</w:t>
            </w:r>
          </w:p>
        </w:tc>
        <w:tc>
          <w:tcPr>
            <w:tcW w:w="1842" w:type="dxa"/>
            <w:vAlign w:val="center"/>
          </w:tcPr>
          <w:p w:rsidR="00E85E7E" w:rsidRDefault="00784EF2">
            <w:pPr>
              <w:jc w:val="right"/>
            </w:pPr>
            <w:r>
              <w:rPr>
                <w:rFonts w:eastAsiaTheme="minorEastAsia"/>
                <w:color w:val="000000"/>
                <w:sz w:val="24"/>
              </w:rPr>
              <w:t>8,829,605.00</w:t>
            </w:r>
          </w:p>
        </w:tc>
        <w:tc>
          <w:tcPr>
            <w:tcW w:w="1616" w:type="dxa"/>
            <w:vAlign w:val="center"/>
          </w:tcPr>
          <w:p w:rsidR="00E85E7E" w:rsidRDefault="00784EF2">
            <w:pPr>
              <w:jc w:val="right"/>
            </w:pPr>
            <w:r>
              <w:rPr>
                <w:rFonts w:eastAsiaTheme="minorEastAsia"/>
                <w:color w:val="000000"/>
                <w:sz w:val="24"/>
              </w:rPr>
              <w:t>2.93</w:t>
            </w:r>
          </w:p>
        </w:tc>
      </w:tr>
      <w:tr w:rsidR="00E85E7E">
        <w:tc>
          <w:tcPr>
            <w:tcW w:w="817" w:type="dxa"/>
            <w:vAlign w:val="center"/>
          </w:tcPr>
          <w:p w:rsidR="00E85E7E" w:rsidRDefault="00784EF2">
            <w:pPr>
              <w:jc w:val="center"/>
            </w:pPr>
            <w:r>
              <w:rPr>
                <w:rFonts w:eastAsiaTheme="minorEastAsia"/>
                <w:color w:val="000000"/>
                <w:sz w:val="24"/>
              </w:rPr>
              <w:t>8</w:t>
            </w:r>
          </w:p>
        </w:tc>
        <w:tc>
          <w:tcPr>
            <w:tcW w:w="1276" w:type="dxa"/>
            <w:vAlign w:val="center"/>
          </w:tcPr>
          <w:p w:rsidR="00E85E7E" w:rsidRDefault="00784EF2">
            <w:pPr>
              <w:jc w:val="center"/>
            </w:pPr>
            <w:r>
              <w:rPr>
                <w:rFonts w:eastAsiaTheme="minorEastAsia"/>
                <w:color w:val="000000"/>
                <w:sz w:val="24"/>
              </w:rPr>
              <w:t>601318</w:t>
            </w:r>
          </w:p>
        </w:tc>
        <w:tc>
          <w:tcPr>
            <w:tcW w:w="1701" w:type="dxa"/>
            <w:vAlign w:val="center"/>
          </w:tcPr>
          <w:p w:rsidR="00E85E7E" w:rsidRDefault="00784EF2">
            <w:pPr>
              <w:jc w:val="center"/>
            </w:pPr>
            <w:r>
              <w:rPr>
                <w:rFonts w:eastAsiaTheme="minorEastAsia"/>
                <w:color w:val="000000"/>
                <w:sz w:val="24"/>
              </w:rPr>
              <w:t>中国平安</w:t>
            </w:r>
          </w:p>
        </w:tc>
        <w:tc>
          <w:tcPr>
            <w:tcW w:w="1276" w:type="dxa"/>
            <w:vAlign w:val="center"/>
          </w:tcPr>
          <w:p w:rsidR="00E85E7E" w:rsidRDefault="00784EF2">
            <w:pPr>
              <w:jc w:val="right"/>
            </w:pPr>
            <w:r>
              <w:rPr>
                <w:rFonts w:eastAsiaTheme="minorEastAsia"/>
                <w:color w:val="000000"/>
                <w:sz w:val="24"/>
              </w:rPr>
              <w:t>244,000</w:t>
            </w:r>
          </w:p>
        </w:tc>
        <w:tc>
          <w:tcPr>
            <w:tcW w:w="1842" w:type="dxa"/>
            <w:vAlign w:val="center"/>
          </w:tcPr>
          <w:p w:rsidR="00E85E7E" w:rsidRDefault="00784EF2">
            <w:pPr>
              <w:jc w:val="right"/>
            </w:pPr>
            <w:r>
              <w:rPr>
                <w:rFonts w:eastAsiaTheme="minorEastAsia"/>
                <w:color w:val="000000"/>
                <w:sz w:val="24"/>
              </w:rPr>
              <w:t>8,784,000.00</w:t>
            </w:r>
          </w:p>
        </w:tc>
        <w:tc>
          <w:tcPr>
            <w:tcW w:w="1616" w:type="dxa"/>
            <w:vAlign w:val="center"/>
          </w:tcPr>
          <w:p w:rsidR="00E85E7E" w:rsidRDefault="00784EF2">
            <w:pPr>
              <w:jc w:val="right"/>
            </w:pPr>
            <w:r>
              <w:rPr>
                <w:rFonts w:eastAsiaTheme="minorEastAsia"/>
                <w:color w:val="000000"/>
                <w:sz w:val="24"/>
              </w:rPr>
              <w:t>2.91</w:t>
            </w:r>
          </w:p>
        </w:tc>
      </w:tr>
      <w:tr w:rsidR="00E85E7E">
        <w:tc>
          <w:tcPr>
            <w:tcW w:w="817" w:type="dxa"/>
            <w:vAlign w:val="center"/>
          </w:tcPr>
          <w:p w:rsidR="00E85E7E" w:rsidRDefault="00784EF2">
            <w:pPr>
              <w:jc w:val="center"/>
            </w:pPr>
            <w:r>
              <w:rPr>
                <w:rFonts w:eastAsiaTheme="minorEastAsia"/>
                <w:color w:val="000000"/>
                <w:sz w:val="24"/>
              </w:rPr>
              <w:t>9</w:t>
            </w:r>
          </w:p>
        </w:tc>
        <w:tc>
          <w:tcPr>
            <w:tcW w:w="1276" w:type="dxa"/>
            <w:vAlign w:val="center"/>
          </w:tcPr>
          <w:p w:rsidR="00E85E7E" w:rsidRDefault="00784EF2">
            <w:pPr>
              <w:jc w:val="center"/>
            </w:pPr>
            <w:r>
              <w:rPr>
                <w:rFonts w:eastAsiaTheme="minorEastAsia"/>
                <w:color w:val="000000"/>
                <w:sz w:val="24"/>
              </w:rPr>
              <w:t>600177</w:t>
            </w:r>
          </w:p>
        </w:tc>
        <w:tc>
          <w:tcPr>
            <w:tcW w:w="1701" w:type="dxa"/>
            <w:vAlign w:val="center"/>
          </w:tcPr>
          <w:p w:rsidR="00E85E7E" w:rsidRDefault="00784EF2">
            <w:pPr>
              <w:jc w:val="center"/>
            </w:pPr>
            <w:r>
              <w:rPr>
                <w:rFonts w:eastAsiaTheme="minorEastAsia"/>
                <w:color w:val="000000"/>
                <w:sz w:val="24"/>
              </w:rPr>
              <w:t>雅戈尔</w:t>
            </w:r>
          </w:p>
        </w:tc>
        <w:tc>
          <w:tcPr>
            <w:tcW w:w="1276" w:type="dxa"/>
            <w:vAlign w:val="center"/>
          </w:tcPr>
          <w:p w:rsidR="00E85E7E" w:rsidRDefault="00784EF2">
            <w:pPr>
              <w:jc w:val="right"/>
            </w:pPr>
            <w:r>
              <w:rPr>
                <w:rFonts w:eastAsiaTheme="minorEastAsia"/>
                <w:color w:val="000000"/>
                <w:sz w:val="24"/>
              </w:rPr>
              <w:t>529,600</w:t>
            </w:r>
          </w:p>
        </w:tc>
        <w:tc>
          <w:tcPr>
            <w:tcW w:w="1842" w:type="dxa"/>
            <w:vAlign w:val="center"/>
          </w:tcPr>
          <w:p w:rsidR="00E85E7E" w:rsidRDefault="00784EF2">
            <w:pPr>
              <w:jc w:val="right"/>
            </w:pPr>
            <w:r>
              <w:rPr>
                <w:rFonts w:eastAsiaTheme="minorEastAsia"/>
                <w:color w:val="000000"/>
                <w:sz w:val="24"/>
              </w:rPr>
              <w:t>8,621,888.00</w:t>
            </w:r>
          </w:p>
        </w:tc>
        <w:tc>
          <w:tcPr>
            <w:tcW w:w="1616" w:type="dxa"/>
            <w:vAlign w:val="center"/>
          </w:tcPr>
          <w:p w:rsidR="00E85E7E" w:rsidRDefault="00784EF2">
            <w:pPr>
              <w:jc w:val="right"/>
            </w:pPr>
            <w:r>
              <w:rPr>
                <w:rFonts w:eastAsiaTheme="minorEastAsia"/>
                <w:color w:val="000000"/>
                <w:sz w:val="24"/>
              </w:rPr>
              <w:t>2.86</w:t>
            </w:r>
          </w:p>
        </w:tc>
      </w:tr>
      <w:tr w:rsidR="00E85E7E">
        <w:tc>
          <w:tcPr>
            <w:tcW w:w="817" w:type="dxa"/>
            <w:vAlign w:val="center"/>
          </w:tcPr>
          <w:p w:rsidR="00E85E7E" w:rsidRDefault="00784EF2">
            <w:pPr>
              <w:jc w:val="center"/>
            </w:pPr>
            <w:r>
              <w:rPr>
                <w:rFonts w:eastAsiaTheme="minorEastAsia"/>
                <w:color w:val="000000"/>
                <w:sz w:val="24"/>
              </w:rPr>
              <w:t>10</w:t>
            </w:r>
          </w:p>
        </w:tc>
        <w:tc>
          <w:tcPr>
            <w:tcW w:w="1276" w:type="dxa"/>
            <w:vAlign w:val="center"/>
          </w:tcPr>
          <w:p w:rsidR="00E85E7E" w:rsidRDefault="00784EF2">
            <w:pPr>
              <w:jc w:val="center"/>
            </w:pPr>
            <w:r>
              <w:rPr>
                <w:rFonts w:eastAsiaTheme="minorEastAsia"/>
                <w:color w:val="000000"/>
                <w:sz w:val="24"/>
              </w:rPr>
              <w:t>000001</w:t>
            </w:r>
          </w:p>
        </w:tc>
        <w:tc>
          <w:tcPr>
            <w:tcW w:w="1701" w:type="dxa"/>
            <w:vAlign w:val="center"/>
          </w:tcPr>
          <w:p w:rsidR="00E85E7E" w:rsidRDefault="00784EF2">
            <w:pPr>
              <w:jc w:val="center"/>
            </w:pPr>
            <w:r>
              <w:rPr>
                <w:rFonts w:eastAsiaTheme="minorEastAsia"/>
                <w:color w:val="000000"/>
                <w:sz w:val="24"/>
              </w:rPr>
              <w:t>平安银行</w:t>
            </w:r>
          </w:p>
        </w:tc>
        <w:tc>
          <w:tcPr>
            <w:tcW w:w="1276" w:type="dxa"/>
            <w:vAlign w:val="center"/>
          </w:tcPr>
          <w:p w:rsidR="00E85E7E" w:rsidRDefault="00784EF2">
            <w:pPr>
              <w:jc w:val="right"/>
            </w:pPr>
            <w:r>
              <w:rPr>
                <w:rFonts w:eastAsiaTheme="minorEastAsia"/>
                <w:color w:val="000000"/>
                <w:sz w:val="24"/>
              </w:rPr>
              <w:t>697,500</w:t>
            </w:r>
          </w:p>
        </w:tc>
        <w:tc>
          <w:tcPr>
            <w:tcW w:w="1842" w:type="dxa"/>
            <w:vAlign w:val="center"/>
          </w:tcPr>
          <w:p w:rsidR="00E85E7E" w:rsidRDefault="00784EF2">
            <w:pPr>
              <w:jc w:val="right"/>
            </w:pPr>
            <w:r>
              <w:rPr>
                <w:rFonts w:eastAsiaTheme="minorEastAsia"/>
                <w:color w:val="000000"/>
                <w:sz w:val="24"/>
              </w:rPr>
              <w:t>8,363,025.00</w:t>
            </w:r>
          </w:p>
        </w:tc>
        <w:tc>
          <w:tcPr>
            <w:tcW w:w="1616" w:type="dxa"/>
            <w:vAlign w:val="center"/>
          </w:tcPr>
          <w:p w:rsidR="00E85E7E" w:rsidRDefault="00784EF2">
            <w:pPr>
              <w:jc w:val="right"/>
            </w:pPr>
            <w:r>
              <w:rPr>
                <w:rFonts w:eastAsiaTheme="minorEastAsia"/>
                <w:color w:val="000000"/>
                <w:sz w:val="24"/>
              </w:rPr>
              <w:t>2.78</w:t>
            </w:r>
          </w:p>
        </w:tc>
      </w:tr>
    </w:tbl>
    <w:p w:rsidR="006F20EC" w:rsidRPr="005E324A" w:rsidRDefault="006F20EC" w:rsidP="006B10DA">
      <w:pPr>
        <w:autoSpaceDE w:val="0"/>
        <w:autoSpaceDN w:val="0"/>
        <w:adjustRightInd w:val="0"/>
        <w:spacing w:line="360" w:lineRule="auto"/>
        <w:jc w:val="left"/>
        <w:rPr>
          <w:rFonts w:eastAsiaTheme="minorEastAsia"/>
          <w:color w:val="000000"/>
          <w:sz w:val="24"/>
        </w:rPr>
      </w:pPr>
    </w:p>
    <w:p w:rsidR="000625A6" w:rsidRPr="005E324A" w:rsidRDefault="000625A6" w:rsidP="003A4DA3">
      <w:pPr>
        <w:spacing w:line="360" w:lineRule="auto"/>
        <w:rPr>
          <w:rFonts w:eastAsiaTheme="minorEastAsia"/>
          <w:b/>
          <w:sz w:val="24"/>
        </w:rPr>
      </w:pPr>
      <w:smartTag w:uri="urn:schemas-microsoft-com:office:smarttags" w:element="chsdate">
        <w:smartTagPr>
          <w:attr w:name="IsROCDate" w:val="False"/>
          <w:attr w:name="IsLunarDate" w:val="False"/>
          <w:attr w:name="Day" w:val="30"/>
          <w:attr w:name="Month" w:val="12"/>
          <w:attr w:name="Year" w:val="1899"/>
        </w:smartTagPr>
        <w:r w:rsidRPr="005E324A">
          <w:rPr>
            <w:rFonts w:eastAsiaTheme="minorEastAsia"/>
            <w:b/>
            <w:color w:val="000000"/>
            <w:kern w:val="0"/>
            <w:sz w:val="24"/>
          </w:rPr>
          <w:t>5.3.2</w:t>
        </w:r>
        <w:r w:rsidR="002E45F3" w:rsidRPr="005E324A">
          <w:rPr>
            <w:rFonts w:eastAsiaTheme="minorEastAsia"/>
            <w:b/>
            <w:color w:val="000000"/>
            <w:kern w:val="0"/>
            <w:sz w:val="24"/>
          </w:rPr>
          <w:t>报告</w:t>
        </w:r>
      </w:smartTag>
      <w:r w:rsidR="005D44E4" w:rsidRPr="005E324A">
        <w:rPr>
          <w:rFonts w:eastAsiaTheme="minorEastAsia"/>
          <w:b/>
          <w:color w:val="000000"/>
          <w:kern w:val="0"/>
          <w:sz w:val="24"/>
        </w:rPr>
        <w:t>期末</w:t>
      </w:r>
      <w:r w:rsidR="005D44E4" w:rsidRPr="005E324A">
        <w:rPr>
          <w:rFonts w:eastAsiaTheme="minorEastAsia"/>
          <w:b/>
          <w:sz w:val="24"/>
        </w:rPr>
        <w:t>积极</w:t>
      </w:r>
      <w:r w:rsidRPr="005E324A">
        <w:rPr>
          <w:rFonts w:eastAsiaTheme="minorEastAsia"/>
          <w:b/>
          <w:sz w:val="24"/>
        </w:rPr>
        <w:t>投资按公允价值占基金资产净值比例大小排序的前五名股票投资明细</w:t>
      </w:r>
    </w:p>
    <w:p w:rsidR="0066704D" w:rsidRPr="005E324A" w:rsidRDefault="007622F6"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5A6" w:rsidRPr="005E324A" w:rsidRDefault="000625A6" w:rsidP="0019563C">
      <w:pPr>
        <w:autoSpaceDE w:val="0"/>
        <w:autoSpaceDN w:val="0"/>
        <w:adjustRightInd w:val="0"/>
        <w:spacing w:line="360" w:lineRule="auto"/>
        <w:jc w:val="left"/>
        <w:rPr>
          <w:rFonts w:eastAsiaTheme="minorEastAsia"/>
          <w:color w:val="000000"/>
          <w:sz w:val="24"/>
        </w:rPr>
      </w:pPr>
    </w:p>
    <w:p w:rsidR="00220542" w:rsidRPr="005E324A" w:rsidRDefault="00220542" w:rsidP="003A4DA3">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5.4 </w:t>
      </w:r>
      <w:r w:rsidRPr="005E324A">
        <w:rPr>
          <w:rFonts w:eastAsiaTheme="minorEastAsia"/>
          <w:b/>
          <w:color w:val="000000"/>
          <w:kern w:val="0"/>
          <w:sz w:val="24"/>
        </w:rPr>
        <w:t>报告期末按债券品种分类的债券投资组合</w:t>
      </w:r>
    </w:p>
    <w:p w:rsidR="00220542" w:rsidRPr="005E324A" w:rsidRDefault="007622F6"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 xml:space="preserve">5.5 </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的前五名债券投资明细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本基金本报告期末未持有债券。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220542" w:rsidRPr="005E324A" w:rsidRDefault="00220542"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5.6</w:t>
      </w:r>
      <w:r w:rsidRPr="005E324A">
        <w:rPr>
          <w:rFonts w:eastAsiaTheme="minorEastAsia"/>
          <w:b/>
          <w:color w:val="000000"/>
          <w:kern w:val="0"/>
          <w:sz w:val="24"/>
        </w:rPr>
        <w:t>报告期末按公允价值占基金资产净值比例大小排</w:t>
      </w:r>
      <w:r w:rsidR="001C123E" w:rsidRPr="005E324A">
        <w:rPr>
          <w:rFonts w:eastAsiaTheme="minorEastAsia"/>
          <w:b/>
          <w:color w:val="000000"/>
          <w:kern w:val="0"/>
          <w:sz w:val="24"/>
        </w:rPr>
        <w:t>序</w:t>
      </w:r>
      <w:r w:rsidRPr="005E324A">
        <w:rPr>
          <w:rFonts w:eastAsiaTheme="minorEastAsia"/>
          <w:b/>
          <w:color w:val="000000"/>
          <w:kern w:val="0"/>
          <w:sz w:val="24"/>
        </w:rPr>
        <w:t>的前十名资产支持证券投资明细</w:t>
      </w:r>
    </w:p>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本基金本报告期末未持有资产支持证券。</w:t>
      </w:r>
    </w:p>
    <w:p w:rsidR="00220542" w:rsidRPr="005E324A" w:rsidRDefault="00220542" w:rsidP="0019563C">
      <w:pPr>
        <w:autoSpaceDE w:val="0"/>
        <w:autoSpaceDN w:val="0"/>
        <w:adjustRightInd w:val="0"/>
        <w:spacing w:line="360" w:lineRule="auto"/>
        <w:jc w:val="left"/>
        <w:rPr>
          <w:rFonts w:eastAsiaTheme="minorEastAsia"/>
          <w:color w:val="000000"/>
          <w:kern w:val="0"/>
          <w:sz w:val="24"/>
        </w:rPr>
      </w:pPr>
    </w:p>
    <w:p w:rsidR="001C123E" w:rsidRPr="005E324A" w:rsidRDefault="001C123E" w:rsidP="001C123E">
      <w:pPr>
        <w:autoSpaceDE w:val="0"/>
        <w:autoSpaceDN w:val="0"/>
        <w:adjustRightInd w:val="0"/>
        <w:spacing w:line="360" w:lineRule="auto"/>
        <w:jc w:val="left"/>
        <w:rPr>
          <w:rFonts w:eastAsiaTheme="minorEastAsia"/>
          <w:b/>
          <w:bCs/>
          <w:color w:val="000000"/>
          <w:kern w:val="0"/>
          <w:sz w:val="24"/>
        </w:rPr>
      </w:pPr>
      <w:r w:rsidRPr="005E324A">
        <w:rPr>
          <w:rFonts w:eastAsiaTheme="minorEastAsia"/>
          <w:b/>
          <w:bCs/>
          <w:color w:val="000000"/>
          <w:kern w:val="0"/>
          <w:sz w:val="24"/>
        </w:rPr>
        <w:t xml:space="preserve">5.7 </w:t>
      </w:r>
      <w:r w:rsidRPr="005E324A">
        <w:rPr>
          <w:rFonts w:eastAsiaTheme="minorEastAsia"/>
          <w:b/>
          <w:bCs/>
          <w:color w:val="000000"/>
          <w:kern w:val="0"/>
          <w:sz w:val="24"/>
        </w:rPr>
        <w:t>报告期末按公允价值占基金资产净值比例大小排序的前五名贵金属投资明细</w:t>
      </w:r>
    </w:p>
    <w:p w:rsidR="001C123E" w:rsidRPr="005E324A" w:rsidRDefault="001C123E" w:rsidP="001C123E">
      <w:pPr>
        <w:widowControl/>
        <w:spacing w:line="360" w:lineRule="auto"/>
        <w:jc w:val="left"/>
        <w:rPr>
          <w:szCs w:val="21"/>
        </w:rPr>
      </w:pPr>
      <w:r w:rsidRPr="005E324A">
        <w:rPr>
          <w:szCs w:val="21"/>
        </w:rPr>
        <w:t>本基金本报告期末未持有贵金属。</w:t>
      </w:r>
    </w:p>
    <w:p w:rsidR="001C123E" w:rsidRPr="005E324A" w:rsidRDefault="001C123E" w:rsidP="0019563C">
      <w:pPr>
        <w:autoSpaceDE w:val="0"/>
        <w:autoSpaceDN w:val="0"/>
        <w:adjustRightInd w:val="0"/>
        <w:spacing w:line="360" w:lineRule="auto"/>
        <w:jc w:val="left"/>
        <w:rPr>
          <w:rFonts w:eastAsiaTheme="minorEastAsia"/>
          <w:color w:val="000000"/>
          <w:kern w:val="0"/>
          <w:sz w:val="24"/>
        </w:rPr>
      </w:pP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5.8</w:t>
      </w:r>
      <w:r w:rsidR="00656A06">
        <w:rPr>
          <w:rFonts w:eastAsiaTheme="minorEastAsia" w:hint="eastAsia"/>
          <w:b/>
          <w:bCs/>
          <w:color w:val="000000"/>
          <w:kern w:val="0"/>
          <w:sz w:val="24"/>
        </w:rPr>
        <w:t xml:space="preserve"> </w:t>
      </w:r>
      <w:r w:rsidR="00D43EDF" w:rsidRPr="005E324A">
        <w:rPr>
          <w:rFonts w:eastAsiaTheme="minorEastAsia"/>
          <w:b/>
          <w:bCs/>
          <w:color w:val="000000"/>
          <w:sz w:val="24"/>
        </w:rPr>
        <w:t>报告期末按公允价值占基金资产净值比例大小排序</w:t>
      </w:r>
      <w:r w:rsidR="00220542" w:rsidRPr="005E324A">
        <w:rPr>
          <w:rFonts w:eastAsiaTheme="minorEastAsia"/>
          <w:b/>
          <w:bCs/>
          <w:color w:val="000000"/>
          <w:sz w:val="24"/>
        </w:rPr>
        <w:t>的前五名权证投资明细</w:t>
      </w:r>
    </w:p>
    <w:p w:rsidR="00220542" w:rsidRPr="005E324A" w:rsidRDefault="007A6BEA" w:rsidP="0019563C">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本基金本报告期末未持有权证。</w:t>
      </w:r>
    </w:p>
    <w:p w:rsidR="00695296" w:rsidRPr="005E324A" w:rsidRDefault="00695296" w:rsidP="0019563C">
      <w:pPr>
        <w:autoSpaceDE w:val="0"/>
        <w:autoSpaceDN w:val="0"/>
        <w:adjustRightInd w:val="0"/>
        <w:spacing w:line="360" w:lineRule="auto"/>
        <w:jc w:val="left"/>
        <w:rPr>
          <w:rFonts w:eastAsiaTheme="minorEastAsia"/>
          <w:color w:val="000000"/>
          <w:kern w:val="0"/>
          <w:sz w:val="24"/>
        </w:rPr>
      </w:pPr>
    </w:p>
    <w:p w:rsidR="00E57068" w:rsidRPr="005E324A" w:rsidRDefault="001C123E" w:rsidP="00E57068">
      <w:pPr>
        <w:adjustRightInd w:val="0"/>
        <w:snapToGrid w:val="0"/>
        <w:spacing w:line="360" w:lineRule="auto"/>
        <w:rPr>
          <w:rFonts w:eastAsiaTheme="minorEastAsia"/>
          <w:b/>
          <w:sz w:val="24"/>
        </w:rPr>
      </w:pPr>
      <w:r w:rsidRPr="005E324A">
        <w:rPr>
          <w:rFonts w:eastAsiaTheme="minorEastAsia"/>
          <w:b/>
          <w:bCs/>
          <w:color w:val="000000"/>
          <w:kern w:val="0"/>
          <w:sz w:val="24"/>
        </w:rPr>
        <w:t>5.9</w:t>
      </w:r>
      <w:r w:rsidR="00E57068" w:rsidRPr="005E324A">
        <w:rPr>
          <w:rFonts w:eastAsiaTheme="minorEastAsia"/>
          <w:b/>
          <w:sz w:val="24"/>
        </w:rPr>
        <w:t xml:space="preserve"> </w:t>
      </w:r>
      <w:r w:rsidR="00E57068" w:rsidRPr="005E324A">
        <w:rPr>
          <w:rFonts w:eastAsiaTheme="minorEastAsia"/>
          <w:b/>
          <w:sz w:val="24"/>
        </w:rPr>
        <w:t>报告期末本基金投资的股指期货交易情况说明</w:t>
      </w:r>
    </w:p>
    <w:p w:rsidR="00E57068" w:rsidRPr="005E324A" w:rsidRDefault="00E57068" w:rsidP="00E57068">
      <w:pPr>
        <w:autoSpaceDE w:val="0"/>
        <w:autoSpaceDN w:val="0"/>
        <w:adjustRightInd w:val="0"/>
        <w:spacing w:line="360" w:lineRule="auto"/>
        <w:jc w:val="left"/>
        <w:rPr>
          <w:rFonts w:eastAsiaTheme="minorEastAsia"/>
          <w:sz w:val="24"/>
        </w:rPr>
      </w:pPr>
      <w:r w:rsidRPr="005E324A">
        <w:rPr>
          <w:rFonts w:eastAsiaTheme="minorEastAsia"/>
          <w:sz w:val="24"/>
        </w:rPr>
        <w:t>本基金本报告期末未持有股指期货。</w:t>
      </w:r>
    </w:p>
    <w:p w:rsidR="00E57068" w:rsidRPr="005E324A" w:rsidRDefault="00E57068" w:rsidP="00E57068">
      <w:pPr>
        <w:autoSpaceDE w:val="0"/>
        <w:autoSpaceDN w:val="0"/>
        <w:adjustRightInd w:val="0"/>
        <w:spacing w:line="360" w:lineRule="auto"/>
        <w:jc w:val="left"/>
        <w:rPr>
          <w:rFonts w:eastAsiaTheme="minorEastAsia"/>
          <w:sz w:val="24"/>
        </w:rPr>
      </w:pPr>
    </w:p>
    <w:p w:rsidR="005E0C14" w:rsidRPr="005E324A" w:rsidRDefault="00E31EC2" w:rsidP="00576862">
      <w:pPr>
        <w:adjustRightInd w:val="0"/>
        <w:snapToGrid w:val="0"/>
        <w:spacing w:line="360" w:lineRule="auto"/>
        <w:rPr>
          <w:rFonts w:eastAsiaTheme="minorEastAsia"/>
          <w:b/>
          <w:sz w:val="24"/>
        </w:rPr>
      </w:pPr>
      <w:r w:rsidRPr="005E324A">
        <w:rPr>
          <w:rFonts w:eastAsiaTheme="minorEastAsia"/>
          <w:b/>
          <w:sz w:val="24"/>
        </w:rPr>
        <w:t>5</w:t>
      </w:r>
      <w:r w:rsidR="005E0C14" w:rsidRPr="005E324A">
        <w:rPr>
          <w:rFonts w:eastAsiaTheme="minorEastAsia"/>
          <w:b/>
          <w:sz w:val="24"/>
        </w:rPr>
        <w:t>.</w:t>
      </w:r>
      <w:r w:rsidRPr="005E324A">
        <w:rPr>
          <w:rFonts w:eastAsiaTheme="minorEastAsia"/>
          <w:b/>
          <w:sz w:val="24"/>
        </w:rPr>
        <w:t>10</w:t>
      </w:r>
      <w:r w:rsidR="005E0C14" w:rsidRPr="005E324A">
        <w:rPr>
          <w:rFonts w:eastAsiaTheme="minorEastAsia"/>
          <w:b/>
          <w:sz w:val="24"/>
        </w:rPr>
        <w:t>报告期末本基金投资的国债期货交易情况说明</w:t>
      </w:r>
    </w:p>
    <w:p w:rsidR="005E0C14" w:rsidRPr="005E324A" w:rsidRDefault="005E0C14"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本基金本报告期末未持有国债期货。</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color w:val="000000"/>
          <w:kern w:val="0"/>
          <w:sz w:val="24"/>
        </w:rPr>
        <w:t>5</w:t>
      </w:r>
      <w:r w:rsidR="001F218E" w:rsidRPr="005E324A">
        <w:rPr>
          <w:rFonts w:eastAsiaTheme="minorEastAsia"/>
          <w:b/>
          <w:color w:val="000000"/>
          <w:kern w:val="0"/>
          <w:sz w:val="24"/>
        </w:rPr>
        <w:t>.</w:t>
      </w:r>
      <w:r w:rsidRPr="005E324A">
        <w:rPr>
          <w:rFonts w:eastAsiaTheme="minorEastAsia"/>
          <w:b/>
          <w:color w:val="000000"/>
          <w:kern w:val="0"/>
          <w:sz w:val="24"/>
        </w:rPr>
        <w:t>11</w:t>
      </w:r>
      <w:r w:rsidR="00220542" w:rsidRPr="005E324A">
        <w:rPr>
          <w:rFonts w:eastAsiaTheme="minorEastAsia"/>
          <w:b/>
          <w:color w:val="000000"/>
          <w:kern w:val="0"/>
          <w:sz w:val="24"/>
        </w:rPr>
        <w:t xml:space="preserve"> </w:t>
      </w:r>
      <w:r w:rsidR="00220542" w:rsidRPr="005E324A">
        <w:rPr>
          <w:rFonts w:eastAsiaTheme="minorEastAsia"/>
          <w:b/>
          <w:color w:val="000000"/>
          <w:kern w:val="0"/>
          <w:sz w:val="24"/>
        </w:rPr>
        <w:t>投资组合报告附注</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5.11.1</w:t>
      </w:r>
      <w:r w:rsidR="007A6BEA" w:rsidRPr="005E324A">
        <w:rPr>
          <w:rFonts w:eastAsiaTheme="minorEastAsia"/>
          <w:color w:val="000000"/>
          <w:kern w:val="0"/>
          <w:sz w:val="24"/>
        </w:rPr>
        <w:t>报告期内本基金投资的前十名证券的发行主体未被监管部门立案调查，在本报告编制日前一年内本基金投资的前十名证券的发行主体未受到公开谴责和处罚。</w:t>
      </w:r>
    </w:p>
    <w:p w:rsidR="00220542" w:rsidRPr="005E324A" w:rsidRDefault="001C123E" w:rsidP="00576862">
      <w:pPr>
        <w:spacing w:line="360" w:lineRule="auto"/>
        <w:rPr>
          <w:rFonts w:eastAsiaTheme="minorEastAsia"/>
          <w:color w:val="000000"/>
          <w:kern w:val="0"/>
          <w:sz w:val="24"/>
        </w:rPr>
      </w:pPr>
      <w:r w:rsidRPr="005E324A">
        <w:rPr>
          <w:rFonts w:eastAsiaTheme="minorEastAsia"/>
          <w:bCs/>
          <w:color w:val="000000"/>
          <w:kern w:val="0"/>
          <w:sz w:val="24"/>
        </w:rPr>
        <w:t>5.11.2</w:t>
      </w:r>
      <w:r w:rsidR="007A6BEA" w:rsidRPr="005E324A">
        <w:rPr>
          <w:rFonts w:eastAsiaTheme="minorEastAsia"/>
          <w:color w:val="000000"/>
          <w:kern w:val="0"/>
          <w:sz w:val="24"/>
        </w:rPr>
        <w:t>本基金投资的前十名股票中，没有超出基金合同规定的备选股票库之外的股票。</w:t>
      </w:r>
    </w:p>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5.11.3</w:t>
      </w:r>
      <w:r w:rsidR="00656A06">
        <w:rPr>
          <w:rFonts w:eastAsiaTheme="minorEastAsia" w:hint="eastAsia"/>
          <w:b/>
          <w:bCs/>
          <w:color w:val="000000"/>
          <w:kern w:val="0"/>
          <w:sz w:val="24"/>
        </w:rPr>
        <w:t xml:space="preserve"> </w:t>
      </w:r>
      <w:r w:rsidR="00220542" w:rsidRPr="005E324A">
        <w:rPr>
          <w:rFonts w:eastAsiaTheme="minorEastAsia"/>
          <w:b/>
          <w:color w:val="000000"/>
          <w:kern w:val="0"/>
          <w:sz w:val="24"/>
        </w:rPr>
        <w:t>其他</w:t>
      </w:r>
      <w:r w:rsidR="00AD25F6" w:rsidRPr="005E324A">
        <w:rPr>
          <w:rFonts w:eastAsiaTheme="minorEastAsia"/>
          <w:b/>
          <w:color w:val="000000"/>
          <w:kern w:val="0"/>
          <w:sz w:val="24"/>
        </w:rPr>
        <w:t>各项</w:t>
      </w:r>
      <w:r w:rsidR="00220542" w:rsidRPr="005E324A">
        <w:rPr>
          <w:rFonts w:eastAsiaTheme="minorEastAsia"/>
          <w:b/>
          <w:color w:val="000000"/>
          <w:kern w:val="0"/>
          <w:sz w:val="24"/>
        </w:rPr>
        <w:t>资产构成</w:t>
      </w:r>
    </w:p>
    <w:tbl>
      <w:tblPr>
        <w:tblStyle w:val="af7"/>
        <w:tblW w:w="0" w:type="auto"/>
        <w:tblLayout w:type="fixed"/>
        <w:tblLook w:val="04A0" w:firstRow="1" w:lastRow="0" w:firstColumn="1" w:lastColumn="0" w:noHBand="0" w:noVBand="1"/>
      </w:tblPr>
      <w:tblGrid>
        <w:gridCol w:w="959"/>
        <w:gridCol w:w="2761"/>
        <w:gridCol w:w="4808"/>
      </w:tblGrid>
      <w:tr w:rsidR="00F46DF9" w:rsidRPr="005E324A" w:rsidTr="00691D14">
        <w:tc>
          <w:tcPr>
            <w:tcW w:w="959"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序号</w:t>
            </w:r>
          </w:p>
        </w:tc>
        <w:tc>
          <w:tcPr>
            <w:tcW w:w="2761"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名称</w:t>
            </w:r>
          </w:p>
        </w:tc>
        <w:tc>
          <w:tcPr>
            <w:tcW w:w="4808" w:type="dxa"/>
          </w:tcPr>
          <w:p w:rsidR="00F46DF9" w:rsidRPr="005E324A" w:rsidRDefault="00F46DF9" w:rsidP="00723EC0">
            <w:pPr>
              <w:autoSpaceDE w:val="0"/>
              <w:autoSpaceDN w:val="0"/>
              <w:adjustRightInd w:val="0"/>
              <w:spacing w:line="360" w:lineRule="auto"/>
              <w:jc w:val="center"/>
              <w:rPr>
                <w:rFonts w:eastAsiaTheme="minorEastAsia"/>
                <w:color w:val="000000"/>
                <w:sz w:val="24"/>
              </w:rPr>
            </w:pPr>
            <w:r w:rsidRPr="005E324A">
              <w:rPr>
                <w:rFonts w:eastAsiaTheme="minorEastAsia"/>
                <w:color w:val="000000"/>
                <w:sz w:val="24"/>
              </w:rPr>
              <w:t>金额（元）</w:t>
            </w:r>
          </w:p>
        </w:tc>
      </w:tr>
      <w:tr w:rsidR="00F46DF9" w:rsidRPr="005E324A" w:rsidTr="00784EF2">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kern w:val="0"/>
                <w:sz w:val="24"/>
              </w:rPr>
            </w:pPr>
            <w:r w:rsidRPr="005E324A">
              <w:rPr>
                <w:rFonts w:eastAsiaTheme="minorEastAsia"/>
                <w:color w:val="000000"/>
                <w:sz w:val="24"/>
              </w:rPr>
              <w:t>1</w:t>
            </w:r>
          </w:p>
        </w:tc>
        <w:tc>
          <w:tcPr>
            <w:tcW w:w="2761" w:type="dxa"/>
          </w:tcPr>
          <w:p w:rsidR="00F46DF9" w:rsidRPr="005E324A" w:rsidRDefault="00F46DF9" w:rsidP="00784EF2">
            <w:pPr>
              <w:autoSpaceDE w:val="0"/>
              <w:autoSpaceDN w:val="0"/>
              <w:adjustRightInd w:val="0"/>
              <w:spacing w:before="29" w:line="360" w:lineRule="auto"/>
              <w:ind w:left="15"/>
              <w:rPr>
                <w:rFonts w:eastAsiaTheme="minorEastAsia"/>
                <w:color w:val="000000"/>
                <w:kern w:val="0"/>
                <w:sz w:val="24"/>
              </w:rPr>
            </w:pPr>
            <w:r w:rsidRPr="005E324A">
              <w:rPr>
                <w:rFonts w:eastAsiaTheme="minorEastAsia"/>
                <w:color w:val="000000"/>
                <w:kern w:val="0"/>
                <w:sz w:val="24"/>
              </w:rPr>
              <w:t>存出保证金</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200,469.19</w:t>
            </w:r>
          </w:p>
        </w:tc>
      </w:tr>
      <w:tr w:rsidR="00F46DF9" w:rsidRPr="005E324A" w:rsidTr="00784EF2">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2</w:t>
            </w:r>
          </w:p>
        </w:tc>
        <w:tc>
          <w:tcPr>
            <w:tcW w:w="2761" w:type="dxa"/>
          </w:tcPr>
          <w:p w:rsidR="00F46DF9" w:rsidRPr="005E324A" w:rsidRDefault="00F46DF9" w:rsidP="00784EF2">
            <w:pPr>
              <w:autoSpaceDE w:val="0"/>
              <w:autoSpaceDN w:val="0"/>
              <w:adjustRightInd w:val="0"/>
              <w:spacing w:before="29" w:line="360" w:lineRule="auto"/>
              <w:ind w:left="15"/>
              <w:rPr>
                <w:rFonts w:eastAsiaTheme="minorEastAsia"/>
                <w:color w:val="000000"/>
                <w:kern w:val="0"/>
                <w:sz w:val="24"/>
              </w:rPr>
            </w:pPr>
            <w:r w:rsidRPr="005E324A">
              <w:rPr>
                <w:rFonts w:eastAsiaTheme="minorEastAsia"/>
                <w:color w:val="000000"/>
                <w:kern w:val="0"/>
                <w:sz w:val="24"/>
              </w:rPr>
              <w:t>应收证券清算款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784EF2">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3</w:t>
            </w:r>
          </w:p>
        </w:tc>
        <w:tc>
          <w:tcPr>
            <w:tcW w:w="2761" w:type="dxa"/>
          </w:tcPr>
          <w:p w:rsidR="00F46DF9" w:rsidRPr="005E324A" w:rsidRDefault="00F46DF9" w:rsidP="00784EF2">
            <w:pPr>
              <w:autoSpaceDE w:val="0"/>
              <w:autoSpaceDN w:val="0"/>
              <w:adjustRightInd w:val="0"/>
              <w:spacing w:before="29" w:line="360" w:lineRule="auto"/>
              <w:ind w:left="15"/>
              <w:rPr>
                <w:rFonts w:eastAsiaTheme="minorEastAsia"/>
                <w:color w:val="000000"/>
                <w:kern w:val="0"/>
                <w:sz w:val="24"/>
              </w:rPr>
            </w:pPr>
            <w:r w:rsidRPr="005E324A">
              <w:rPr>
                <w:rFonts w:eastAsiaTheme="minorEastAsia"/>
                <w:color w:val="000000"/>
                <w:kern w:val="0"/>
                <w:sz w:val="24"/>
              </w:rPr>
              <w:t>应收股利</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F46DF9" w:rsidRPr="005E324A" w:rsidTr="00784EF2">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4</w:t>
            </w:r>
          </w:p>
        </w:tc>
        <w:tc>
          <w:tcPr>
            <w:tcW w:w="2761" w:type="dxa"/>
          </w:tcPr>
          <w:p w:rsidR="00F46DF9" w:rsidRPr="005E324A" w:rsidRDefault="00F46DF9" w:rsidP="00784EF2">
            <w:pPr>
              <w:autoSpaceDE w:val="0"/>
              <w:autoSpaceDN w:val="0"/>
              <w:adjustRightInd w:val="0"/>
              <w:spacing w:before="29" w:line="360" w:lineRule="auto"/>
              <w:ind w:left="15"/>
              <w:rPr>
                <w:rFonts w:eastAsiaTheme="minorEastAsia"/>
                <w:color w:val="000000"/>
                <w:kern w:val="0"/>
                <w:sz w:val="24"/>
              </w:rPr>
            </w:pPr>
            <w:r w:rsidRPr="005E324A">
              <w:rPr>
                <w:rFonts w:eastAsiaTheme="minorEastAsia"/>
                <w:color w:val="000000"/>
                <w:kern w:val="0"/>
                <w:sz w:val="24"/>
              </w:rPr>
              <w:t>应收利息</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4,117.16</w:t>
            </w:r>
          </w:p>
        </w:tc>
      </w:tr>
      <w:tr w:rsidR="00F46DF9" w:rsidRPr="005E324A" w:rsidTr="00784EF2">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5</w:t>
            </w:r>
          </w:p>
        </w:tc>
        <w:tc>
          <w:tcPr>
            <w:tcW w:w="2761" w:type="dxa"/>
          </w:tcPr>
          <w:p w:rsidR="00F46DF9" w:rsidRPr="005E324A" w:rsidRDefault="00F46DF9" w:rsidP="00784EF2">
            <w:pPr>
              <w:autoSpaceDE w:val="0"/>
              <w:autoSpaceDN w:val="0"/>
              <w:adjustRightInd w:val="0"/>
              <w:spacing w:before="29" w:line="360" w:lineRule="auto"/>
              <w:ind w:left="15"/>
              <w:rPr>
                <w:rFonts w:eastAsiaTheme="minorEastAsia"/>
                <w:color w:val="000000"/>
                <w:kern w:val="0"/>
                <w:sz w:val="24"/>
              </w:rPr>
            </w:pPr>
            <w:r w:rsidRPr="005E324A">
              <w:rPr>
                <w:rFonts w:eastAsiaTheme="minorEastAsia"/>
                <w:color w:val="000000"/>
                <w:kern w:val="0"/>
                <w:sz w:val="24"/>
              </w:rPr>
              <w:t>应收申购款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48,247.49</w:t>
            </w:r>
          </w:p>
        </w:tc>
      </w:tr>
      <w:tr w:rsidR="00F46DF9" w:rsidRPr="005E324A" w:rsidTr="00784EF2">
        <w:tc>
          <w:tcPr>
            <w:tcW w:w="959" w:type="dxa"/>
            <w:vAlign w:val="center"/>
          </w:tcPr>
          <w:p w:rsidR="00F46DF9" w:rsidRPr="005E324A" w:rsidRDefault="00F46DF9"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6</w:t>
            </w:r>
          </w:p>
        </w:tc>
        <w:tc>
          <w:tcPr>
            <w:tcW w:w="2761" w:type="dxa"/>
          </w:tcPr>
          <w:p w:rsidR="00F46DF9" w:rsidRPr="005E324A" w:rsidRDefault="00F46DF9" w:rsidP="00784EF2">
            <w:pPr>
              <w:autoSpaceDE w:val="0"/>
              <w:autoSpaceDN w:val="0"/>
              <w:adjustRightInd w:val="0"/>
              <w:spacing w:before="29" w:line="360" w:lineRule="auto"/>
              <w:ind w:left="15"/>
              <w:rPr>
                <w:rFonts w:eastAsiaTheme="minorEastAsia"/>
                <w:color w:val="000000"/>
                <w:kern w:val="0"/>
                <w:sz w:val="24"/>
              </w:rPr>
            </w:pPr>
            <w:r w:rsidRPr="005E324A">
              <w:rPr>
                <w:rFonts w:eastAsiaTheme="minorEastAsia"/>
                <w:color w:val="000000"/>
                <w:kern w:val="0"/>
                <w:sz w:val="24"/>
              </w:rPr>
              <w:t>其他应收款</w:t>
            </w:r>
          </w:p>
        </w:tc>
        <w:tc>
          <w:tcPr>
            <w:tcW w:w="4808" w:type="dxa"/>
            <w:vAlign w:val="center"/>
          </w:tcPr>
          <w:p w:rsidR="00F46DF9" w:rsidRPr="005E324A" w:rsidRDefault="00F46DF9"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784EF2">
        <w:tc>
          <w:tcPr>
            <w:tcW w:w="959" w:type="dxa"/>
          </w:tcPr>
          <w:p w:rsidR="00952F4F" w:rsidRPr="005E324A" w:rsidRDefault="00952F4F" w:rsidP="00952F4F">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7</w:t>
            </w:r>
          </w:p>
        </w:tc>
        <w:tc>
          <w:tcPr>
            <w:tcW w:w="2761" w:type="dxa"/>
          </w:tcPr>
          <w:p w:rsidR="00952F4F" w:rsidRPr="005E324A" w:rsidRDefault="00952F4F" w:rsidP="00784EF2">
            <w:pPr>
              <w:autoSpaceDE w:val="0"/>
              <w:autoSpaceDN w:val="0"/>
              <w:adjustRightInd w:val="0"/>
              <w:spacing w:before="29" w:line="360" w:lineRule="auto"/>
              <w:rPr>
                <w:rFonts w:eastAsiaTheme="minorEastAsia"/>
                <w:color w:val="000000"/>
                <w:sz w:val="24"/>
              </w:rPr>
            </w:pPr>
            <w:r w:rsidRPr="005E324A">
              <w:rPr>
                <w:rFonts w:eastAsiaTheme="minorEastAsia"/>
                <w:color w:val="000000"/>
                <w:sz w:val="24"/>
              </w:rPr>
              <w:t>待摊费用</w:t>
            </w:r>
          </w:p>
        </w:tc>
        <w:tc>
          <w:tcPr>
            <w:tcW w:w="4808" w:type="dxa"/>
            <w:vAlign w:val="center"/>
          </w:tcPr>
          <w:p w:rsidR="00952F4F" w:rsidRPr="005E324A" w:rsidRDefault="00952F4F" w:rsidP="00952F4F">
            <w:pPr>
              <w:autoSpaceDE w:val="0"/>
              <w:autoSpaceDN w:val="0"/>
              <w:adjustRightInd w:val="0"/>
              <w:spacing w:before="29" w:line="360" w:lineRule="auto"/>
              <w:ind w:left="15"/>
              <w:jc w:val="right"/>
              <w:rPr>
                <w:rFonts w:eastAsiaTheme="minorEastAsia"/>
                <w:color w:val="000000"/>
                <w:sz w:val="24"/>
              </w:rPr>
            </w:pPr>
            <w:r w:rsidRPr="005E324A">
              <w:rPr>
                <w:rFonts w:eastAsiaTheme="minorEastAsia"/>
                <w:color w:val="000000"/>
                <w:sz w:val="24"/>
              </w:rPr>
              <w:t>-</w:t>
            </w:r>
          </w:p>
        </w:tc>
      </w:tr>
      <w:tr w:rsidR="00952F4F" w:rsidRPr="005E324A" w:rsidTr="00784EF2">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8</w:t>
            </w:r>
          </w:p>
        </w:tc>
        <w:tc>
          <w:tcPr>
            <w:tcW w:w="2761" w:type="dxa"/>
          </w:tcPr>
          <w:p w:rsidR="00952F4F" w:rsidRPr="005E324A" w:rsidRDefault="00952F4F" w:rsidP="00784EF2">
            <w:pPr>
              <w:autoSpaceDE w:val="0"/>
              <w:autoSpaceDN w:val="0"/>
              <w:adjustRightInd w:val="0"/>
              <w:spacing w:before="29" w:line="360" w:lineRule="auto"/>
              <w:ind w:left="15"/>
              <w:rPr>
                <w:rFonts w:eastAsiaTheme="minorEastAsia"/>
                <w:color w:val="000000"/>
                <w:kern w:val="0"/>
                <w:sz w:val="24"/>
              </w:rPr>
            </w:pPr>
            <w:r w:rsidRPr="005E324A">
              <w:rPr>
                <w:rFonts w:eastAsiaTheme="minorEastAsia"/>
                <w:color w:val="000000"/>
                <w:kern w:val="0"/>
                <w:sz w:val="24"/>
              </w:rPr>
              <w:t>其他</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w:t>
            </w:r>
          </w:p>
        </w:tc>
      </w:tr>
      <w:tr w:rsidR="00952F4F" w:rsidRPr="005E324A" w:rsidTr="00784EF2">
        <w:tc>
          <w:tcPr>
            <w:tcW w:w="959" w:type="dxa"/>
            <w:vAlign w:val="center"/>
          </w:tcPr>
          <w:p w:rsidR="00952F4F" w:rsidRPr="005E324A" w:rsidRDefault="00952F4F" w:rsidP="00465C86">
            <w:pPr>
              <w:autoSpaceDE w:val="0"/>
              <w:autoSpaceDN w:val="0"/>
              <w:adjustRightInd w:val="0"/>
              <w:spacing w:before="29" w:line="360" w:lineRule="auto"/>
              <w:ind w:left="15"/>
              <w:jc w:val="center"/>
              <w:rPr>
                <w:rFonts w:eastAsiaTheme="minorEastAsia"/>
                <w:color w:val="000000"/>
                <w:sz w:val="24"/>
              </w:rPr>
            </w:pPr>
            <w:r w:rsidRPr="005E324A">
              <w:rPr>
                <w:rFonts w:eastAsiaTheme="minorEastAsia"/>
                <w:color w:val="000000"/>
                <w:sz w:val="24"/>
              </w:rPr>
              <w:t>9</w:t>
            </w:r>
          </w:p>
        </w:tc>
        <w:tc>
          <w:tcPr>
            <w:tcW w:w="2761" w:type="dxa"/>
          </w:tcPr>
          <w:p w:rsidR="00952F4F" w:rsidRPr="005E324A" w:rsidRDefault="00952F4F" w:rsidP="00784EF2">
            <w:pPr>
              <w:autoSpaceDE w:val="0"/>
              <w:autoSpaceDN w:val="0"/>
              <w:adjustRightInd w:val="0"/>
              <w:spacing w:before="29" w:line="360" w:lineRule="auto"/>
              <w:ind w:left="15"/>
              <w:rPr>
                <w:rFonts w:eastAsiaTheme="minorEastAsia"/>
                <w:color w:val="000000"/>
                <w:kern w:val="0"/>
                <w:sz w:val="24"/>
              </w:rPr>
            </w:pPr>
            <w:r w:rsidRPr="005E324A">
              <w:rPr>
                <w:rFonts w:eastAsiaTheme="minorEastAsia"/>
                <w:color w:val="000000"/>
                <w:kern w:val="0"/>
                <w:sz w:val="24"/>
              </w:rPr>
              <w:t>合计</w:t>
            </w:r>
          </w:p>
        </w:tc>
        <w:tc>
          <w:tcPr>
            <w:tcW w:w="4808" w:type="dxa"/>
            <w:vAlign w:val="center"/>
          </w:tcPr>
          <w:p w:rsidR="00952F4F" w:rsidRPr="005E324A" w:rsidRDefault="00952F4F" w:rsidP="00465C86">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252,833.84</w:t>
            </w:r>
          </w:p>
        </w:tc>
      </w:tr>
    </w:tbl>
    <w:p w:rsidR="00220542" w:rsidRPr="005E324A" w:rsidRDefault="001C123E" w:rsidP="00576862">
      <w:pPr>
        <w:autoSpaceDE w:val="0"/>
        <w:autoSpaceDN w:val="0"/>
        <w:adjustRightInd w:val="0"/>
        <w:spacing w:line="360" w:lineRule="auto"/>
        <w:jc w:val="left"/>
        <w:rPr>
          <w:rFonts w:eastAsiaTheme="minorEastAsia"/>
          <w:b/>
          <w:color w:val="000000"/>
          <w:kern w:val="0"/>
          <w:sz w:val="24"/>
        </w:rPr>
      </w:pPr>
      <w:r w:rsidRPr="005E324A">
        <w:rPr>
          <w:rFonts w:eastAsiaTheme="minorEastAsia"/>
          <w:b/>
          <w:bCs/>
          <w:color w:val="000000"/>
          <w:kern w:val="0"/>
          <w:sz w:val="24"/>
        </w:rPr>
        <w:t>5.11.4</w:t>
      </w:r>
      <w:r w:rsidR="00774535">
        <w:rPr>
          <w:rFonts w:eastAsiaTheme="minorEastAsia" w:hint="eastAsia"/>
          <w:b/>
          <w:bCs/>
          <w:color w:val="000000"/>
          <w:kern w:val="0"/>
          <w:sz w:val="24"/>
        </w:rPr>
        <w:t xml:space="preserve"> </w:t>
      </w:r>
      <w:r w:rsidR="00220542" w:rsidRPr="005E324A">
        <w:rPr>
          <w:rFonts w:eastAsiaTheme="minorEastAsia"/>
          <w:b/>
          <w:color w:val="000000"/>
          <w:kern w:val="0"/>
          <w:sz w:val="24"/>
        </w:rPr>
        <w:t>报告期末持有的处于转股期的可转换债券明细</w:t>
      </w:r>
    </w:p>
    <w:p w:rsidR="00220542"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本基金本报告期末未持有处于转股期的可转换债券。</w:t>
      </w:r>
    </w:p>
    <w:p w:rsidR="00784EF2" w:rsidRPr="005E324A" w:rsidRDefault="00784EF2" w:rsidP="006B10DA">
      <w:pPr>
        <w:autoSpaceDE w:val="0"/>
        <w:autoSpaceDN w:val="0"/>
        <w:adjustRightInd w:val="0"/>
        <w:spacing w:line="360" w:lineRule="auto"/>
        <w:jc w:val="left"/>
        <w:rPr>
          <w:rFonts w:eastAsiaTheme="minorEastAsia"/>
          <w:color w:val="00000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EE53E7" w:rsidRPr="005E324A">
        <w:rPr>
          <w:rFonts w:eastAsiaTheme="minorEastAsia"/>
          <w:b/>
          <w:sz w:val="24"/>
        </w:rPr>
        <w:t>期末投资的</w:t>
      </w:r>
      <w:r w:rsidR="00055190" w:rsidRPr="005E324A">
        <w:rPr>
          <w:rFonts w:eastAsiaTheme="minorEastAsia"/>
          <w:b/>
          <w:sz w:val="24"/>
        </w:rPr>
        <w:t>股票中存在流通受限情况的说明</w:t>
      </w:r>
    </w:p>
    <w:p w:rsidR="00634900" w:rsidRPr="005E324A" w:rsidRDefault="001C123E" w:rsidP="0057686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left"/>
        <w:rPr>
          <w:b/>
          <w:kern w:val="0"/>
          <w:sz w:val="24"/>
        </w:rPr>
      </w:pPr>
      <w:r w:rsidRPr="005E324A">
        <w:rPr>
          <w:rFonts w:eastAsiaTheme="minorEastAsia"/>
          <w:b/>
          <w:bCs/>
          <w:color w:val="000000"/>
          <w:kern w:val="0"/>
          <w:sz w:val="24"/>
        </w:rPr>
        <w:t>5.11.5.1</w:t>
      </w:r>
      <w:r w:rsidR="00774535">
        <w:rPr>
          <w:rFonts w:eastAsiaTheme="minorEastAsia" w:hint="eastAsia"/>
          <w:b/>
          <w:bCs/>
          <w:color w:val="000000"/>
          <w:kern w:val="0"/>
          <w:sz w:val="24"/>
        </w:rPr>
        <w:t xml:space="preserve"> </w:t>
      </w:r>
      <w:r w:rsidR="00EE53E7" w:rsidRPr="005E324A">
        <w:rPr>
          <w:rFonts w:eastAsiaTheme="minorEastAsia"/>
          <w:b/>
          <w:bCs/>
          <w:color w:val="000000"/>
          <w:kern w:val="0"/>
          <w:sz w:val="24"/>
        </w:rPr>
        <w:t>报告</w:t>
      </w:r>
      <w:r w:rsidR="00634900" w:rsidRPr="005E324A">
        <w:rPr>
          <w:b/>
          <w:kern w:val="0"/>
          <w:sz w:val="24"/>
        </w:rPr>
        <w:t>期末指数投资前十名股票中存在流通受限情况的说明</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3"/>
        <w:gridCol w:w="1302"/>
        <w:gridCol w:w="1301"/>
        <w:gridCol w:w="1805"/>
        <w:gridCol w:w="1655"/>
        <w:gridCol w:w="1367"/>
      </w:tblGrid>
      <w:tr w:rsidR="007A6BEA" w:rsidRPr="005E324A" w:rsidTr="007A6BEA">
        <w:tc>
          <w:tcPr>
            <w:tcW w:w="1083"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序号</w:t>
            </w:r>
          </w:p>
        </w:tc>
        <w:tc>
          <w:tcPr>
            <w:tcW w:w="1302"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股票代码</w:t>
            </w:r>
          </w:p>
        </w:tc>
        <w:tc>
          <w:tcPr>
            <w:tcW w:w="1301"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股票名称</w:t>
            </w:r>
          </w:p>
        </w:tc>
        <w:tc>
          <w:tcPr>
            <w:tcW w:w="180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流通受限部分的公允价值</w:t>
            </w:r>
            <w:r w:rsidRPr="005E324A">
              <w:rPr>
                <w:rFonts w:eastAsiaTheme="minorEastAsia"/>
                <w:color w:val="000000"/>
                <w:sz w:val="24"/>
              </w:rPr>
              <w:t>(</w:t>
            </w:r>
            <w:r w:rsidRPr="005E324A">
              <w:rPr>
                <w:rFonts w:eastAsiaTheme="minorEastAsia"/>
                <w:color w:val="000000"/>
                <w:sz w:val="24"/>
              </w:rPr>
              <w:t>元</w:t>
            </w:r>
            <w:r w:rsidRPr="005E324A">
              <w:rPr>
                <w:rFonts w:eastAsiaTheme="minorEastAsia"/>
                <w:color w:val="000000"/>
                <w:sz w:val="24"/>
              </w:rPr>
              <w:t>)</w:t>
            </w:r>
          </w:p>
        </w:tc>
        <w:tc>
          <w:tcPr>
            <w:tcW w:w="1655"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占基金资产净值比例</w:t>
            </w:r>
            <w:r w:rsidRPr="005E324A">
              <w:rPr>
                <w:rFonts w:eastAsiaTheme="minorEastAsia"/>
                <w:color w:val="000000"/>
                <w:sz w:val="24"/>
              </w:rPr>
              <w:t>(%)</w:t>
            </w:r>
          </w:p>
        </w:tc>
        <w:tc>
          <w:tcPr>
            <w:tcW w:w="1367" w:type="dxa"/>
            <w:shd w:val="clear" w:color="auto" w:fill="auto"/>
            <w:vAlign w:val="center"/>
          </w:tcPr>
          <w:p w:rsidR="007A6BEA" w:rsidRPr="005E324A" w:rsidRDefault="007A6BEA" w:rsidP="007A6BEA">
            <w:pPr>
              <w:spacing w:before="29" w:line="360" w:lineRule="auto"/>
              <w:ind w:left="17"/>
              <w:jc w:val="center"/>
              <w:rPr>
                <w:rFonts w:eastAsiaTheme="minorEastAsia"/>
                <w:color w:val="000000"/>
                <w:sz w:val="24"/>
              </w:rPr>
            </w:pPr>
            <w:r w:rsidRPr="005E324A">
              <w:rPr>
                <w:rFonts w:eastAsiaTheme="minorEastAsia"/>
                <w:color w:val="000000"/>
                <w:sz w:val="24"/>
              </w:rPr>
              <w:t>流通受限情况说明</w:t>
            </w:r>
          </w:p>
        </w:tc>
      </w:tr>
      <w:tr w:rsidR="00E85E7E">
        <w:tc>
          <w:tcPr>
            <w:tcW w:w="1083" w:type="dxa"/>
            <w:vAlign w:val="center"/>
          </w:tcPr>
          <w:p w:rsidR="00E85E7E" w:rsidRDefault="00784EF2">
            <w:pPr>
              <w:jc w:val="center"/>
            </w:pPr>
            <w:r>
              <w:rPr>
                <w:rFonts w:eastAsiaTheme="minorEastAsia"/>
                <w:color w:val="000000"/>
                <w:sz w:val="24"/>
              </w:rPr>
              <w:t>1</w:t>
            </w:r>
          </w:p>
        </w:tc>
        <w:tc>
          <w:tcPr>
            <w:tcW w:w="1302" w:type="dxa"/>
            <w:vAlign w:val="center"/>
          </w:tcPr>
          <w:p w:rsidR="00E85E7E" w:rsidRDefault="00784EF2">
            <w:pPr>
              <w:jc w:val="center"/>
            </w:pPr>
            <w:r>
              <w:rPr>
                <w:rFonts w:eastAsiaTheme="minorEastAsia"/>
                <w:color w:val="000000"/>
                <w:sz w:val="24"/>
              </w:rPr>
              <w:t>300104</w:t>
            </w:r>
          </w:p>
        </w:tc>
        <w:tc>
          <w:tcPr>
            <w:tcW w:w="1301" w:type="dxa"/>
            <w:vAlign w:val="center"/>
          </w:tcPr>
          <w:p w:rsidR="00E85E7E" w:rsidRDefault="00784EF2">
            <w:pPr>
              <w:jc w:val="center"/>
            </w:pPr>
            <w:r>
              <w:rPr>
                <w:rFonts w:eastAsiaTheme="minorEastAsia"/>
                <w:color w:val="000000"/>
                <w:sz w:val="24"/>
              </w:rPr>
              <w:t>乐视网</w:t>
            </w:r>
          </w:p>
        </w:tc>
        <w:tc>
          <w:tcPr>
            <w:tcW w:w="1805" w:type="dxa"/>
            <w:vAlign w:val="center"/>
          </w:tcPr>
          <w:p w:rsidR="00E85E7E" w:rsidRDefault="00784EF2">
            <w:pPr>
              <w:jc w:val="right"/>
            </w:pPr>
            <w:r>
              <w:rPr>
                <w:rFonts w:eastAsiaTheme="minorEastAsia"/>
                <w:color w:val="000000"/>
                <w:sz w:val="24"/>
              </w:rPr>
              <w:t>13,917,347.16</w:t>
            </w:r>
          </w:p>
        </w:tc>
        <w:tc>
          <w:tcPr>
            <w:tcW w:w="1655" w:type="dxa"/>
            <w:vAlign w:val="center"/>
          </w:tcPr>
          <w:p w:rsidR="00E85E7E" w:rsidRDefault="00784EF2">
            <w:pPr>
              <w:jc w:val="right"/>
            </w:pPr>
            <w:r>
              <w:rPr>
                <w:rFonts w:eastAsiaTheme="minorEastAsia"/>
                <w:color w:val="000000"/>
                <w:sz w:val="24"/>
              </w:rPr>
              <w:t>4.62</w:t>
            </w:r>
          </w:p>
        </w:tc>
        <w:tc>
          <w:tcPr>
            <w:tcW w:w="1367" w:type="dxa"/>
            <w:vAlign w:val="center"/>
          </w:tcPr>
          <w:p w:rsidR="00E85E7E" w:rsidRDefault="00784EF2">
            <w:pPr>
              <w:jc w:val="right"/>
            </w:pPr>
            <w:r>
              <w:rPr>
                <w:rFonts w:eastAsiaTheme="minorEastAsia"/>
                <w:color w:val="000000"/>
                <w:sz w:val="24"/>
              </w:rPr>
              <w:t>重大事项</w:t>
            </w:r>
          </w:p>
        </w:tc>
      </w:tr>
      <w:tr w:rsidR="00E85E7E">
        <w:tc>
          <w:tcPr>
            <w:tcW w:w="1083" w:type="dxa"/>
            <w:vAlign w:val="center"/>
          </w:tcPr>
          <w:p w:rsidR="00E85E7E" w:rsidRDefault="00784EF2">
            <w:pPr>
              <w:jc w:val="center"/>
            </w:pPr>
            <w:r>
              <w:rPr>
                <w:rFonts w:eastAsiaTheme="minorEastAsia"/>
                <w:color w:val="000000"/>
                <w:sz w:val="24"/>
              </w:rPr>
              <w:t>2</w:t>
            </w:r>
          </w:p>
        </w:tc>
        <w:tc>
          <w:tcPr>
            <w:tcW w:w="1302" w:type="dxa"/>
            <w:vAlign w:val="center"/>
          </w:tcPr>
          <w:p w:rsidR="00E85E7E" w:rsidRDefault="00784EF2">
            <w:pPr>
              <w:jc w:val="center"/>
            </w:pPr>
            <w:r>
              <w:rPr>
                <w:rFonts w:eastAsiaTheme="minorEastAsia"/>
                <w:color w:val="000000"/>
                <w:sz w:val="24"/>
              </w:rPr>
              <w:t>600271</w:t>
            </w:r>
          </w:p>
        </w:tc>
        <w:tc>
          <w:tcPr>
            <w:tcW w:w="1301" w:type="dxa"/>
            <w:vAlign w:val="center"/>
          </w:tcPr>
          <w:p w:rsidR="00E85E7E" w:rsidRDefault="00784EF2">
            <w:pPr>
              <w:jc w:val="center"/>
            </w:pPr>
            <w:r>
              <w:rPr>
                <w:rFonts w:eastAsiaTheme="minorEastAsia"/>
                <w:color w:val="000000"/>
                <w:sz w:val="24"/>
              </w:rPr>
              <w:t>航天信息</w:t>
            </w:r>
          </w:p>
        </w:tc>
        <w:tc>
          <w:tcPr>
            <w:tcW w:w="1805" w:type="dxa"/>
            <w:vAlign w:val="center"/>
          </w:tcPr>
          <w:p w:rsidR="00E85E7E" w:rsidRDefault="00784EF2">
            <w:pPr>
              <w:jc w:val="right"/>
            </w:pPr>
            <w:r>
              <w:rPr>
                <w:rFonts w:eastAsiaTheme="minorEastAsia"/>
                <w:color w:val="000000"/>
                <w:sz w:val="24"/>
              </w:rPr>
              <w:t>9,473,880.96</w:t>
            </w:r>
          </w:p>
        </w:tc>
        <w:tc>
          <w:tcPr>
            <w:tcW w:w="1655" w:type="dxa"/>
            <w:vAlign w:val="center"/>
          </w:tcPr>
          <w:p w:rsidR="00E85E7E" w:rsidRDefault="00784EF2">
            <w:pPr>
              <w:jc w:val="right"/>
            </w:pPr>
            <w:r>
              <w:rPr>
                <w:rFonts w:eastAsiaTheme="minorEastAsia"/>
                <w:color w:val="000000"/>
                <w:sz w:val="24"/>
              </w:rPr>
              <w:t>3.14</w:t>
            </w:r>
          </w:p>
        </w:tc>
        <w:tc>
          <w:tcPr>
            <w:tcW w:w="1367" w:type="dxa"/>
            <w:vAlign w:val="center"/>
          </w:tcPr>
          <w:p w:rsidR="00E85E7E" w:rsidRDefault="00784EF2">
            <w:pPr>
              <w:jc w:val="right"/>
            </w:pPr>
            <w:r>
              <w:rPr>
                <w:rFonts w:eastAsiaTheme="minorEastAsia"/>
                <w:color w:val="000000"/>
                <w:sz w:val="24"/>
              </w:rPr>
              <w:t>重大事项</w:t>
            </w:r>
          </w:p>
        </w:tc>
      </w:tr>
    </w:tbl>
    <w:p w:rsidR="00784EF2" w:rsidRDefault="00784EF2" w:rsidP="00576862">
      <w:pPr>
        <w:spacing w:line="360" w:lineRule="auto"/>
        <w:rPr>
          <w:rFonts w:eastAsiaTheme="minorEastAsia"/>
          <w:b/>
          <w:bCs/>
          <w:color w:val="000000"/>
          <w:kern w:val="0"/>
          <w:sz w:val="24"/>
        </w:rPr>
      </w:pPr>
    </w:p>
    <w:p w:rsidR="005D44E4" w:rsidRPr="005E324A" w:rsidRDefault="001C123E" w:rsidP="00576862">
      <w:pPr>
        <w:spacing w:line="360" w:lineRule="auto"/>
        <w:rPr>
          <w:rFonts w:eastAsiaTheme="minorEastAsia"/>
          <w:b/>
          <w:sz w:val="24"/>
        </w:rPr>
      </w:pPr>
      <w:r w:rsidRPr="005E324A">
        <w:rPr>
          <w:rFonts w:eastAsiaTheme="minorEastAsia"/>
          <w:b/>
          <w:bCs/>
          <w:color w:val="000000"/>
          <w:kern w:val="0"/>
          <w:sz w:val="24"/>
        </w:rPr>
        <w:t>5.11.5.2</w:t>
      </w:r>
      <w:r w:rsidR="00774535">
        <w:rPr>
          <w:rFonts w:eastAsiaTheme="minorEastAsia" w:hint="eastAsia"/>
          <w:b/>
          <w:bCs/>
          <w:color w:val="000000"/>
          <w:kern w:val="0"/>
          <w:sz w:val="24"/>
        </w:rPr>
        <w:t xml:space="preserve"> </w:t>
      </w:r>
      <w:r w:rsidR="006B7BC0" w:rsidRPr="005E324A">
        <w:rPr>
          <w:rFonts w:eastAsiaTheme="minorEastAsia"/>
          <w:b/>
          <w:bCs/>
          <w:color w:val="000000"/>
          <w:kern w:val="0"/>
          <w:sz w:val="24"/>
        </w:rPr>
        <w:t>报告</w:t>
      </w:r>
      <w:r w:rsidR="005D44E4" w:rsidRPr="005E324A">
        <w:rPr>
          <w:rFonts w:eastAsiaTheme="minorEastAsia"/>
          <w:b/>
          <w:sz w:val="24"/>
        </w:rPr>
        <w:t>期末积极投资前五名股票中存在流通受限情况的说明</w:t>
      </w:r>
    </w:p>
    <w:p w:rsidR="005D44E4" w:rsidRPr="005E324A" w:rsidRDefault="007A6BEA" w:rsidP="00576862">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本基金本报告期末未持有积极投资的股票。</w:t>
      </w:r>
    </w:p>
    <w:p w:rsidR="000627CD" w:rsidRPr="005E324A" w:rsidRDefault="000627CD" w:rsidP="00576862">
      <w:pPr>
        <w:spacing w:line="360" w:lineRule="auto"/>
        <w:rPr>
          <w:rFonts w:eastAsiaTheme="minorEastAsia"/>
          <w:bCs/>
          <w:color w:val="000000"/>
          <w:sz w:val="24"/>
        </w:rPr>
      </w:pPr>
    </w:p>
    <w:p w:rsidR="00220542" w:rsidRPr="005E324A" w:rsidRDefault="001C123E" w:rsidP="00576862">
      <w:pPr>
        <w:spacing w:line="360" w:lineRule="auto"/>
        <w:rPr>
          <w:rFonts w:eastAsiaTheme="minorEastAsia"/>
          <w:b/>
          <w:color w:val="000000"/>
          <w:sz w:val="24"/>
        </w:rPr>
      </w:pPr>
      <w:r w:rsidRPr="005E324A">
        <w:rPr>
          <w:rFonts w:eastAsiaTheme="minorEastAsia"/>
          <w:b/>
          <w:bCs/>
          <w:color w:val="000000"/>
          <w:kern w:val="0"/>
          <w:sz w:val="24"/>
        </w:rPr>
        <w:t>5.11.6</w:t>
      </w:r>
      <w:r w:rsidR="006B5B3E" w:rsidRPr="005E324A">
        <w:rPr>
          <w:rFonts w:eastAsiaTheme="minorEastAsia"/>
          <w:b/>
          <w:bCs/>
          <w:color w:val="000000"/>
          <w:kern w:val="0"/>
          <w:sz w:val="24"/>
        </w:rPr>
        <w:t>投资组合报告附注的其他文字描述部分</w:t>
      </w:r>
    </w:p>
    <w:p w:rsidR="00220542" w:rsidRPr="005E324A" w:rsidRDefault="007A6BEA" w:rsidP="00784EF2">
      <w:pPr>
        <w:spacing w:line="360" w:lineRule="auto"/>
        <w:rPr>
          <w:rFonts w:eastAsiaTheme="minorEastAsia"/>
          <w:color w:val="000000"/>
          <w:sz w:val="24"/>
        </w:rPr>
      </w:pPr>
      <w:r w:rsidRPr="005E324A">
        <w:rPr>
          <w:rFonts w:eastAsiaTheme="minorEastAsia"/>
          <w:color w:val="000000"/>
          <w:kern w:val="0"/>
          <w:sz w:val="24"/>
        </w:rPr>
        <w:t>由于四舍五入的原因，分项之和与合计项之间可能存在尾差。</w:t>
      </w:r>
    </w:p>
    <w:p w:rsidR="00220542" w:rsidRPr="005E324A" w:rsidRDefault="00220542" w:rsidP="00784EF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7F523A" w:rsidRPr="005E324A">
        <w:rPr>
          <w:rFonts w:eastAsiaTheme="minorEastAsia"/>
          <w:color w:val="000000"/>
          <w:kern w:val="0"/>
          <w:sz w:val="24"/>
          <w:szCs w:val="24"/>
        </w:rPr>
        <w:t>6</w:t>
      </w:r>
      <w:r w:rsidRPr="005E324A">
        <w:rPr>
          <w:rFonts w:eastAsiaTheme="minorEastAsia"/>
          <w:color w:val="000000"/>
          <w:kern w:val="0"/>
          <w:sz w:val="24"/>
          <w:szCs w:val="24"/>
        </w:rPr>
        <w:t xml:space="preserve">  </w:t>
      </w:r>
      <w:r w:rsidRPr="005E324A">
        <w:rPr>
          <w:rFonts w:eastAsiaTheme="minorEastAsia"/>
          <w:color w:val="000000"/>
          <w:kern w:val="0"/>
          <w:sz w:val="24"/>
          <w:szCs w:val="24"/>
        </w:rPr>
        <w:t>开放式基金份额变动</w:t>
      </w:r>
    </w:p>
    <w:p w:rsidR="00220542" w:rsidRPr="005E324A" w:rsidRDefault="00220542" w:rsidP="0019563C">
      <w:pPr>
        <w:autoSpaceDE w:val="0"/>
        <w:autoSpaceDN w:val="0"/>
        <w:adjustRightInd w:val="0"/>
        <w:spacing w:before="29" w:line="360" w:lineRule="auto"/>
        <w:ind w:left="15"/>
        <w:jc w:val="right"/>
        <w:rPr>
          <w:rFonts w:eastAsiaTheme="minorEastAsia"/>
          <w:color w:val="000000"/>
          <w:kern w:val="0"/>
          <w:sz w:val="24"/>
        </w:rPr>
      </w:pPr>
      <w:r w:rsidRPr="005E324A">
        <w:rPr>
          <w:rFonts w:eastAsiaTheme="minorEastAsia"/>
          <w:color w:val="000000"/>
          <w:kern w:val="0"/>
          <w:sz w:val="24"/>
        </w:rPr>
        <w:t>单位：份</w:t>
      </w:r>
    </w:p>
    <w:tbl>
      <w:tblPr>
        <w:tblW w:w="8719" w:type="dxa"/>
        <w:tblInd w:w="-106" w:type="dxa"/>
        <w:tblLayout w:type="fixed"/>
        <w:tblLook w:val="0000" w:firstRow="0" w:lastRow="0" w:firstColumn="0" w:lastColumn="0" w:noHBand="0" w:noVBand="0"/>
      </w:tblPr>
      <w:tblGrid>
        <w:gridCol w:w="1774"/>
        <w:gridCol w:w="2409"/>
        <w:gridCol w:w="2410"/>
        <w:gridCol w:w="2126"/>
      </w:tblGrid>
      <w:tr w:rsidR="00745829"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项目</w:t>
            </w:r>
          </w:p>
        </w:tc>
        <w:tc>
          <w:tcPr>
            <w:tcW w:w="2409"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5B14F0">
            <w:pPr>
              <w:autoSpaceDE w:val="0"/>
              <w:autoSpaceDN w:val="0"/>
              <w:adjustRightInd w:val="0"/>
              <w:spacing w:before="29" w:line="360" w:lineRule="auto"/>
              <w:ind w:left="17"/>
              <w:jc w:val="right"/>
              <w:rPr>
                <w:rFonts w:eastAsiaTheme="minorEastAsia"/>
                <w:sz w:val="24"/>
              </w:rPr>
            </w:pPr>
            <w:r w:rsidRPr="005E324A">
              <w:rPr>
                <w:rFonts w:eastAsiaTheme="minorEastAsia"/>
                <w:sz w:val="24"/>
              </w:rPr>
              <w:t>E</w:t>
            </w:r>
            <w:r w:rsidRPr="005E324A">
              <w:rPr>
                <w:rFonts w:eastAsiaTheme="minorEastAsia"/>
                <w:sz w:val="24"/>
              </w:rPr>
              <w:t>金融</w:t>
            </w:r>
          </w:p>
        </w:tc>
        <w:tc>
          <w:tcPr>
            <w:tcW w:w="2410"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A</w:t>
            </w:r>
          </w:p>
        </w:tc>
        <w:tc>
          <w:tcPr>
            <w:tcW w:w="2126" w:type="dxa"/>
            <w:tcBorders>
              <w:top w:val="single" w:sz="8" w:space="0" w:color="000000"/>
              <w:left w:val="single" w:sz="8" w:space="0" w:color="000000"/>
              <w:bottom w:val="single" w:sz="8" w:space="0" w:color="000000"/>
              <w:right w:val="single" w:sz="8" w:space="0" w:color="000000"/>
            </w:tcBorders>
            <w:vAlign w:val="center"/>
          </w:tcPr>
          <w:p w:rsidR="00745829" w:rsidRPr="005E324A" w:rsidRDefault="00745829"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E</w:t>
            </w:r>
            <w:r w:rsidRPr="005E324A">
              <w:rPr>
                <w:rFonts w:eastAsiaTheme="minorEastAsia"/>
                <w:sz w:val="24"/>
              </w:rPr>
              <w:t>金融</w:t>
            </w:r>
            <w:r w:rsidRPr="005E324A">
              <w:rPr>
                <w:rFonts w:eastAsiaTheme="minorEastAsia"/>
                <w:sz w:val="24"/>
              </w:rPr>
              <w:t>B</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本报告期期初基金份额总额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267,341,902.77</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7,983,757.00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7,983,757.00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基金总申购份额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358,133,778.84</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减：</w:t>
            </w:r>
            <w:r w:rsidR="00F006CC" w:rsidRPr="005E324A">
              <w:rPr>
                <w:rFonts w:eastAsiaTheme="minorEastAsia"/>
                <w:color w:val="000000"/>
                <w:kern w:val="0"/>
                <w:sz w:val="24"/>
              </w:rPr>
              <w:t>本报告期</w:t>
            </w:r>
            <w:r w:rsidR="004A040B" w:rsidRPr="005E324A">
              <w:rPr>
                <w:rFonts w:eastAsiaTheme="minorEastAsia"/>
                <w:color w:val="000000"/>
                <w:kern w:val="0"/>
                <w:sz w:val="24"/>
              </w:rPr>
              <w:t>期间</w:t>
            </w:r>
            <w:r w:rsidRPr="005E324A">
              <w:rPr>
                <w:rFonts w:eastAsiaTheme="minorEastAsia"/>
                <w:color w:val="000000"/>
                <w:kern w:val="0"/>
                <w:sz w:val="24"/>
              </w:rPr>
              <w:t>基金总赎回份额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311,236,305.98</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w:t>
            </w:r>
          </w:p>
        </w:tc>
      </w:tr>
      <w:tr w:rsidR="00491ABD" w:rsidRPr="005E324A" w:rsidTr="00491ABD">
        <w:trPr>
          <w:trHeight w:val="1718"/>
        </w:trPr>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F006CC"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w:t>
            </w:r>
            <w:r w:rsidR="004A040B" w:rsidRPr="005E324A">
              <w:rPr>
                <w:rFonts w:eastAsiaTheme="minorEastAsia"/>
                <w:color w:val="000000"/>
                <w:kern w:val="0"/>
                <w:sz w:val="24"/>
              </w:rPr>
              <w:t>期间</w:t>
            </w:r>
            <w:r w:rsidR="00491ABD" w:rsidRPr="005E324A">
              <w:rPr>
                <w:rFonts w:eastAsiaTheme="minorEastAsia"/>
                <w:color w:val="000000"/>
                <w:kern w:val="0"/>
                <w:sz w:val="24"/>
              </w:rPr>
              <w:t>基金拆分变动份额</w:t>
            </w:r>
            <w:r w:rsidR="003F3180" w:rsidRPr="008B1197">
              <w:rPr>
                <w:rFonts w:eastAsiaTheme="minorEastAsia" w:hint="eastAsia"/>
                <w:color w:val="000000"/>
                <w:kern w:val="0"/>
                <w:sz w:val="24"/>
              </w:rPr>
              <w:t>（份额减少以“</w:t>
            </w:r>
            <w:r w:rsidR="003F3180" w:rsidRPr="008B1197">
              <w:rPr>
                <w:rFonts w:eastAsiaTheme="minorEastAsia"/>
                <w:color w:val="000000"/>
                <w:kern w:val="0"/>
                <w:sz w:val="24"/>
              </w:rPr>
              <w:t>-</w:t>
            </w:r>
            <w:r w:rsidR="003F3180" w:rsidRPr="008B1197">
              <w:rPr>
                <w:rFonts w:eastAsiaTheme="minorEastAsia" w:hint="eastAsia"/>
                <w:color w:val="000000"/>
                <w:kern w:val="0"/>
                <w:sz w:val="24"/>
              </w:rPr>
              <w:t>”填列）</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-51,416,896.00</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25,708,448.00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25,708,448.00</w:t>
            </w:r>
          </w:p>
        </w:tc>
      </w:tr>
      <w:tr w:rsidR="00491ABD" w:rsidRPr="005E324A" w:rsidTr="005B14F0">
        <w:tc>
          <w:tcPr>
            <w:tcW w:w="1774"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left"/>
              <w:rPr>
                <w:rFonts w:eastAsiaTheme="minorEastAsia"/>
                <w:color w:val="000000"/>
                <w:kern w:val="0"/>
                <w:sz w:val="24"/>
              </w:rPr>
            </w:pPr>
            <w:r w:rsidRPr="005E324A">
              <w:rPr>
                <w:rFonts w:eastAsiaTheme="minorEastAsia"/>
                <w:color w:val="000000"/>
                <w:kern w:val="0"/>
                <w:sz w:val="24"/>
              </w:rPr>
              <w:t>本报告期期末基金份额总额</w:t>
            </w:r>
          </w:p>
        </w:tc>
        <w:tc>
          <w:tcPr>
            <w:tcW w:w="2409"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7A6BEA">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262,822,479.63</w:t>
            </w:r>
          </w:p>
        </w:tc>
        <w:tc>
          <w:tcPr>
            <w:tcW w:w="2410"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465C86">
            <w:pPr>
              <w:autoSpaceDE w:val="0"/>
              <w:autoSpaceDN w:val="0"/>
              <w:adjustRightInd w:val="0"/>
              <w:spacing w:before="29" w:line="360" w:lineRule="auto"/>
              <w:ind w:left="17"/>
              <w:jc w:val="right"/>
              <w:rPr>
                <w:rFonts w:eastAsiaTheme="minorEastAsia"/>
                <w:color w:val="000000"/>
                <w:sz w:val="24"/>
              </w:rPr>
            </w:pPr>
            <w:r w:rsidRPr="005E324A">
              <w:rPr>
                <w:rFonts w:eastAsiaTheme="minorEastAsia"/>
                <w:color w:val="000000"/>
                <w:sz w:val="24"/>
              </w:rPr>
              <w:t>33,692,205.00</w:t>
            </w:r>
          </w:p>
        </w:tc>
        <w:tc>
          <w:tcPr>
            <w:tcW w:w="2126" w:type="dxa"/>
            <w:tcBorders>
              <w:top w:val="single" w:sz="8" w:space="0" w:color="000000"/>
              <w:left w:val="single" w:sz="8" w:space="0" w:color="000000"/>
              <w:bottom w:val="single" w:sz="8" w:space="0" w:color="000000"/>
              <w:right w:val="single" w:sz="8" w:space="0" w:color="000000"/>
            </w:tcBorders>
            <w:vAlign w:val="center"/>
          </w:tcPr>
          <w:p w:rsidR="00491ABD" w:rsidRPr="005E324A" w:rsidRDefault="00491ABD" w:rsidP="00183C9E">
            <w:pPr>
              <w:autoSpaceDE w:val="0"/>
              <w:autoSpaceDN w:val="0"/>
              <w:adjustRightInd w:val="0"/>
              <w:spacing w:before="29" w:line="360" w:lineRule="auto"/>
              <w:ind w:left="17"/>
              <w:jc w:val="right"/>
              <w:rPr>
                <w:rFonts w:eastAsiaTheme="minorEastAsia"/>
                <w:color w:val="000000"/>
                <w:sz w:val="24"/>
              </w:rPr>
            </w:pPr>
            <w:r w:rsidRPr="005E324A">
              <w:rPr>
                <w:rFonts w:eastAsiaTheme="minorEastAsia"/>
                <w:sz w:val="24"/>
              </w:rPr>
              <w:t>33,692,205.00</w:t>
            </w:r>
          </w:p>
        </w:tc>
      </w:tr>
    </w:tbl>
    <w:p w:rsidR="00220542" w:rsidRPr="005E324A" w:rsidRDefault="007A6BEA" w:rsidP="006B10D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注：拆分变动份额为本基金三级份额之间的配对转换份额。</w:t>
      </w:r>
    </w:p>
    <w:p w:rsidR="003D4E5A" w:rsidRPr="005E324A" w:rsidRDefault="003D4E5A" w:rsidP="00784EF2">
      <w:pPr>
        <w:pStyle w:val="1"/>
        <w:tabs>
          <w:tab w:val="center" w:pos="4156"/>
          <w:tab w:val="right" w:pos="8312"/>
        </w:tabs>
        <w:spacing w:beforeLines="100" w:before="312" w:afterLines="100" w:after="312" w:line="360" w:lineRule="auto"/>
        <w:jc w:val="center"/>
        <w:rPr>
          <w:sz w:val="24"/>
          <w:szCs w:val="24"/>
        </w:rPr>
      </w:pPr>
      <w:r w:rsidRPr="005E324A">
        <w:rPr>
          <w:rFonts w:eastAsiaTheme="minorEastAsia"/>
          <w:color w:val="000000"/>
          <w:kern w:val="0"/>
          <w:sz w:val="24"/>
          <w:szCs w:val="24"/>
        </w:rPr>
        <w:t xml:space="preserve">§7  </w:t>
      </w:r>
      <w:r w:rsidRPr="005E324A">
        <w:rPr>
          <w:sz w:val="24"/>
          <w:szCs w:val="24"/>
        </w:rPr>
        <w:t>基金管理人运用固有资金投资本基金情况</w:t>
      </w:r>
    </w:p>
    <w:p w:rsidR="003D4E5A" w:rsidRPr="005E324A" w:rsidRDefault="003D4E5A" w:rsidP="003D4E5A">
      <w:pPr>
        <w:spacing w:line="360" w:lineRule="auto"/>
        <w:jc w:val="left"/>
        <w:rPr>
          <w:sz w:val="24"/>
        </w:rPr>
      </w:pPr>
      <w:r w:rsidRPr="005E324A">
        <w:rPr>
          <w:b/>
          <w:sz w:val="24"/>
        </w:rPr>
        <w:t xml:space="preserve">7.1 </w:t>
      </w:r>
      <w:r w:rsidRPr="005E324A">
        <w:rPr>
          <w:b/>
          <w:sz w:val="24"/>
        </w:rPr>
        <w:t>基金管理人持有本基金份额变动情况</w:t>
      </w:r>
    </w:p>
    <w:p w:rsidR="003D4E5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本报告期内未发生基金管理人运用固有资金投资本基金的情况。</w:t>
      </w:r>
    </w:p>
    <w:p w:rsidR="00784EF2" w:rsidRPr="005E324A" w:rsidRDefault="00784EF2" w:rsidP="003D4E5A">
      <w:pPr>
        <w:autoSpaceDE w:val="0"/>
        <w:autoSpaceDN w:val="0"/>
        <w:adjustRightInd w:val="0"/>
        <w:spacing w:line="360" w:lineRule="auto"/>
        <w:jc w:val="left"/>
        <w:rPr>
          <w:rFonts w:eastAsiaTheme="minorEastAsia"/>
          <w:color w:val="000000"/>
          <w:sz w:val="24"/>
        </w:rPr>
      </w:pPr>
    </w:p>
    <w:p w:rsidR="003D4E5A" w:rsidRPr="005E324A" w:rsidRDefault="003D4E5A" w:rsidP="003D4E5A">
      <w:pPr>
        <w:spacing w:line="360" w:lineRule="auto"/>
        <w:jc w:val="left"/>
        <w:rPr>
          <w:sz w:val="24"/>
        </w:rPr>
      </w:pPr>
      <w:r w:rsidRPr="005E324A">
        <w:rPr>
          <w:b/>
          <w:sz w:val="24"/>
        </w:rPr>
        <w:t xml:space="preserve">7.2 </w:t>
      </w:r>
      <w:r w:rsidRPr="005E324A">
        <w:rPr>
          <w:b/>
          <w:sz w:val="24"/>
        </w:rPr>
        <w:t>基金管理人运用固有资金投资本基金交易明细</w:t>
      </w:r>
    </w:p>
    <w:p w:rsidR="003D4E5A" w:rsidRPr="005E324A" w:rsidRDefault="003D4E5A" w:rsidP="003D4E5A">
      <w:pPr>
        <w:autoSpaceDE w:val="0"/>
        <w:autoSpaceDN w:val="0"/>
        <w:adjustRightInd w:val="0"/>
        <w:spacing w:line="360" w:lineRule="auto"/>
        <w:jc w:val="left"/>
        <w:rPr>
          <w:rFonts w:eastAsiaTheme="minorEastAsia"/>
          <w:color w:val="000000"/>
          <w:sz w:val="24"/>
        </w:rPr>
      </w:pPr>
      <w:r w:rsidRPr="005E324A">
        <w:rPr>
          <w:rFonts w:eastAsiaTheme="minorEastAsia"/>
          <w:color w:val="000000"/>
          <w:sz w:val="24"/>
        </w:rPr>
        <w:t>本基金管理人本报告期内未进行本基金的申购、赎回、红利再投等。</w:t>
      </w:r>
    </w:p>
    <w:p w:rsidR="00220542" w:rsidRPr="005E324A" w:rsidRDefault="00220542" w:rsidP="00784EF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4A3F71" w:rsidRPr="005E324A">
        <w:rPr>
          <w:rFonts w:eastAsiaTheme="minorEastAsia"/>
          <w:color w:val="000000"/>
          <w:kern w:val="0"/>
          <w:sz w:val="24"/>
          <w:szCs w:val="24"/>
        </w:rPr>
        <w:t>8</w:t>
      </w:r>
      <w:r w:rsidRPr="005E324A">
        <w:rPr>
          <w:rFonts w:eastAsiaTheme="minorEastAsia"/>
          <w:color w:val="000000"/>
          <w:kern w:val="0"/>
          <w:sz w:val="24"/>
          <w:szCs w:val="24"/>
        </w:rPr>
        <w:t xml:space="preserve">  </w:t>
      </w:r>
      <w:r w:rsidRPr="005E324A">
        <w:rPr>
          <w:rFonts w:eastAsiaTheme="minorEastAsia"/>
          <w:color w:val="000000"/>
          <w:kern w:val="0"/>
          <w:sz w:val="24"/>
          <w:szCs w:val="24"/>
        </w:rPr>
        <w:t>影响投资者决策的其他重要信息</w:t>
      </w:r>
    </w:p>
    <w:p w:rsidR="00220542" w:rsidRPr="005E324A" w:rsidRDefault="007A6BEA" w:rsidP="00B306AA">
      <w:pPr>
        <w:spacing w:line="360" w:lineRule="auto"/>
        <w:ind w:firstLineChars="200" w:firstLine="480"/>
        <w:rPr>
          <w:rFonts w:eastAsiaTheme="minorEastAsia"/>
          <w:color w:val="000000"/>
          <w:sz w:val="24"/>
        </w:rPr>
      </w:pPr>
      <w:r w:rsidRPr="005E324A">
        <w:rPr>
          <w:rFonts w:eastAsiaTheme="minorEastAsia"/>
          <w:color w:val="000000"/>
          <w:sz w:val="24"/>
        </w:rPr>
        <w:t>根据本基金基金合同中关于定期份额折算的相关规定，本基金基金份额定期折算基准日为每个会计年度（除基金合同生效日所在会计年度外）的第一个工作日。根据基金合同及深圳证券交易所和中国证券登记结算有限责任公司的相关业务规定，本基金管理人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4</w:t>
      </w:r>
      <w:r w:rsidRPr="005E324A">
        <w:rPr>
          <w:rFonts w:eastAsiaTheme="minorEastAsia"/>
          <w:color w:val="000000"/>
          <w:sz w:val="24"/>
        </w:rPr>
        <w:t>日为基金份额定期折算基准日，对当日登记在册的交银互联网金融份额和交银互联网金融</w:t>
      </w:r>
      <w:r w:rsidRPr="005E324A">
        <w:rPr>
          <w:rFonts w:eastAsiaTheme="minorEastAsia"/>
          <w:color w:val="000000"/>
          <w:sz w:val="24"/>
        </w:rPr>
        <w:t>A</w:t>
      </w:r>
      <w:r w:rsidRPr="005E324A">
        <w:rPr>
          <w:rFonts w:eastAsiaTheme="minorEastAsia"/>
          <w:color w:val="000000"/>
          <w:sz w:val="24"/>
        </w:rPr>
        <w:t>份额办理了基金份额定期折算业务，相关事宜详情请见本基金管理人于</w:t>
      </w:r>
      <w:r w:rsidRPr="005E324A">
        <w:rPr>
          <w:rFonts w:eastAsiaTheme="minorEastAsia"/>
          <w:color w:val="000000"/>
          <w:sz w:val="24"/>
        </w:rPr>
        <w:t>2015</w:t>
      </w:r>
      <w:r w:rsidRPr="005E324A">
        <w:rPr>
          <w:rFonts w:eastAsiaTheme="minorEastAsia"/>
          <w:color w:val="000000"/>
          <w:sz w:val="24"/>
        </w:rPr>
        <w:t>年</w:t>
      </w:r>
      <w:r w:rsidRPr="005E324A">
        <w:rPr>
          <w:rFonts w:eastAsiaTheme="minorEastAsia"/>
          <w:color w:val="000000"/>
          <w:sz w:val="24"/>
        </w:rPr>
        <w:t>12</w:t>
      </w:r>
      <w:r w:rsidRPr="005E324A">
        <w:rPr>
          <w:rFonts w:eastAsiaTheme="minorEastAsia"/>
          <w:color w:val="000000"/>
          <w:sz w:val="24"/>
        </w:rPr>
        <w:t>月</w:t>
      </w:r>
      <w:r w:rsidRPr="005E324A">
        <w:rPr>
          <w:rFonts w:eastAsiaTheme="minorEastAsia"/>
          <w:color w:val="000000"/>
          <w:sz w:val="24"/>
        </w:rPr>
        <w:t>29</w:t>
      </w:r>
      <w:r w:rsidRPr="005E324A">
        <w:rPr>
          <w:rFonts w:eastAsiaTheme="minorEastAsia"/>
          <w:color w:val="000000"/>
          <w:sz w:val="24"/>
        </w:rPr>
        <w:t>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5</w:t>
      </w:r>
      <w:r w:rsidRPr="005E324A">
        <w:rPr>
          <w:rFonts w:eastAsiaTheme="minorEastAsia"/>
          <w:color w:val="000000"/>
          <w:sz w:val="24"/>
        </w:rPr>
        <w:t>日、</w:t>
      </w:r>
      <w:r w:rsidRPr="005E324A">
        <w:rPr>
          <w:rFonts w:eastAsiaTheme="minorEastAsia"/>
          <w:color w:val="000000"/>
          <w:sz w:val="24"/>
        </w:rPr>
        <w:t>2016</w:t>
      </w:r>
      <w:r w:rsidRPr="005E324A">
        <w:rPr>
          <w:rFonts w:eastAsiaTheme="minorEastAsia"/>
          <w:color w:val="000000"/>
          <w:sz w:val="24"/>
        </w:rPr>
        <w:t>年</w:t>
      </w:r>
      <w:r w:rsidRPr="005E324A">
        <w:rPr>
          <w:rFonts w:eastAsiaTheme="minorEastAsia"/>
          <w:color w:val="000000"/>
          <w:sz w:val="24"/>
        </w:rPr>
        <w:t>1</w:t>
      </w:r>
      <w:r w:rsidRPr="005E324A">
        <w:rPr>
          <w:rFonts w:eastAsiaTheme="minorEastAsia"/>
          <w:color w:val="000000"/>
          <w:sz w:val="24"/>
        </w:rPr>
        <w:t>月</w:t>
      </w:r>
      <w:r w:rsidRPr="005E324A">
        <w:rPr>
          <w:rFonts w:eastAsiaTheme="minorEastAsia"/>
          <w:color w:val="000000"/>
          <w:sz w:val="24"/>
        </w:rPr>
        <w:t>6</w:t>
      </w:r>
      <w:r w:rsidRPr="005E324A">
        <w:rPr>
          <w:rFonts w:eastAsiaTheme="minorEastAsia"/>
          <w:color w:val="000000"/>
          <w:sz w:val="24"/>
        </w:rPr>
        <w:t>日发布的系列公告。</w:t>
      </w:r>
    </w:p>
    <w:p w:rsidR="00220542" w:rsidRPr="005E324A" w:rsidRDefault="00220542" w:rsidP="00784EF2">
      <w:pPr>
        <w:pStyle w:val="1"/>
        <w:spacing w:beforeLines="100" w:before="312" w:afterLines="100" w:after="312" w:line="360" w:lineRule="auto"/>
        <w:jc w:val="center"/>
        <w:rPr>
          <w:rFonts w:eastAsiaTheme="minorEastAsia"/>
          <w:color w:val="000000"/>
          <w:kern w:val="0"/>
          <w:sz w:val="24"/>
          <w:szCs w:val="24"/>
        </w:rPr>
      </w:pPr>
      <w:r w:rsidRPr="005E324A">
        <w:rPr>
          <w:rFonts w:eastAsiaTheme="minorEastAsia"/>
          <w:color w:val="000000"/>
          <w:kern w:val="0"/>
          <w:sz w:val="24"/>
          <w:szCs w:val="24"/>
        </w:rPr>
        <w:t>§</w:t>
      </w:r>
      <w:r w:rsidR="00CC0994" w:rsidRPr="005E324A">
        <w:rPr>
          <w:rFonts w:eastAsiaTheme="minorEastAsia"/>
          <w:color w:val="000000"/>
          <w:kern w:val="0"/>
          <w:sz w:val="24"/>
          <w:szCs w:val="24"/>
        </w:rPr>
        <w:t>9</w:t>
      </w:r>
      <w:r w:rsidRPr="005E324A">
        <w:rPr>
          <w:rFonts w:eastAsiaTheme="minorEastAsia"/>
          <w:color w:val="000000"/>
          <w:kern w:val="0"/>
          <w:sz w:val="24"/>
          <w:szCs w:val="24"/>
        </w:rPr>
        <w:t xml:space="preserve">  </w:t>
      </w:r>
      <w:r w:rsidRPr="005E324A">
        <w:rPr>
          <w:rFonts w:eastAsiaTheme="minorEastAsia"/>
          <w:color w:val="000000"/>
          <w:kern w:val="0"/>
          <w:sz w:val="24"/>
          <w:szCs w:val="24"/>
        </w:rPr>
        <w:t>备查文件目录</w:t>
      </w:r>
    </w:p>
    <w:p w:rsidR="00220542" w:rsidRPr="005E324A" w:rsidRDefault="00CC0994" w:rsidP="001078B6">
      <w:pPr>
        <w:spacing w:line="360" w:lineRule="auto"/>
        <w:rPr>
          <w:rFonts w:eastAsiaTheme="minorEastAsia"/>
          <w:b/>
          <w:color w:val="000000"/>
          <w:kern w:val="0"/>
          <w:sz w:val="24"/>
        </w:rPr>
      </w:pPr>
      <w:r w:rsidRPr="005E324A">
        <w:rPr>
          <w:rFonts w:eastAsiaTheme="minorEastAsia"/>
          <w:b/>
          <w:color w:val="000000"/>
          <w:sz w:val="24"/>
        </w:rPr>
        <w:t>9</w:t>
      </w:r>
      <w:r w:rsidR="004A3F71" w:rsidRPr="005E324A">
        <w:rPr>
          <w:rFonts w:eastAsiaTheme="minorEastAsia"/>
          <w:b/>
          <w:color w:val="000000"/>
          <w:sz w:val="24"/>
        </w:rPr>
        <w:t>.1</w:t>
      </w:r>
      <w:r w:rsidR="00220542" w:rsidRPr="005E324A">
        <w:rPr>
          <w:rFonts w:eastAsiaTheme="minorEastAsia"/>
          <w:b/>
          <w:color w:val="000000"/>
          <w:sz w:val="24"/>
        </w:rPr>
        <w:t xml:space="preserve"> </w:t>
      </w:r>
      <w:r w:rsidR="00220542" w:rsidRPr="005E324A">
        <w:rPr>
          <w:rFonts w:eastAsiaTheme="minorEastAsia"/>
          <w:b/>
          <w:color w:val="000000"/>
          <w:sz w:val="24"/>
        </w:rPr>
        <w:t>备查文件目录</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、中国证监会准予交银施罗德中证互联网金融指数分级证券投资基金募集注册的文件；</w:t>
      </w:r>
      <w:r>
        <w:rPr>
          <w:rFonts w:eastAsiaTheme="minorEastAsia"/>
          <w:color w:val="000000"/>
          <w:sz w:val="24"/>
        </w:rPr>
        <w:t xml:space="preserve"> </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、《交银施罗德中证互联网金融指数分级证券投资基金基金合同》；</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、《交银施罗德中证互联网金融指数分级证券投资基金招募说明书》；</w:t>
      </w:r>
      <w:r>
        <w:rPr>
          <w:rFonts w:eastAsiaTheme="minorEastAsia"/>
          <w:color w:val="000000"/>
          <w:sz w:val="24"/>
        </w:rPr>
        <w:t xml:space="preserve"> </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、《交银施罗德中证互联网金融指数分级证券投资基金托管协议》；</w:t>
      </w:r>
      <w:r>
        <w:rPr>
          <w:rFonts w:eastAsiaTheme="minorEastAsia"/>
          <w:color w:val="000000"/>
          <w:sz w:val="24"/>
        </w:rPr>
        <w:t xml:space="preserve"> </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、基金管理人业务资格批件、营业执照；</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、基金托管人业务资格批件、营业执照；</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、关于申请募集注册交银施罗德中证互联网金融指数分级证券投资基金的法律意见书；</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8</w:t>
      </w:r>
      <w:r w:rsidRPr="005E324A">
        <w:rPr>
          <w:rFonts w:eastAsiaTheme="minorEastAsia"/>
          <w:color w:val="000000"/>
          <w:sz w:val="24"/>
        </w:rPr>
        <w:t>、报告期内交银施罗德中证互联网金融指数分级证券投资基金在指定报刊上各项公告的原稿。</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9.2</w:t>
      </w:r>
      <w:r w:rsidR="00220542" w:rsidRPr="005E324A">
        <w:rPr>
          <w:rFonts w:eastAsiaTheme="minorEastAsia"/>
          <w:b/>
          <w:color w:val="000000"/>
          <w:sz w:val="24"/>
        </w:rPr>
        <w:t xml:space="preserve"> </w:t>
      </w:r>
      <w:r w:rsidR="00220542" w:rsidRPr="005E324A">
        <w:rPr>
          <w:rFonts w:eastAsiaTheme="minorEastAsia"/>
          <w:b/>
          <w:color w:val="000000"/>
          <w:sz w:val="24"/>
        </w:rPr>
        <w:t>存放地点</w:t>
      </w:r>
    </w:p>
    <w:p w:rsidR="00220542" w:rsidRPr="005E324A" w:rsidRDefault="007A6BEA" w:rsidP="001078B6">
      <w:pPr>
        <w:spacing w:line="360" w:lineRule="auto"/>
        <w:ind w:firstLineChars="200" w:firstLine="480"/>
        <w:rPr>
          <w:rFonts w:eastAsiaTheme="minorEastAsia"/>
          <w:color w:val="000000"/>
          <w:sz w:val="24"/>
        </w:rPr>
      </w:pPr>
      <w:r w:rsidRPr="005E324A">
        <w:rPr>
          <w:rFonts w:eastAsiaTheme="minorEastAsia"/>
          <w:color w:val="000000"/>
          <w:sz w:val="24"/>
        </w:rPr>
        <w:t>备查文件存放于基金管理人的办公场所。</w:t>
      </w:r>
    </w:p>
    <w:p w:rsidR="00220542" w:rsidRPr="005E324A" w:rsidRDefault="00220542" w:rsidP="001078B6">
      <w:pPr>
        <w:spacing w:line="360" w:lineRule="auto"/>
        <w:ind w:firstLineChars="200" w:firstLine="480"/>
        <w:rPr>
          <w:rFonts w:eastAsiaTheme="minorEastAsia"/>
          <w:color w:val="000000"/>
          <w:sz w:val="24"/>
        </w:rPr>
      </w:pPr>
    </w:p>
    <w:p w:rsidR="00220542" w:rsidRPr="005E324A" w:rsidRDefault="004A3F71" w:rsidP="001078B6">
      <w:pPr>
        <w:spacing w:line="360" w:lineRule="auto"/>
        <w:rPr>
          <w:rFonts w:eastAsiaTheme="minorEastAsia"/>
          <w:b/>
          <w:color w:val="000000"/>
          <w:sz w:val="24"/>
        </w:rPr>
      </w:pPr>
      <w:r w:rsidRPr="005E324A">
        <w:rPr>
          <w:rFonts w:eastAsiaTheme="minorEastAsia"/>
          <w:b/>
          <w:color w:val="000000"/>
          <w:sz w:val="24"/>
        </w:rPr>
        <w:t>9.3</w:t>
      </w:r>
      <w:r w:rsidR="00220542" w:rsidRPr="005E324A">
        <w:rPr>
          <w:rFonts w:eastAsiaTheme="minorEastAsia"/>
          <w:b/>
          <w:color w:val="000000"/>
          <w:sz w:val="24"/>
        </w:rPr>
        <w:t xml:space="preserve"> </w:t>
      </w:r>
      <w:r w:rsidR="00220542" w:rsidRPr="005E324A">
        <w:rPr>
          <w:rFonts w:eastAsiaTheme="minorEastAsia"/>
          <w:b/>
          <w:color w:val="000000"/>
          <w:sz w:val="24"/>
        </w:rPr>
        <w:t>查阅方式</w:t>
      </w:r>
    </w:p>
    <w:p w:rsidR="00E85E7E" w:rsidRDefault="00784EF2">
      <w:pPr>
        <w:spacing w:line="360"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B1B32" w:rsidRPr="00066BC3" w:rsidRDefault="007A6BEA" w:rsidP="00066BC3">
      <w:pPr>
        <w:spacing w:line="360" w:lineRule="auto"/>
        <w:ind w:firstLineChars="200" w:firstLine="480"/>
        <w:rPr>
          <w:rFonts w:eastAsiaTheme="minorEastAsia"/>
          <w:color w:val="000000"/>
          <w:sz w:val="24"/>
        </w:rPr>
      </w:pPr>
      <w:r w:rsidRPr="005E324A">
        <w:rPr>
          <w:rFonts w:eastAsiaTheme="minorEastAsia"/>
          <w:color w:val="000000"/>
          <w:sz w:val="24"/>
        </w:rPr>
        <w:t>投资者对本报告书如有疑问，可咨询本基金管理人交银施罗德基金管理有限公司。本公司客户服务中心电话：</w:t>
      </w:r>
      <w:r w:rsidRPr="005E324A">
        <w:rPr>
          <w:rFonts w:eastAsiaTheme="minorEastAsia"/>
          <w:color w:val="000000"/>
          <w:sz w:val="24"/>
        </w:rPr>
        <w:t>400-700-5000</w:t>
      </w:r>
      <w:r w:rsidRPr="005E324A">
        <w:rPr>
          <w:rFonts w:eastAsiaTheme="minorEastAsia"/>
          <w:color w:val="000000"/>
          <w:sz w:val="24"/>
        </w:rPr>
        <w:t>（免长途话费），</w:t>
      </w:r>
      <w:r w:rsidRPr="005E324A">
        <w:rPr>
          <w:rFonts w:eastAsiaTheme="minorEastAsia"/>
          <w:color w:val="000000"/>
          <w:sz w:val="24"/>
        </w:rPr>
        <w:t>021-61055000</w:t>
      </w:r>
      <w:r w:rsidRPr="005E324A">
        <w:rPr>
          <w:rFonts w:eastAsiaTheme="minorEastAsia"/>
          <w:color w:val="000000"/>
          <w:sz w:val="24"/>
        </w:rPr>
        <w:t>，电子邮件：</w:t>
      </w:r>
      <w:r w:rsidRPr="005E324A">
        <w:rPr>
          <w:rFonts w:eastAsiaTheme="minorEastAsia"/>
          <w:color w:val="000000"/>
          <w:sz w:val="24"/>
        </w:rPr>
        <w:t>services@jysld.com</w:t>
      </w:r>
      <w:r w:rsidRPr="005E324A">
        <w:rPr>
          <w:rFonts w:eastAsiaTheme="minorEastAsia"/>
          <w:color w:val="000000"/>
          <w:sz w:val="24"/>
        </w:rPr>
        <w:t>。</w:t>
      </w:r>
    </w:p>
    <w:sectPr w:rsidR="009B1B32" w:rsidRPr="00066BC3" w:rsidSect="00DB4450">
      <w:footerReference w:type="even" r:id="rId10"/>
      <w:footerReference w:type="default" r:id="rId11"/>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D81" w:rsidRDefault="00154D81">
      <w:r>
        <w:separator/>
      </w:r>
    </w:p>
  </w:endnote>
  <w:endnote w:type="continuationSeparator" w:id="0">
    <w:p w:rsidR="00154D81" w:rsidRDefault="0015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Pr="001D0DB0" w:rsidRDefault="003A4DA3" w:rsidP="00230A66">
    <w:pPr>
      <w:pStyle w:val="a6"/>
      <w:jc w:val="center"/>
    </w:pPr>
    <w:r>
      <w:rPr>
        <w:rFonts w:hint="eastAsia"/>
        <w:kern w:val="0"/>
        <w:szCs w:val="21"/>
      </w:rPr>
      <w:t>第</w:t>
    </w:r>
    <w:r w:rsidR="00E85E7E">
      <w:rPr>
        <w:kern w:val="0"/>
        <w:szCs w:val="21"/>
      </w:rPr>
      <w:fldChar w:fldCharType="begin"/>
    </w:r>
    <w:r>
      <w:rPr>
        <w:kern w:val="0"/>
        <w:szCs w:val="21"/>
      </w:rPr>
      <w:instrText xml:space="preserve"> PAGE </w:instrText>
    </w:r>
    <w:r w:rsidR="00E85E7E">
      <w:rPr>
        <w:kern w:val="0"/>
        <w:szCs w:val="21"/>
      </w:rPr>
      <w:fldChar w:fldCharType="separate"/>
    </w:r>
    <w:r w:rsidR="00FE65D7">
      <w:rPr>
        <w:noProof/>
        <w:kern w:val="0"/>
        <w:szCs w:val="21"/>
      </w:rPr>
      <w:t>1</w:t>
    </w:r>
    <w:r w:rsidR="00E85E7E">
      <w:rPr>
        <w:kern w:val="0"/>
        <w:szCs w:val="21"/>
      </w:rPr>
      <w:fldChar w:fldCharType="end"/>
    </w:r>
    <w:r>
      <w:rPr>
        <w:rFonts w:hint="eastAsia"/>
        <w:kern w:val="0"/>
        <w:szCs w:val="21"/>
      </w:rPr>
      <w:t>页共</w:t>
    </w:r>
    <w:r w:rsidR="00E85E7E">
      <w:rPr>
        <w:kern w:val="0"/>
        <w:szCs w:val="21"/>
      </w:rPr>
      <w:fldChar w:fldCharType="begin"/>
    </w:r>
    <w:r>
      <w:rPr>
        <w:kern w:val="0"/>
        <w:szCs w:val="21"/>
      </w:rPr>
      <w:instrText xml:space="preserve"> NUMPAGES </w:instrText>
    </w:r>
    <w:r w:rsidR="00E85E7E">
      <w:rPr>
        <w:kern w:val="0"/>
        <w:szCs w:val="21"/>
      </w:rPr>
      <w:fldChar w:fldCharType="separate"/>
    </w:r>
    <w:r w:rsidR="00FE65D7">
      <w:rPr>
        <w:noProof/>
        <w:kern w:val="0"/>
        <w:szCs w:val="21"/>
      </w:rPr>
      <w:t>15</w:t>
    </w:r>
    <w:r w:rsidR="00E85E7E">
      <w:rPr>
        <w:kern w:val="0"/>
        <w:szCs w:val="21"/>
      </w:rPr>
      <w:fldChar w:fldCharType="end"/>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E85E7E">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end"/>
    </w:r>
  </w:p>
  <w:p w:rsidR="003A4DA3" w:rsidRDefault="003A4DA3">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E85E7E">
    <w:pPr>
      <w:pStyle w:val="a6"/>
      <w:framePr w:wrap="around" w:vAnchor="text" w:hAnchor="margin" w:xAlign="center" w:y="1"/>
      <w:rPr>
        <w:rStyle w:val="a7"/>
      </w:rPr>
    </w:pPr>
    <w:r>
      <w:rPr>
        <w:rStyle w:val="a7"/>
      </w:rPr>
      <w:fldChar w:fldCharType="begin"/>
    </w:r>
    <w:r w:rsidR="003A4DA3">
      <w:rPr>
        <w:rStyle w:val="a7"/>
      </w:rPr>
      <w:instrText xml:space="preserve">PAGE  </w:instrText>
    </w:r>
    <w:r>
      <w:rPr>
        <w:rStyle w:val="a7"/>
      </w:rPr>
      <w:fldChar w:fldCharType="separate"/>
    </w:r>
    <w:r w:rsidR="00FE65D7">
      <w:rPr>
        <w:rStyle w:val="a7"/>
        <w:noProof/>
      </w:rPr>
      <w:t>2</w:t>
    </w:r>
    <w:r>
      <w:rPr>
        <w:rStyle w:val="a7"/>
      </w:rPr>
      <w:fldChar w:fldCharType="end"/>
    </w:r>
  </w:p>
  <w:p w:rsidR="003A4DA3" w:rsidRDefault="003A4DA3">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D81" w:rsidRDefault="00154D81">
      <w:r>
        <w:separator/>
      </w:r>
    </w:p>
  </w:footnote>
  <w:footnote w:type="continuationSeparator" w:id="0">
    <w:p w:rsidR="00154D81" w:rsidRDefault="00154D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DA3" w:rsidRDefault="00D55B61" w:rsidP="00FB572A">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635</wp:posOffset>
          </wp:positionH>
          <wp:positionV relativeFrom="paragraph">
            <wp:posOffset>-340360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intPostScriptOverText/>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1331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42A56"/>
    <w:rsid w:val="0000116E"/>
    <w:rsid w:val="0000403B"/>
    <w:rsid w:val="00005911"/>
    <w:rsid w:val="00010A83"/>
    <w:rsid w:val="00010A8E"/>
    <w:rsid w:val="00010AC3"/>
    <w:rsid w:val="00010CC6"/>
    <w:rsid w:val="00011EB5"/>
    <w:rsid w:val="0001280C"/>
    <w:rsid w:val="000148F1"/>
    <w:rsid w:val="0001536C"/>
    <w:rsid w:val="00017581"/>
    <w:rsid w:val="00020149"/>
    <w:rsid w:val="00020583"/>
    <w:rsid w:val="00021DD4"/>
    <w:rsid w:val="00023BE7"/>
    <w:rsid w:val="00026AAE"/>
    <w:rsid w:val="00037FCF"/>
    <w:rsid w:val="000421B8"/>
    <w:rsid w:val="00043ABF"/>
    <w:rsid w:val="00044045"/>
    <w:rsid w:val="000445E4"/>
    <w:rsid w:val="00046906"/>
    <w:rsid w:val="000510AB"/>
    <w:rsid w:val="00051F39"/>
    <w:rsid w:val="00055190"/>
    <w:rsid w:val="00055AF1"/>
    <w:rsid w:val="00056A75"/>
    <w:rsid w:val="00057DD3"/>
    <w:rsid w:val="000625A6"/>
    <w:rsid w:val="000627CD"/>
    <w:rsid w:val="00062BCE"/>
    <w:rsid w:val="00064AE3"/>
    <w:rsid w:val="00066524"/>
    <w:rsid w:val="00066BC3"/>
    <w:rsid w:val="00070CD1"/>
    <w:rsid w:val="0007171B"/>
    <w:rsid w:val="00074E9F"/>
    <w:rsid w:val="00081D05"/>
    <w:rsid w:val="00085449"/>
    <w:rsid w:val="00087CF7"/>
    <w:rsid w:val="00090B0F"/>
    <w:rsid w:val="00091214"/>
    <w:rsid w:val="00094876"/>
    <w:rsid w:val="00095912"/>
    <w:rsid w:val="00095CE0"/>
    <w:rsid w:val="00096933"/>
    <w:rsid w:val="00097230"/>
    <w:rsid w:val="0009778D"/>
    <w:rsid w:val="000A457E"/>
    <w:rsid w:val="000A53FD"/>
    <w:rsid w:val="000A549A"/>
    <w:rsid w:val="000A72F2"/>
    <w:rsid w:val="000B0C56"/>
    <w:rsid w:val="000B3E43"/>
    <w:rsid w:val="000B5208"/>
    <w:rsid w:val="000B5974"/>
    <w:rsid w:val="000B5CC0"/>
    <w:rsid w:val="000C1723"/>
    <w:rsid w:val="000C1B20"/>
    <w:rsid w:val="000C4107"/>
    <w:rsid w:val="000C45E7"/>
    <w:rsid w:val="000C57A8"/>
    <w:rsid w:val="000D0149"/>
    <w:rsid w:val="000D01F4"/>
    <w:rsid w:val="000D0D4E"/>
    <w:rsid w:val="000D1519"/>
    <w:rsid w:val="000E4456"/>
    <w:rsid w:val="000F175F"/>
    <w:rsid w:val="000F17D1"/>
    <w:rsid w:val="000F60FF"/>
    <w:rsid w:val="000F635F"/>
    <w:rsid w:val="000F6C61"/>
    <w:rsid w:val="001008A1"/>
    <w:rsid w:val="00100C12"/>
    <w:rsid w:val="00102E56"/>
    <w:rsid w:val="001049B6"/>
    <w:rsid w:val="001051C6"/>
    <w:rsid w:val="001078B6"/>
    <w:rsid w:val="0011177A"/>
    <w:rsid w:val="00116E31"/>
    <w:rsid w:val="00120BED"/>
    <w:rsid w:val="0012304E"/>
    <w:rsid w:val="001248EF"/>
    <w:rsid w:val="001257C7"/>
    <w:rsid w:val="00126DDF"/>
    <w:rsid w:val="001270BF"/>
    <w:rsid w:val="00127BAC"/>
    <w:rsid w:val="00134868"/>
    <w:rsid w:val="001366D4"/>
    <w:rsid w:val="00142A56"/>
    <w:rsid w:val="00144DF5"/>
    <w:rsid w:val="00145A97"/>
    <w:rsid w:val="00146485"/>
    <w:rsid w:val="00147338"/>
    <w:rsid w:val="001506B4"/>
    <w:rsid w:val="00150A6E"/>
    <w:rsid w:val="00150AD6"/>
    <w:rsid w:val="00153B40"/>
    <w:rsid w:val="00154ADA"/>
    <w:rsid w:val="00154D81"/>
    <w:rsid w:val="0015531A"/>
    <w:rsid w:val="001600E8"/>
    <w:rsid w:val="00161BBC"/>
    <w:rsid w:val="00163B27"/>
    <w:rsid w:val="00165317"/>
    <w:rsid w:val="00170F80"/>
    <w:rsid w:val="00171BAD"/>
    <w:rsid w:val="001744B4"/>
    <w:rsid w:val="001756A1"/>
    <w:rsid w:val="001761EE"/>
    <w:rsid w:val="0017638D"/>
    <w:rsid w:val="00176EAA"/>
    <w:rsid w:val="0017725A"/>
    <w:rsid w:val="00177C4B"/>
    <w:rsid w:val="00182EF3"/>
    <w:rsid w:val="00182F00"/>
    <w:rsid w:val="0018325A"/>
    <w:rsid w:val="00183C9E"/>
    <w:rsid w:val="00184556"/>
    <w:rsid w:val="00186199"/>
    <w:rsid w:val="001928F7"/>
    <w:rsid w:val="00194537"/>
    <w:rsid w:val="0019563C"/>
    <w:rsid w:val="001A21A9"/>
    <w:rsid w:val="001A363B"/>
    <w:rsid w:val="001A59D8"/>
    <w:rsid w:val="001A5FA6"/>
    <w:rsid w:val="001B2F0C"/>
    <w:rsid w:val="001B64E7"/>
    <w:rsid w:val="001C123E"/>
    <w:rsid w:val="001C37F6"/>
    <w:rsid w:val="001C6288"/>
    <w:rsid w:val="001C7DE9"/>
    <w:rsid w:val="001D0F6A"/>
    <w:rsid w:val="001D21BC"/>
    <w:rsid w:val="001D2FA5"/>
    <w:rsid w:val="001D35E0"/>
    <w:rsid w:val="001D5045"/>
    <w:rsid w:val="001D5A44"/>
    <w:rsid w:val="001D724B"/>
    <w:rsid w:val="001E11D3"/>
    <w:rsid w:val="001E2A6A"/>
    <w:rsid w:val="001E3DC2"/>
    <w:rsid w:val="001E56FF"/>
    <w:rsid w:val="001E5C6B"/>
    <w:rsid w:val="001E6E4D"/>
    <w:rsid w:val="001F03E1"/>
    <w:rsid w:val="001F218E"/>
    <w:rsid w:val="001F3CC6"/>
    <w:rsid w:val="001F40BA"/>
    <w:rsid w:val="001F4530"/>
    <w:rsid w:val="002010DE"/>
    <w:rsid w:val="00202968"/>
    <w:rsid w:val="00202C32"/>
    <w:rsid w:val="00203AEF"/>
    <w:rsid w:val="00210344"/>
    <w:rsid w:val="00211A26"/>
    <w:rsid w:val="002125F7"/>
    <w:rsid w:val="00213171"/>
    <w:rsid w:val="00214463"/>
    <w:rsid w:val="002146DA"/>
    <w:rsid w:val="00214756"/>
    <w:rsid w:val="00215CF2"/>
    <w:rsid w:val="00215E33"/>
    <w:rsid w:val="00220542"/>
    <w:rsid w:val="00220684"/>
    <w:rsid w:val="00221174"/>
    <w:rsid w:val="00225ADC"/>
    <w:rsid w:val="00230732"/>
    <w:rsid w:val="00230A66"/>
    <w:rsid w:val="00230EC2"/>
    <w:rsid w:val="002359EB"/>
    <w:rsid w:val="002363AB"/>
    <w:rsid w:val="0024172D"/>
    <w:rsid w:val="0024260D"/>
    <w:rsid w:val="00243E40"/>
    <w:rsid w:val="00245012"/>
    <w:rsid w:val="0024504E"/>
    <w:rsid w:val="0024651F"/>
    <w:rsid w:val="00250BE3"/>
    <w:rsid w:val="00251290"/>
    <w:rsid w:val="0025158D"/>
    <w:rsid w:val="00251D17"/>
    <w:rsid w:val="0025281A"/>
    <w:rsid w:val="00253D3C"/>
    <w:rsid w:val="0025435F"/>
    <w:rsid w:val="00255292"/>
    <w:rsid w:val="00260200"/>
    <w:rsid w:val="00263563"/>
    <w:rsid w:val="002648D8"/>
    <w:rsid w:val="00270548"/>
    <w:rsid w:val="00272E0C"/>
    <w:rsid w:val="00273F86"/>
    <w:rsid w:val="002752B0"/>
    <w:rsid w:val="002774F0"/>
    <w:rsid w:val="0028459B"/>
    <w:rsid w:val="00284C5F"/>
    <w:rsid w:val="002873F0"/>
    <w:rsid w:val="00292198"/>
    <w:rsid w:val="002964F9"/>
    <w:rsid w:val="002A1F14"/>
    <w:rsid w:val="002A2678"/>
    <w:rsid w:val="002A2E01"/>
    <w:rsid w:val="002A398F"/>
    <w:rsid w:val="002A44F9"/>
    <w:rsid w:val="002A5C6B"/>
    <w:rsid w:val="002A5D31"/>
    <w:rsid w:val="002A714F"/>
    <w:rsid w:val="002B1851"/>
    <w:rsid w:val="002B27FF"/>
    <w:rsid w:val="002B4429"/>
    <w:rsid w:val="002B6793"/>
    <w:rsid w:val="002C1726"/>
    <w:rsid w:val="002C1DF3"/>
    <w:rsid w:val="002C21A6"/>
    <w:rsid w:val="002C26D5"/>
    <w:rsid w:val="002C5777"/>
    <w:rsid w:val="002D1791"/>
    <w:rsid w:val="002D32E3"/>
    <w:rsid w:val="002E0FEB"/>
    <w:rsid w:val="002E1EBA"/>
    <w:rsid w:val="002E45F3"/>
    <w:rsid w:val="002E7966"/>
    <w:rsid w:val="002F0F79"/>
    <w:rsid w:val="002F280E"/>
    <w:rsid w:val="002F3709"/>
    <w:rsid w:val="002F3A6C"/>
    <w:rsid w:val="002F4296"/>
    <w:rsid w:val="00300951"/>
    <w:rsid w:val="003023C9"/>
    <w:rsid w:val="00302CA8"/>
    <w:rsid w:val="00302DE9"/>
    <w:rsid w:val="003041B1"/>
    <w:rsid w:val="00305084"/>
    <w:rsid w:val="00307735"/>
    <w:rsid w:val="003204E9"/>
    <w:rsid w:val="00320DDA"/>
    <w:rsid w:val="00321E8C"/>
    <w:rsid w:val="00322A65"/>
    <w:rsid w:val="00322A86"/>
    <w:rsid w:val="00323AE8"/>
    <w:rsid w:val="00324548"/>
    <w:rsid w:val="003251F4"/>
    <w:rsid w:val="003303E3"/>
    <w:rsid w:val="00331FA4"/>
    <w:rsid w:val="003329EA"/>
    <w:rsid w:val="003407A5"/>
    <w:rsid w:val="00341188"/>
    <w:rsid w:val="0034147B"/>
    <w:rsid w:val="00350238"/>
    <w:rsid w:val="0035109C"/>
    <w:rsid w:val="00351F0A"/>
    <w:rsid w:val="003522AA"/>
    <w:rsid w:val="0035432B"/>
    <w:rsid w:val="00357EB5"/>
    <w:rsid w:val="00361E7E"/>
    <w:rsid w:val="00370AA4"/>
    <w:rsid w:val="003713CA"/>
    <w:rsid w:val="00371FF4"/>
    <w:rsid w:val="00373015"/>
    <w:rsid w:val="00377520"/>
    <w:rsid w:val="00380D36"/>
    <w:rsid w:val="003822D3"/>
    <w:rsid w:val="0038409E"/>
    <w:rsid w:val="00386630"/>
    <w:rsid w:val="00390522"/>
    <w:rsid w:val="00390B25"/>
    <w:rsid w:val="00390C86"/>
    <w:rsid w:val="00397156"/>
    <w:rsid w:val="00397960"/>
    <w:rsid w:val="003A0A5A"/>
    <w:rsid w:val="003A12DE"/>
    <w:rsid w:val="003A3BC4"/>
    <w:rsid w:val="003A458A"/>
    <w:rsid w:val="003A4DA3"/>
    <w:rsid w:val="003B07C8"/>
    <w:rsid w:val="003B2082"/>
    <w:rsid w:val="003B2A2E"/>
    <w:rsid w:val="003B2F13"/>
    <w:rsid w:val="003B405E"/>
    <w:rsid w:val="003B57D3"/>
    <w:rsid w:val="003C1F58"/>
    <w:rsid w:val="003C792F"/>
    <w:rsid w:val="003D124B"/>
    <w:rsid w:val="003D18F3"/>
    <w:rsid w:val="003D4E5A"/>
    <w:rsid w:val="003D5951"/>
    <w:rsid w:val="003D78B5"/>
    <w:rsid w:val="003E1062"/>
    <w:rsid w:val="003E244F"/>
    <w:rsid w:val="003E3AE8"/>
    <w:rsid w:val="003E5D05"/>
    <w:rsid w:val="003E62A6"/>
    <w:rsid w:val="003E695F"/>
    <w:rsid w:val="003E6C9B"/>
    <w:rsid w:val="003E709C"/>
    <w:rsid w:val="003E7B89"/>
    <w:rsid w:val="003F20D3"/>
    <w:rsid w:val="003F3180"/>
    <w:rsid w:val="003F4241"/>
    <w:rsid w:val="003F7C45"/>
    <w:rsid w:val="0040132C"/>
    <w:rsid w:val="00405085"/>
    <w:rsid w:val="004066FC"/>
    <w:rsid w:val="00407C10"/>
    <w:rsid w:val="004113B4"/>
    <w:rsid w:val="00414827"/>
    <w:rsid w:val="00414CF1"/>
    <w:rsid w:val="00416C10"/>
    <w:rsid w:val="004217C8"/>
    <w:rsid w:val="004222C8"/>
    <w:rsid w:val="0042253F"/>
    <w:rsid w:val="00424EF3"/>
    <w:rsid w:val="004268BB"/>
    <w:rsid w:val="00431047"/>
    <w:rsid w:val="004318F0"/>
    <w:rsid w:val="00431B86"/>
    <w:rsid w:val="00431BC5"/>
    <w:rsid w:val="004408EC"/>
    <w:rsid w:val="00441B38"/>
    <w:rsid w:val="00441D14"/>
    <w:rsid w:val="00441E6A"/>
    <w:rsid w:val="00443C8F"/>
    <w:rsid w:val="00452481"/>
    <w:rsid w:val="004542DD"/>
    <w:rsid w:val="00454C9D"/>
    <w:rsid w:val="00456CE0"/>
    <w:rsid w:val="004575E9"/>
    <w:rsid w:val="00457804"/>
    <w:rsid w:val="004646BF"/>
    <w:rsid w:val="00464744"/>
    <w:rsid w:val="00465C86"/>
    <w:rsid w:val="004665E3"/>
    <w:rsid w:val="004731F1"/>
    <w:rsid w:val="0047652F"/>
    <w:rsid w:val="00480BC8"/>
    <w:rsid w:val="00481265"/>
    <w:rsid w:val="004814BF"/>
    <w:rsid w:val="004828AE"/>
    <w:rsid w:val="0048587E"/>
    <w:rsid w:val="00487C2B"/>
    <w:rsid w:val="00491ABD"/>
    <w:rsid w:val="0049297D"/>
    <w:rsid w:val="004929F2"/>
    <w:rsid w:val="00495A03"/>
    <w:rsid w:val="00497079"/>
    <w:rsid w:val="004A040B"/>
    <w:rsid w:val="004A1BBA"/>
    <w:rsid w:val="004A3E3C"/>
    <w:rsid w:val="004A3F71"/>
    <w:rsid w:val="004B0E6D"/>
    <w:rsid w:val="004B16E8"/>
    <w:rsid w:val="004B2326"/>
    <w:rsid w:val="004B6250"/>
    <w:rsid w:val="004B76B1"/>
    <w:rsid w:val="004C0057"/>
    <w:rsid w:val="004C0541"/>
    <w:rsid w:val="004C2C46"/>
    <w:rsid w:val="004C7235"/>
    <w:rsid w:val="004C7955"/>
    <w:rsid w:val="004D047F"/>
    <w:rsid w:val="004D3D96"/>
    <w:rsid w:val="004D650F"/>
    <w:rsid w:val="004E2133"/>
    <w:rsid w:val="004E32E2"/>
    <w:rsid w:val="004E5AB9"/>
    <w:rsid w:val="004E60FB"/>
    <w:rsid w:val="004F779C"/>
    <w:rsid w:val="004F7846"/>
    <w:rsid w:val="005000D4"/>
    <w:rsid w:val="005015FA"/>
    <w:rsid w:val="00505411"/>
    <w:rsid w:val="00510CAF"/>
    <w:rsid w:val="005128C5"/>
    <w:rsid w:val="00514754"/>
    <w:rsid w:val="0051478B"/>
    <w:rsid w:val="0051566A"/>
    <w:rsid w:val="00515D7B"/>
    <w:rsid w:val="005166E9"/>
    <w:rsid w:val="0052009E"/>
    <w:rsid w:val="00523C1F"/>
    <w:rsid w:val="00525E59"/>
    <w:rsid w:val="00530D61"/>
    <w:rsid w:val="005318CC"/>
    <w:rsid w:val="00531D1B"/>
    <w:rsid w:val="005349B1"/>
    <w:rsid w:val="005374BC"/>
    <w:rsid w:val="00537A4E"/>
    <w:rsid w:val="00543188"/>
    <w:rsid w:val="00543367"/>
    <w:rsid w:val="00543BFA"/>
    <w:rsid w:val="00547D9C"/>
    <w:rsid w:val="00547DA1"/>
    <w:rsid w:val="005505E1"/>
    <w:rsid w:val="0055513C"/>
    <w:rsid w:val="00557A54"/>
    <w:rsid w:val="00560C94"/>
    <w:rsid w:val="0056150F"/>
    <w:rsid w:val="0056291C"/>
    <w:rsid w:val="00565A63"/>
    <w:rsid w:val="00566588"/>
    <w:rsid w:val="0057155E"/>
    <w:rsid w:val="0057275D"/>
    <w:rsid w:val="00576862"/>
    <w:rsid w:val="005800A9"/>
    <w:rsid w:val="00580488"/>
    <w:rsid w:val="0058074D"/>
    <w:rsid w:val="00580FD1"/>
    <w:rsid w:val="00582FAD"/>
    <w:rsid w:val="00583489"/>
    <w:rsid w:val="005840E4"/>
    <w:rsid w:val="00590FE4"/>
    <w:rsid w:val="00591D9C"/>
    <w:rsid w:val="00597057"/>
    <w:rsid w:val="00597D8B"/>
    <w:rsid w:val="005A1C30"/>
    <w:rsid w:val="005A229D"/>
    <w:rsid w:val="005A3295"/>
    <w:rsid w:val="005A46FF"/>
    <w:rsid w:val="005A5AE2"/>
    <w:rsid w:val="005B011E"/>
    <w:rsid w:val="005B14F0"/>
    <w:rsid w:val="005B2E84"/>
    <w:rsid w:val="005B7B0E"/>
    <w:rsid w:val="005C526E"/>
    <w:rsid w:val="005C5409"/>
    <w:rsid w:val="005C69AC"/>
    <w:rsid w:val="005C6DCF"/>
    <w:rsid w:val="005C722E"/>
    <w:rsid w:val="005D01A4"/>
    <w:rsid w:val="005D14DE"/>
    <w:rsid w:val="005D44E4"/>
    <w:rsid w:val="005D45B3"/>
    <w:rsid w:val="005D4CEB"/>
    <w:rsid w:val="005E0C14"/>
    <w:rsid w:val="005E1D51"/>
    <w:rsid w:val="005E324A"/>
    <w:rsid w:val="005E7140"/>
    <w:rsid w:val="005F04E6"/>
    <w:rsid w:val="005F43B9"/>
    <w:rsid w:val="005F621F"/>
    <w:rsid w:val="005F68CB"/>
    <w:rsid w:val="005F6A4A"/>
    <w:rsid w:val="006033E3"/>
    <w:rsid w:val="0061321C"/>
    <w:rsid w:val="006159E5"/>
    <w:rsid w:val="00620DB0"/>
    <w:rsid w:val="0062386E"/>
    <w:rsid w:val="00623D9A"/>
    <w:rsid w:val="00623F01"/>
    <w:rsid w:val="006242FB"/>
    <w:rsid w:val="00626E2D"/>
    <w:rsid w:val="00627D94"/>
    <w:rsid w:val="00630B42"/>
    <w:rsid w:val="0063382C"/>
    <w:rsid w:val="00634900"/>
    <w:rsid w:val="00637BA7"/>
    <w:rsid w:val="00642072"/>
    <w:rsid w:val="006440ED"/>
    <w:rsid w:val="00645293"/>
    <w:rsid w:val="00651B78"/>
    <w:rsid w:val="00652263"/>
    <w:rsid w:val="00652881"/>
    <w:rsid w:val="00656A06"/>
    <w:rsid w:val="00657CAF"/>
    <w:rsid w:val="00661974"/>
    <w:rsid w:val="00662F58"/>
    <w:rsid w:val="00664551"/>
    <w:rsid w:val="0066704D"/>
    <w:rsid w:val="006676A0"/>
    <w:rsid w:val="006706B6"/>
    <w:rsid w:val="00670857"/>
    <w:rsid w:val="00671124"/>
    <w:rsid w:val="006727B0"/>
    <w:rsid w:val="0067307E"/>
    <w:rsid w:val="006848C1"/>
    <w:rsid w:val="006868CD"/>
    <w:rsid w:val="00687AD5"/>
    <w:rsid w:val="00691D14"/>
    <w:rsid w:val="00693A72"/>
    <w:rsid w:val="00695251"/>
    <w:rsid w:val="00695296"/>
    <w:rsid w:val="00695ADE"/>
    <w:rsid w:val="00695C0D"/>
    <w:rsid w:val="00696356"/>
    <w:rsid w:val="006A72C6"/>
    <w:rsid w:val="006B02DA"/>
    <w:rsid w:val="006B10DA"/>
    <w:rsid w:val="006B2065"/>
    <w:rsid w:val="006B3940"/>
    <w:rsid w:val="006B5B3E"/>
    <w:rsid w:val="006B7BC0"/>
    <w:rsid w:val="006C168D"/>
    <w:rsid w:val="006C642C"/>
    <w:rsid w:val="006C6FC6"/>
    <w:rsid w:val="006D0E4F"/>
    <w:rsid w:val="006D676F"/>
    <w:rsid w:val="006D7693"/>
    <w:rsid w:val="006E063E"/>
    <w:rsid w:val="006E231B"/>
    <w:rsid w:val="006E346E"/>
    <w:rsid w:val="006E34B7"/>
    <w:rsid w:val="006F103E"/>
    <w:rsid w:val="006F20EC"/>
    <w:rsid w:val="006F4CD8"/>
    <w:rsid w:val="006F53D9"/>
    <w:rsid w:val="007004DC"/>
    <w:rsid w:val="007027B6"/>
    <w:rsid w:val="00703E8A"/>
    <w:rsid w:val="00707FB8"/>
    <w:rsid w:val="0071006D"/>
    <w:rsid w:val="00711522"/>
    <w:rsid w:val="007124FE"/>
    <w:rsid w:val="00713186"/>
    <w:rsid w:val="00713757"/>
    <w:rsid w:val="00716F79"/>
    <w:rsid w:val="00717772"/>
    <w:rsid w:val="00721AF1"/>
    <w:rsid w:val="0072280F"/>
    <w:rsid w:val="00722B5E"/>
    <w:rsid w:val="00723EC0"/>
    <w:rsid w:val="0072708F"/>
    <w:rsid w:val="00727C6C"/>
    <w:rsid w:val="0073150B"/>
    <w:rsid w:val="00732D1D"/>
    <w:rsid w:val="00736034"/>
    <w:rsid w:val="0073681C"/>
    <w:rsid w:val="00740619"/>
    <w:rsid w:val="007411F1"/>
    <w:rsid w:val="00741EBE"/>
    <w:rsid w:val="00742ADF"/>
    <w:rsid w:val="00745829"/>
    <w:rsid w:val="00746130"/>
    <w:rsid w:val="00746A40"/>
    <w:rsid w:val="007479DC"/>
    <w:rsid w:val="00747ABE"/>
    <w:rsid w:val="00750358"/>
    <w:rsid w:val="00755CDF"/>
    <w:rsid w:val="00757A4C"/>
    <w:rsid w:val="007622F6"/>
    <w:rsid w:val="00764A94"/>
    <w:rsid w:val="007651E5"/>
    <w:rsid w:val="007665BF"/>
    <w:rsid w:val="007670DC"/>
    <w:rsid w:val="00767239"/>
    <w:rsid w:val="0077111A"/>
    <w:rsid w:val="00772272"/>
    <w:rsid w:val="00774535"/>
    <w:rsid w:val="007756ED"/>
    <w:rsid w:val="00784EF2"/>
    <w:rsid w:val="007870FC"/>
    <w:rsid w:val="0078729B"/>
    <w:rsid w:val="00787CD0"/>
    <w:rsid w:val="00791053"/>
    <w:rsid w:val="00791A3A"/>
    <w:rsid w:val="00794196"/>
    <w:rsid w:val="007951F3"/>
    <w:rsid w:val="0079671E"/>
    <w:rsid w:val="00797637"/>
    <w:rsid w:val="007A3680"/>
    <w:rsid w:val="007A59B8"/>
    <w:rsid w:val="007A6BEA"/>
    <w:rsid w:val="007B2862"/>
    <w:rsid w:val="007B662A"/>
    <w:rsid w:val="007C6049"/>
    <w:rsid w:val="007C7E22"/>
    <w:rsid w:val="007D1C16"/>
    <w:rsid w:val="007D28C9"/>
    <w:rsid w:val="007D3CC8"/>
    <w:rsid w:val="007D62F9"/>
    <w:rsid w:val="007D63A4"/>
    <w:rsid w:val="007E008D"/>
    <w:rsid w:val="007E1AA2"/>
    <w:rsid w:val="007E1AD0"/>
    <w:rsid w:val="007E312F"/>
    <w:rsid w:val="007E4C1F"/>
    <w:rsid w:val="007E57CD"/>
    <w:rsid w:val="007F0746"/>
    <w:rsid w:val="007F0759"/>
    <w:rsid w:val="007F15C0"/>
    <w:rsid w:val="007F25C0"/>
    <w:rsid w:val="007F35AA"/>
    <w:rsid w:val="007F47E2"/>
    <w:rsid w:val="007F523A"/>
    <w:rsid w:val="007F5F52"/>
    <w:rsid w:val="007F77C6"/>
    <w:rsid w:val="008003A1"/>
    <w:rsid w:val="008006B7"/>
    <w:rsid w:val="00800FDB"/>
    <w:rsid w:val="0080159F"/>
    <w:rsid w:val="00802081"/>
    <w:rsid w:val="008034CF"/>
    <w:rsid w:val="00804533"/>
    <w:rsid w:val="00806461"/>
    <w:rsid w:val="0081096D"/>
    <w:rsid w:val="00810EAD"/>
    <w:rsid w:val="00811833"/>
    <w:rsid w:val="008174D4"/>
    <w:rsid w:val="00820FE6"/>
    <w:rsid w:val="00821985"/>
    <w:rsid w:val="00821A66"/>
    <w:rsid w:val="00822476"/>
    <w:rsid w:val="00822882"/>
    <w:rsid w:val="00824200"/>
    <w:rsid w:val="00825D22"/>
    <w:rsid w:val="00825F68"/>
    <w:rsid w:val="00827CB9"/>
    <w:rsid w:val="008305BF"/>
    <w:rsid w:val="00832748"/>
    <w:rsid w:val="00835408"/>
    <w:rsid w:val="008359DA"/>
    <w:rsid w:val="00836D2A"/>
    <w:rsid w:val="00837CEF"/>
    <w:rsid w:val="00840035"/>
    <w:rsid w:val="00840220"/>
    <w:rsid w:val="00840677"/>
    <w:rsid w:val="008428A9"/>
    <w:rsid w:val="00844112"/>
    <w:rsid w:val="008456C9"/>
    <w:rsid w:val="0084611D"/>
    <w:rsid w:val="00850C62"/>
    <w:rsid w:val="00854463"/>
    <w:rsid w:val="00863011"/>
    <w:rsid w:val="0086312D"/>
    <w:rsid w:val="00863392"/>
    <w:rsid w:val="00865075"/>
    <w:rsid w:val="0086734C"/>
    <w:rsid w:val="0086748F"/>
    <w:rsid w:val="00872CE4"/>
    <w:rsid w:val="00874F4B"/>
    <w:rsid w:val="0087539B"/>
    <w:rsid w:val="00877B62"/>
    <w:rsid w:val="00881015"/>
    <w:rsid w:val="008810B0"/>
    <w:rsid w:val="008819B6"/>
    <w:rsid w:val="00881AAC"/>
    <w:rsid w:val="0088314B"/>
    <w:rsid w:val="008831C4"/>
    <w:rsid w:val="008836B7"/>
    <w:rsid w:val="008841D3"/>
    <w:rsid w:val="00884434"/>
    <w:rsid w:val="00886036"/>
    <w:rsid w:val="00887DE6"/>
    <w:rsid w:val="00894C2A"/>
    <w:rsid w:val="00894DE3"/>
    <w:rsid w:val="008976CB"/>
    <w:rsid w:val="00897708"/>
    <w:rsid w:val="00897D88"/>
    <w:rsid w:val="008A2F16"/>
    <w:rsid w:val="008A4909"/>
    <w:rsid w:val="008B11E0"/>
    <w:rsid w:val="008B1773"/>
    <w:rsid w:val="008B1823"/>
    <w:rsid w:val="008B65CD"/>
    <w:rsid w:val="008B6E16"/>
    <w:rsid w:val="008B7110"/>
    <w:rsid w:val="008C2029"/>
    <w:rsid w:val="008C3990"/>
    <w:rsid w:val="008C61D6"/>
    <w:rsid w:val="008C64F1"/>
    <w:rsid w:val="008D1BB0"/>
    <w:rsid w:val="008D20FF"/>
    <w:rsid w:val="008D3DE6"/>
    <w:rsid w:val="008D4223"/>
    <w:rsid w:val="008D44CC"/>
    <w:rsid w:val="008D46E3"/>
    <w:rsid w:val="008D6709"/>
    <w:rsid w:val="008D671F"/>
    <w:rsid w:val="008E083A"/>
    <w:rsid w:val="008E0E7C"/>
    <w:rsid w:val="008E2450"/>
    <w:rsid w:val="008E6497"/>
    <w:rsid w:val="008E7896"/>
    <w:rsid w:val="008F2477"/>
    <w:rsid w:val="00900DD1"/>
    <w:rsid w:val="009010F0"/>
    <w:rsid w:val="00901162"/>
    <w:rsid w:val="0090223A"/>
    <w:rsid w:val="009028E2"/>
    <w:rsid w:val="009055EC"/>
    <w:rsid w:val="009100C0"/>
    <w:rsid w:val="0091247B"/>
    <w:rsid w:val="0091320A"/>
    <w:rsid w:val="00914EAB"/>
    <w:rsid w:val="00922D49"/>
    <w:rsid w:val="009259CF"/>
    <w:rsid w:val="00925E37"/>
    <w:rsid w:val="00925EDD"/>
    <w:rsid w:val="00927D0E"/>
    <w:rsid w:val="009309DA"/>
    <w:rsid w:val="00936688"/>
    <w:rsid w:val="00937CFA"/>
    <w:rsid w:val="009406B3"/>
    <w:rsid w:val="00945CF5"/>
    <w:rsid w:val="009500A1"/>
    <w:rsid w:val="0095037E"/>
    <w:rsid w:val="00952AAD"/>
    <w:rsid w:val="00952F4F"/>
    <w:rsid w:val="00954567"/>
    <w:rsid w:val="009547A9"/>
    <w:rsid w:val="00957466"/>
    <w:rsid w:val="0096260B"/>
    <w:rsid w:val="00963F05"/>
    <w:rsid w:val="00965469"/>
    <w:rsid w:val="009664D5"/>
    <w:rsid w:val="00970C69"/>
    <w:rsid w:val="00971F1C"/>
    <w:rsid w:val="0097211D"/>
    <w:rsid w:val="00972E10"/>
    <w:rsid w:val="009746CA"/>
    <w:rsid w:val="0097608D"/>
    <w:rsid w:val="0097659D"/>
    <w:rsid w:val="0097692D"/>
    <w:rsid w:val="00981963"/>
    <w:rsid w:val="00983C82"/>
    <w:rsid w:val="00983D29"/>
    <w:rsid w:val="00983E6E"/>
    <w:rsid w:val="00984520"/>
    <w:rsid w:val="0098545C"/>
    <w:rsid w:val="00990AAA"/>
    <w:rsid w:val="00992BA2"/>
    <w:rsid w:val="00992F83"/>
    <w:rsid w:val="0099508A"/>
    <w:rsid w:val="00997231"/>
    <w:rsid w:val="009974EB"/>
    <w:rsid w:val="009A1126"/>
    <w:rsid w:val="009A5029"/>
    <w:rsid w:val="009A63AC"/>
    <w:rsid w:val="009B1584"/>
    <w:rsid w:val="009B1B32"/>
    <w:rsid w:val="009B21CA"/>
    <w:rsid w:val="009B2648"/>
    <w:rsid w:val="009C03E5"/>
    <w:rsid w:val="009C0C11"/>
    <w:rsid w:val="009C3730"/>
    <w:rsid w:val="009C37BD"/>
    <w:rsid w:val="009C3AAC"/>
    <w:rsid w:val="009C4D19"/>
    <w:rsid w:val="009C5FDB"/>
    <w:rsid w:val="009C6493"/>
    <w:rsid w:val="009C693E"/>
    <w:rsid w:val="009C70CB"/>
    <w:rsid w:val="009D0628"/>
    <w:rsid w:val="009D1EA4"/>
    <w:rsid w:val="009D27AA"/>
    <w:rsid w:val="009D2D8B"/>
    <w:rsid w:val="009D38BA"/>
    <w:rsid w:val="009D4991"/>
    <w:rsid w:val="009D5BB5"/>
    <w:rsid w:val="009D696D"/>
    <w:rsid w:val="009D6ED2"/>
    <w:rsid w:val="009E0F1A"/>
    <w:rsid w:val="009E140D"/>
    <w:rsid w:val="009E41E9"/>
    <w:rsid w:val="009E4465"/>
    <w:rsid w:val="009E6401"/>
    <w:rsid w:val="009E6C54"/>
    <w:rsid w:val="009F2261"/>
    <w:rsid w:val="009F2A25"/>
    <w:rsid w:val="009F3EB4"/>
    <w:rsid w:val="009F5235"/>
    <w:rsid w:val="009F531A"/>
    <w:rsid w:val="009F6550"/>
    <w:rsid w:val="009F786E"/>
    <w:rsid w:val="00A008DA"/>
    <w:rsid w:val="00A00902"/>
    <w:rsid w:val="00A039FF"/>
    <w:rsid w:val="00A05ACE"/>
    <w:rsid w:val="00A078CB"/>
    <w:rsid w:val="00A14AE3"/>
    <w:rsid w:val="00A16675"/>
    <w:rsid w:val="00A22CD6"/>
    <w:rsid w:val="00A234EC"/>
    <w:rsid w:val="00A2417A"/>
    <w:rsid w:val="00A2610D"/>
    <w:rsid w:val="00A26668"/>
    <w:rsid w:val="00A27804"/>
    <w:rsid w:val="00A36822"/>
    <w:rsid w:val="00A36AB5"/>
    <w:rsid w:val="00A37A23"/>
    <w:rsid w:val="00A411D1"/>
    <w:rsid w:val="00A43389"/>
    <w:rsid w:val="00A43E71"/>
    <w:rsid w:val="00A45753"/>
    <w:rsid w:val="00A47B15"/>
    <w:rsid w:val="00A52F84"/>
    <w:rsid w:val="00A5533F"/>
    <w:rsid w:val="00A56B05"/>
    <w:rsid w:val="00A57678"/>
    <w:rsid w:val="00A60E2F"/>
    <w:rsid w:val="00A63284"/>
    <w:rsid w:val="00A64CB8"/>
    <w:rsid w:val="00A67018"/>
    <w:rsid w:val="00A672F3"/>
    <w:rsid w:val="00A673DC"/>
    <w:rsid w:val="00A7076E"/>
    <w:rsid w:val="00A709BE"/>
    <w:rsid w:val="00A7162E"/>
    <w:rsid w:val="00A7195A"/>
    <w:rsid w:val="00A72D71"/>
    <w:rsid w:val="00A75705"/>
    <w:rsid w:val="00A77C69"/>
    <w:rsid w:val="00A83953"/>
    <w:rsid w:val="00A83A77"/>
    <w:rsid w:val="00A85AF5"/>
    <w:rsid w:val="00A903B6"/>
    <w:rsid w:val="00A90F4F"/>
    <w:rsid w:val="00A92E44"/>
    <w:rsid w:val="00A9418A"/>
    <w:rsid w:val="00A947AA"/>
    <w:rsid w:val="00AA1B53"/>
    <w:rsid w:val="00AA3556"/>
    <w:rsid w:val="00AA35FD"/>
    <w:rsid w:val="00AA3DB7"/>
    <w:rsid w:val="00AB0340"/>
    <w:rsid w:val="00AB3012"/>
    <w:rsid w:val="00AB321C"/>
    <w:rsid w:val="00AB3450"/>
    <w:rsid w:val="00AB5B99"/>
    <w:rsid w:val="00AB688F"/>
    <w:rsid w:val="00AB75EA"/>
    <w:rsid w:val="00AB7AA2"/>
    <w:rsid w:val="00AC4BC1"/>
    <w:rsid w:val="00AD04BD"/>
    <w:rsid w:val="00AD1C72"/>
    <w:rsid w:val="00AD25F6"/>
    <w:rsid w:val="00AD7214"/>
    <w:rsid w:val="00AE1066"/>
    <w:rsid w:val="00AE4518"/>
    <w:rsid w:val="00AE5D7F"/>
    <w:rsid w:val="00AE79F0"/>
    <w:rsid w:val="00AF3350"/>
    <w:rsid w:val="00AF4305"/>
    <w:rsid w:val="00AF5585"/>
    <w:rsid w:val="00AF6EC1"/>
    <w:rsid w:val="00B00331"/>
    <w:rsid w:val="00B01A80"/>
    <w:rsid w:val="00B07C27"/>
    <w:rsid w:val="00B10017"/>
    <w:rsid w:val="00B10DE1"/>
    <w:rsid w:val="00B10FF8"/>
    <w:rsid w:val="00B11A5B"/>
    <w:rsid w:val="00B203C4"/>
    <w:rsid w:val="00B20A27"/>
    <w:rsid w:val="00B22E81"/>
    <w:rsid w:val="00B23996"/>
    <w:rsid w:val="00B23CB2"/>
    <w:rsid w:val="00B24946"/>
    <w:rsid w:val="00B2561A"/>
    <w:rsid w:val="00B25A64"/>
    <w:rsid w:val="00B25CAD"/>
    <w:rsid w:val="00B306AA"/>
    <w:rsid w:val="00B32AB3"/>
    <w:rsid w:val="00B34E7C"/>
    <w:rsid w:val="00B368EA"/>
    <w:rsid w:val="00B37EEF"/>
    <w:rsid w:val="00B424F8"/>
    <w:rsid w:val="00B46E00"/>
    <w:rsid w:val="00B54370"/>
    <w:rsid w:val="00B55185"/>
    <w:rsid w:val="00B61923"/>
    <w:rsid w:val="00B621D6"/>
    <w:rsid w:val="00B63EF5"/>
    <w:rsid w:val="00B65D6F"/>
    <w:rsid w:val="00B67C23"/>
    <w:rsid w:val="00B70DC7"/>
    <w:rsid w:val="00B715FD"/>
    <w:rsid w:val="00B73042"/>
    <w:rsid w:val="00B74BB9"/>
    <w:rsid w:val="00B75283"/>
    <w:rsid w:val="00B75735"/>
    <w:rsid w:val="00B77142"/>
    <w:rsid w:val="00B80A2C"/>
    <w:rsid w:val="00B81F60"/>
    <w:rsid w:val="00B841AC"/>
    <w:rsid w:val="00B843ED"/>
    <w:rsid w:val="00B865B0"/>
    <w:rsid w:val="00B90497"/>
    <w:rsid w:val="00B90780"/>
    <w:rsid w:val="00B91F9C"/>
    <w:rsid w:val="00B9240D"/>
    <w:rsid w:val="00B97681"/>
    <w:rsid w:val="00BA08A9"/>
    <w:rsid w:val="00BA22A8"/>
    <w:rsid w:val="00BA3E48"/>
    <w:rsid w:val="00BA4BD3"/>
    <w:rsid w:val="00BB0187"/>
    <w:rsid w:val="00BB1EB3"/>
    <w:rsid w:val="00BB2678"/>
    <w:rsid w:val="00BC013A"/>
    <w:rsid w:val="00BC1F94"/>
    <w:rsid w:val="00BC2343"/>
    <w:rsid w:val="00BC41FB"/>
    <w:rsid w:val="00BD30C8"/>
    <w:rsid w:val="00BD3EB4"/>
    <w:rsid w:val="00BD5C65"/>
    <w:rsid w:val="00BD71EE"/>
    <w:rsid w:val="00BE6018"/>
    <w:rsid w:val="00BF1F57"/>
    <w:rsid w:val="00BF4086"/>
    <w:rsid w:val="00BF426C"/>
    <w:rsid w:val="00BF58D0"/>
    <w:rsid w:val="00BF7D6A"/>
    <w:rsid w:val="00C013E1"/>
    <w:rsid w:val="00C01611"/>
    <w:rsid w:val="00C02D59"/>
    <w:rsid w:val="00C030B6"/>
    <w:rsid w:val="00C03284"/>
    <w:rsid w:val="00C050D7"/>
    <w:rsid w:val="00C05B5F"/>
    <w:rsid w:val="00C06911"/>
    <w:rsid w:val="00C104CC"/>
    <w:rsid w:val="00C12898"/>
    <w:rsid w:val="00C136F5"/>
    <w:rsid w:val="00C14D56"/>
    <w:rsid w:val="00C152FE"/>
    <w:rsid w:val="00C16739"/>
    <w:rsid w:val="00C22C7D"/>
    <w:rsid w:val="00C22CCE"/>
    <w:rsid w:val="00C231D6"/>
    <w:rsid w:val="00C23BA2"/>
    <w:rsid w:val="00C272C4"/>
    <w:rsid w:val="00C31C12"/>
    <w:rsid w:val="00C32AF2"/>
    <w:rsid w:val="00C331A9"/>
    <w:rsid w:val="00C33204"/>
    <w:rsid w:val="00C338EB"/>
    <w:rsid w:val="00C3465D"/>
    <w:rsid w:val="00C35643"/>
    <w:rsid w:val="00C379E9"/>
    <w:rsid w:val="00C4274D"/>
    <w:rsid w:val="00C439FB"/>
    <w:rsid w:val="00C43F23"/>
    <w:rsid w:val="00C50011"/>
    <w:rsid w:val="00C52CA1"/>
    <w:rsid w:val="00C645E6"/>
    <w:rsid w:val="00C64D82"/>
    <w:rsid w:val="00C64FBC"/>
    <w:rsid w:val="00C65A83"/>
    <w:rsid w:val="00C724F2"/>
    <w:rsid w:val="00C72C6F"/>
    <w:rsid w:val="00C75057"/>
    <w:rsid w:val="00C80F23"/>
    <w:rsid w:val="00C81151"/>
    <w:rsid w:val="00C81EFA"/>
    <w:rsid w:val="00C82CC6"/>
    <w:rsid w:val="00C850A3"/>
    <w:rsid w:val="00C85C32"/>
    <w:rsid w:val="00C87568"/>
    <w:rsid w:val="00C90DB6"/>
    <w:rsid w:val="00C9394F"/>
    <w:rsid w:val="00C93B1A"/>
    <w:rsid w:val="00C96A3F"/>
    <w:rsid w:val="00C96F5F"/>
    <w:rsid w:val="00CA5927"/>
    <w:rsid w:val="00CA79EC"/>
    <w:rsid w:val="00CB39C2"/>
    <w:rsid w:val="00CB4664"/>
    <w:rsid w:val="00CB4C8C"/>
    <w:rsid w:val="00CB6782"/>
    <w:rsid w:val="00CC080A"/>
    <w:rsid w:val="00CC0994"/>
    <w:rsid w:val="00CD0AAD"/>
    <w:rsid w:val="00CD6177"/>
    <w:rsid w:val="00CE182E"/>
    <w:rsid w:val="00CE2DE4"/>
    <w:rsid w:val="00CE2E79"/>
    <w:rsid w:val="00CE5277"/>
    <w:rsid w:val="00CE6358"/>
    <w:rsid w:val="00CF2D54"/>
    <w:rsid w:val="00CF592C"/>
    <w:rsid w:val="00CF6AD7"/>
    <w:rsid w:val="00CF7B8C"/>
    <w:rsid w:val="00D03538"/>
    <w:rsid w:val="00D049B8"/>
    <w:rsid w:val="00D0516C"/>
    <w:rsid w:val="00D05EE7"/>
    <w:rsid w:val="00D068D0"/>
    <w:rsid w:val="00D078D1"/>
    <w:rsid w:val="00D129A8"/>
    <w:rsid w:val="00D12FB9"/>
    <w:rsid w:val="00D13FE2"/>
    <w:rsid w:val="00D200BD"/>
    <w:rsid w:val="00D22399"/>
    <w:rsid w:val="00D33751"/>
    <w:rsid w:val="00D33924"/>
    <w:rsid w:val="00D34559"/>
    <w:rsid w:val="00D36F6E"/>
    <w:rsid w:val="00D3705B"/>
    <w:rsid w:val="00D37343"/>
    <w:rsid w:val="00D4205E"/>
    <w:rsid w:val="00D43EDF"/>
    <w:rsid w:val="00D45DB6"/>
    <w:rsid w:val="00D5574C"/>
    <w:rsid w:val="00D55B61"/>
    <w:rsid w:val="00D604CE"/>
    <w:rsid w:val="00D61982"/>
    <w:rsid w:val="00D6267A"/>
    <w:rsid w:val="00D67D12"/>
    <w:rsid w:val="00D7585A"/>
    <w:rsid w:val="00D77B06"/>
    <w:rsid w:val="00D80618"/>
    <w:rsid w:val="00D82494"/>
    <w:rsid w:val="00D84A4B"/>
    <w:rsid w:val="00D92168"/>
    <w:rsid w:val="00D940B5"/>
    <w:rsid w:val="00D95CB0"/>
    <w:rsid w:val="00D977C0"/>
    <w:rsid w:val="00DA00A3"/>
    <w:rsid w:val="00DA13F3"/>
    <w:rsid w:val="00DA23C3"/>
    <w:rsid w:val="00DA2DE3"/>
    <w:rsid w:val="00DA7146"/>
    <w:rsid w:val="00DA716A"/>
    <w:rsid w:val="00DB1F4F"/>
    <w:rsid w:val="00DB37EE"/>
    <w:rsid w:val="00DB4450"/>
    <w:rsid w:val="00DB7B69"/>
    <w:rsid w:val="00DC234A"/>
    <w:rsid w:val="00DC27AD"/>
    <w:rsid w:val="00DC41E4"/>
    <w:rsid w:val="00DC5116"/>
    <w:rsid w:val="00DC7C77"/>
    <w:rsid w:val="00DD2417"/>
    <w:rsid w:val="00DD47BB"/>
    <w:rsid w:val="00DD7251"/>
    <w:rsid w:val="00DD7EA2"/>
    <w:rsid w:val="00DE00F2"/>
    <w:rsid w:val="00DE117F"/>
    <w:rsid w:val="00DE401C"/>
    <w:rsid w:val="00DF22DF"/>
    <w:rsid w:val="00DF63FA"/>
    <w:rsid w:val="00DF7589"/>
    <w:rsid w:val="00E00A1C"/>
    <w:rsid w:val="00E012CC"/>
    <w:rsid w:val="00E02818"/>
    <w:rsid w:val="00E02B71"/>
    <w:rsid w:val="00E02DEB"/>
    <w:rsid w:val="00E042A1"/>
    <w:rsid w:val="00E05A9C"/>
    <w:rsid w:val="00E067FB"/>
    <w:rsid w:val="00E104FA"/>
    <w:rsid w:val="00E1082A"/>
    <w:rsid w:val="00E11166"/>
    <w:rsid w:val="00E13182"/>
    <w:rsid w:val="00E15383"/>
    <w:rsid w:val="00E1738C"/>
    <w:rsid w:val="00E210DA"/>
    <w:rsid w:val="00E22D28"/>
    <w:rsid w:val="00E230E3"/>
    <w:rsid w:val="00E27A14"/>
    <w:rsid w:val="00E30EDF"/>
    <w:rsid w:val="00E30F3C"/>
    <w:rsid w:val="00E31EC2"/>
    <w:rsid w:val="00E31FBA"/>
    <w:rsid w:val="00E34042"/>
    <w:rsid w:val="00E34CDF"/>
    <w:rsid w:val="00E36AAE"/>
    <w:rsid w:val="00E41773"/>
    <w:rsid w:val="00E428DD"/>
    <w:rsid w:val="00E477F6"/>
    <w:rsid w:val="00E50841"/>
    <w:rsid w:val="00E513F6"/>
    <w:rsid w:val="00E52F3B"/>
    <w:rsid w:val="00E53A45"/>
    <w:rsid w:val="00E53D94"/>
    <w:rsid w:val="00E53DEA"/>
    <w:rsid w:val="00E548E9"/>
    <w:rsid w:val="00E553CC"/>
    <w:rsid w:val="00E55667"/>
    <w:rsid w:val="00E57068"/>
    <w:rsid w:val="00E616DB"/>
    <w:rsid w:val="00E627A4"/>
    <w:rsid w:val="00E630ED"/>
    <w:rsid w:val="00E722B7"/>
    <w:rsid w:val="00E74EC5"/>
    <w:rsid w:val="00E75FDC"/>
    <w:rsid w:val="00E76B86"/>
    <w:rsid w:val="00E8342F"/>
    <w:rsid w:val="00E847A7"/>
    <w:rsid w:val="00E85E7E"/>
    <w:rsid w:val="00E85F25"/>
    <w:rsid w:val="00E86E79"/>
    <w:rsid w:val="00E906B4"/>
    <w:rsid w:val="00E9095B"/>
    <w:rsid w:val="00E926B8"/>
    <w:rsid w:val="00E9399B"/>
    <w:rsid w:val="00E94008"/>
    <w:rsid w:val="00E94762"/>
    <w:rsid w:val="00E9588D"/>
    <w:rsid w:val="00E95CDA"/>
    <w:rsid w:val="00E96B52"/>
    <w:rsid w:val="00EA2244"/>
    <w:rsid w:val="00EA5D6D"/>
    <w:rsid w:val="00EA6FA7"/>
    <w:rsid w:val="00EB067F"/>
    <w:rsid w:val="00EB0BF5"/>
    <w:rsid w:val="00EB1F02"/>
    <w:rsid w:val="00EB3E72"/>
    <w:rsid w:val="00EB5BC5"/>
    <w:rsid w:val="00EC086C"/>
    <w:rsid w:val="00EC42D0"/>
    <w:rsid w:val="00EC58C8"/>
    <w:rsid w:val="00EC638F"/>
    <w:rsid w:val="00EC64D3"/>
    <w:rsid w:val="00ED0183"/>
    <w:rsid w:val="00ED48AC"/>
    <w:rsid w:val="00EE01D9"/>
    <w:rsid w:val="00EE224C"/>
    <w:rsid w:val="00EE26F3"/>
    <w:rsid w:val="00EE4874"/>
    <w:rsid w:val="00EE53E7"/>
    <w:rsid w:val="00EE79A6"/>
    <w:rsid w:val="00EF03C6"/>
    <w:rsid w:val="00EF6111"/>
    <w:rsid w:val="00EF698A"/>
    <w:rsid w:val="00F005A0"/>
    <w:rsid w:val="00F006CC"/>
    <w:rsid w:val="00F05EAD"/>
    <w:rsid w:val="00F06616"/>
    <w:rsid w:val="00F11352"/>
    <w:rsid w:val="00F1498D"/>
    <w:rsid w:val="00F14DDF"/>
    <w:rsid w:val="00F152AD"/>
    <w:rsid w:val="00F2285F"/>
    <w:rsid w:val="00F23155"/>
    <w:rsid w:val="00F24236"/>
    <w:rsid w:val="00F24E0E"/>
    <w:rsid w:val="00F26693"/>
    <w:rsid w:val="00F27C38"/>
    <w:rsid w:val="00F36130"/>
    <w:rsid w:val="00F40444"/>
    <w:rsid w:val="00F423BD"/>
    <w:rsid w:val="00F432FF"/>
    <w:rsid w:val="00F43D24"/>
    <w:rsid w:val="00F46DF9"/>
    <w:rsid w:val="00F4715C"/>
    <w:rsid w:val="00F54869"/>
    <w:rsid w:val="00F556B2"/>
    <w:rsid w:val="00F5754B"/>
    <w:rsid w:val="00F576DE"/>
    <w:rsid w:val="00F63BF7"/>
    <w:rsid w:val="00F65617"/>
    <w:rsid w:val="00F65D71"/>
    <w:rsid w:val="00F70112"/>
    <w:rsid w:val="00F710BE"/>
    <w:rsid w:val="00F723B1"/>
    <w:rsid w:val="00F736D2"/>
    <w:rsid w:val="00F7564C"/>
    <w:rsid w:val="00F76220"/>
    <w:rsid w:val="00F769BE"/>
    <w:rsid w:val="00F81C33"/>
    <w:rsid w:val="00F821AB"/>
    <w:rsid w:val="00F82A1D"/>
    <w:rsid w:val="00F82E6B"/>
    <w:rsid w:val="00F91F6D"/>
    <w:rsid w:val="00F966DC"/>
    <w:rsid w:val="00F97B71"/>
    <w:rsid w:val="00FA2DDA"/>
    <w:rsid w:val="00FA34CA"/>
    <w:rsid w:val="00FA4A55"/>
    <w:rsid w:val="00FA4D4F"/>
    <w:rsid w:val="00FA54E8"/>
    <w:rsid w:val="00FA7193"/>
    <w:rsid w:val="00FA7910"/>
    <w:rsid w:val="00FB2D17"/>
    <w:rsid w:val="00FB2F69"/>
    <w:rsid w:val="00FB368B"/>
    <w:rsid w:val="00FB45FF"/>
    <w:rsid w:val="00FB572A"/>
    <w:rsid w:val="00FB5D97"/>
    <w:rsid w:val="00FB60BE"/>
    <w:rsid w:val="00FC1CA5"/>
    <w:rsid w:val="00FC219C"/>
    <w:rsid w:val="00FC2979"/>
    <w:rsid w:val="00FD1C3C"/>
    <w:rsid w:val="00FD1E02"/>
    <w:rsid w:val="00FD38A8"/>
    <w:rsid w:val="00FD6AC8"/>
    <w:rsid w:val="00FE3EA1"/>
    <w:rsid w:val="00FE4818"/>
    <w:rsid w:val="00FE5D80"/>
    <w:rsid w:val="00FE65D7"/>
    <w:rsid w:val="00FE67F1"/>
    <w:rsid w:val="00FF1577"/>
    <w:rsid w:val="00FF3515"/>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13313"/>
    <o:shapelayout v:ext="edit">
      <o:idmap v:ext="edit" data="1"/>
    </o:shapelayout>
  </w:shapeDefaults>
  <w:decimalSymbol w:val="."/>
  <w:listSeparator w:val=","/>
  <w15:docId w15:val="{C4A4D2CB-5172-4FBE-A875-6DCD7C4F0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FD1E02"/>
    <w:pPr>
      <w:keepNext/>
      <w:keepLines/>
      <w:spacing w:before="340" w:after="330" w:line="578" w:lineRule="auto"/>
      <w:outlineLvl w:val="0"/>
    </w:pPr>
    <w:rPr>
      <w:b/>
      <w:bCs/>
      <w:kern w:val="44"/>
      <w:sz w:val="44"/>
      <w:szCs w:val="44"/>
    </w:rPr>
  </w:style>
  <w:style w:type="paragraph" w:styleId="2">
    <w:name w:val="heading 2"/>
    <w:basedOn w:val="a"/>
    <w:next w:val="a0"/>
    <w:qFormat/>
    <w:rsid w:val="00C1289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C12898"/>
    <w:pPr>
      <w:ind w:firstLineChars="200" w:firstLine="420"/>
    </w:pPr>
  </w:style>
  <w:style w:type="paragraph" w:styleId="a4">
    <w:name w:val="Body Text Indent"/>
    <w:basedOn w:val="a"/>
    <w:rsid w:val="00C1289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C12898"/>
    <w:rPr>
      <w:rFonts w:ascii="宋体" w:hAnsi="Courier New"/>
      <w:szCs w:val="21"/>
    </w:rPr>
  </w:style>
  <w:style w:type="paragraph" w:styleId="20">
    <w:name w:val="Body Text Indent 2"/>
    <w:basedOn w:val="a"/>
    <w:rsid w:val="00C12898"/>
    <w:pPr>
      <w:spacing w:line="560" w:lineRule="exact"/>
      <w:ind w:firstLineChars="200" w:firstLine="480"/>
    </w:pPr>
    <w:rPr>
      <w:rFonts w:ascii="宋体" w:hAnsi="宋体"/>
      <w:color w:val="FF0000"/>
      <w:sz w:val="24"/>
    </w:rPr>
  </w:style>
  <w:style w:type="paragraph" w:styleId="a6">
    <w:name w:val="footer"/>
    <w:basedOn w:val="a"/>
    <w:rsid w:val="00C12898"/>
    <w:pPr>
      <w:tabs>
        <w:tab w:val="center" w:pos="4153"/>
        <w:tab w:val="right" w:pos="8306"/>
      </w:tabs>
      <w:snapToGrid w:val="0"/>
      <w:jc w:val="left"/>
    </w:pPr>
    <w:rPr>
      <w:sz w:val="18"/>
      <w:szCs w:val="18"/>
    </w:rPr>
  </w:style>
  <w:style w:type="character" w:styleId="a7">
    <w:name w:val="page number"/>
    <w:basedOn w:val="a1"/>
    <w:rsid w:val="00C12898"/>
  </w:style>
  <w:style w:type="character" w:styleId="a8">
    <w:name w:val="Hyperlink"/>
    <w:basedOn w:val="a1"/>
    <w:rsid w:val="00C12898"/>
    <w:rPr>
      <w:color w:val="0000FF"/>
      <w:u w:val="single"/>
    </w:rPr>
  </w:style>
  <w:style w:type="paragraph" w:styleId="3">
    <w:name w:val="Body Text Indent 3"/>
    <w:basedOn w:val="a"/>
    <w:rsid w:val="00C12898"/>
    <w:pPr>
      <w:spacing w:line="560" w:lineRule="exact"/>
      <w:ind w:firstLineChars="200" w:firstLine="420"/>
    </w:pPr>
    <w:rPr>
      <w:rFonts w:ascii="Arial" w:hAnsi="Arial" w:cs="Arial"/>
      <w:color w:val="FF0000"/>
    </w:rPr>
  </w:style>
  <w:style w:type="paragraph" w:styleId="a9">
    <w:name w:val="header"/>
    <w:basedOn w:val="a"/>
    <w:link w:val="Char0"/>
    <w:uiPriority w:val="99"/>
    <w:rsid w:val="00C12898"/>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C12898"/>
    <w:rPr>
      <w:color w:val="800080"/>
      <w:u w:val="single"/>
    </w:rPr>
  </w:style>
  <w:style w:type="paragraph" w:styleId="ab">
    <w:name w:val="List"/>
    <w:basedOn w:val="ac"/>
    <w:rsid w:val="00C12898"/>
    <w:pPr>
      <w:spacing w:after="220" w:line="220" w:lineRule="atLeast"/>
      <w:ind w:left="1440" w:hanging="360"/>
    </w:pPr>
    <w:rPr>
      <w:szCs w:val="20"/>
    </w:rPr>
  </w:style>
  <w:style w:type="paragraph" w:styleId="ac">
    <w:name w:val="Body Text"/>
    <w:basedOn w:val="a"/>
    <w:rsid w:val="00C12898"/>
    <w:pPr>
      <w:spacing w:after="120"/>
    </w:pPr>
  </w:style>
  <w:style w:type="paragraph" w:styleId="ad">
    <w:name w:val="Date"/>
    <w:basedOn w:val="a"/>
    <w:next w:val="a"/>
    <w:link w:val="Char1"/>
    <w:rsid w:val="00C12898"/>
    <w:rPr>
      <w:sz w:val="24"/>
      <w:szCs w:val="20"/>
    </w:rPr>
  </w:style>
  <w:style w:type="character" w:customStyle="1" w:styleId="c1">
    <w:name w:val="c1"/>
    <w:basedOn w:val="a1"/>
    <w:rsid w:val="00C12898"/>
    <w:rPr>
      <w:color w:val="000000"/>
      <w:sz w:val="18"/>
      <w:szCs w:val="18"/>
    </w:rPr>
  </w:style>
  <w:style w:type="paragraph" w:styleId="10">
    <w:name w:val="index 1"/>
    <w:basedOn w:val="a"/>
    <w:next w:val="a"/>
    <w:autoRedefine/>
    <w:semiHidden/>
    <w:rsid w:val="00C12898"/>
    <w:pPr>
      <w:jc w:val="right"/>
    </w:pPr>
    <w:rPr>
      <w:color w:val="008000"/>
    </w:rPr>
  </w:style>
  <w:style w:type="paragraph" w:customStyle="1" w:styleId="font5">
    <w:name w:val="font5"/>
    <w:basedOn w:val="a"/>
    <w:rsid w:val="00C1289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C1289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C1289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C1289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C1289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C12898"/>
    <w:rPr>
      <w:sz w:val="18"/>
      <w:szCs w:val="18"/>
    </w:rPr>
  </w:style>
  <w:style w:type="character" w:styleId="af">
    <w:name w:val="annotation reference"/>
    <w:basedOn w:val="a1"/>
    <w:semiHidden/>
    <w:rsid w:val="00C12898"/>
    <w:rPr>
      <w:sz w:val="21"/>
      <w:szCs w:val="21"/>
    </w:rPr>
  </w:style>
  <w:style w:type="paragraph" w:styleId="af0">
    <w:name w:val="annotation text"/>
    <w:basedOn w:val="a"/>
    <w:semiHidden/>
    <w:rsid w:val="00C12898"/>
    <w:pPr>
      <w:jc w:val="left"/>
    </w:pPr>
  </w:style>
  <w:style w:type="paragraph" w:styleId="af1">
    <w:name w:val="annotation subject"/>
    <w:basedOn w:val="af0"/>
    <w:next w:val="af0"/>
    <w:semiHidden/>
    <w:rsid w:val="00C12898"/>
    <w:rPr>
      <w:b/>
      <w:bCs/>
    </w:rPr>
  </w:style>
  <w:style w:type="paragraph" w:customStyle="1" w:styleId="Char2">
    <w:name w:val="Char"/>
    <w:basedOn w:val="a"/>
    <w:rsid w:val="00C12898"/>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42253F"/>
    <w:rPr>
      <w:rFonts w:ascii="宋体" w:hAnsi="Courier New"/>
      <w:kern w:val="2"/>
      <w:sz w:val="21"/>
      <w:szCs w:val="21"/>
    </w:rPr>
  </w:style>
  <w:style w:type="paragraph" w:customStyle="1" w:styleId="Default">
    <w:name w:val="Default"/>
    <w:rsid w:val="00695296"/>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FB572A"/>
    <w:rPr>
      <w:kern w:val="2"/>
      <w:sz w:val="18"/>
      <w:szCs w:val="18"/>
    </w:rPr>
  </w:style>
  <w:style w:type="character" w:customStyle="1" w:styleId="1Char">
    <w:name w:val="标题 1 Char"/>
    <w:basedOn w:val="a1"/>
    <w:link w:val="1"/>
    <w:rsid w:val="00FD1E02"/>
    <w:rPr>
      <w:b/>
      <w:bCs/>
      <w:kern w:val="44"/>
      <w:sz w:val="44"/>
      <w:szCs w:val="44"/>
    </w:rPr>
  </w:style>
  <w:style w:type="paragraph" w:styleId="HTML">
    <w:name w:val="HTML Preformatted"/>
    <w:basedOn w:val="a"/>
    <w:link w:val="HTMLChar"/>
    <w:uiPriority w:val="99"/>
    <w:unhideWhenUsed/>
    <w:rsid w:val="006349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1"/>
    <w:link w:val="HTML"/>
    <w:uiPriority w:val="99"/>
    <w:rsid w:val="00634900"/>
    <w:rPr>
      <w:rFonts w:ascii="宋体" w:hAnsi="宋体" w:cs="宋体"/>
      <w:sz w:val="24"/>
      <w:szCs w:val="24"/>
    </w:rPr>
  </w:style>
  <w:style w:type="character" w:customStyle="1" w:styleId="Char1">
    <w:name w:val="日期 Char"/>
    <w:basedOn w:val="a1"/>
    <w:link w:val="ad"/>
    <w:rsid w:val="00F27C38"/>
    <w:rPr>
      <w:kern w:val="2"/>
      <w:sz w:val="24"/>
    </w:rPr>
  </w:style>
  <w:style w:type="character" w:styleId="af8">
    <w:name w:val="Strong"/>
    <w:basedOn w:val="a1"/>
    <w:uiPriority w:val="22"/>
    <w:qFormat/>
    <w:rsid w:val="00C4274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43751943">
      <w:bodyDiv w:val="1"/>
      <w:marLeft w:val="0"/>
      <w:marRight w:val="0"/>
      <w:marTop w:val="0"/>
      <w:marBottom w:val="0"/>
      <w:divBdr>
        <w:top w:val="none" w:sz="0" w:space="0" w:color="auto"/>
        <w:left w:val="none" w:sz="0" w:space="0" w:color="auto"/>
        <w:bottom w:val="none" w:sz="0" w:space="0" w:color="auto"/>
        <w:right w:val="none" w:sz="0" w:space="0" w:color="auto"/>
      </w:divBdr>
    </w:div>
    <w:div w:id="57162004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57597937">
      <w:bodyDiv w:val="1"/>
      <w:marLeft w:val="0"/>
      <w:marRight w:val="0"/>
      <w:marTop w:val="0"/>
      <w:marBottom w:val="0"/>
      <w:divBdr>
        <w:top w:val="none" w:sz="0" w:space="0" w:color="auto"/>
        <w:left w:val="none" w:sz="0" w:space="0" w:color="auto"/>
        <w:bottom w:val="none" w:sz="0" w:space="0" w:color="auto"/>
        <w:right w:val="none" w:sz="0" w:space="0" w:color="auto"/>
      </w:divBdr>
    </w:div>
    <w:div w:id="127698193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81725568">
      <w:bodyDiv w:val="1"/>
      <w:marLeft w:val="0"/>
      <w:marRight w:val="0"/>
      <w:marTop w:val="0"/>
      <w:marBottom w:val="0"/>
      <w:divBdr>
        <w:top w:val="none" w:sz="0" w:space="0" w:color="auto"/>
        <w:left w:val="none" w:sz="0" w:space="0" w:color="auto"/>
        <w:bottom w:val="none" w:sz="0" w:space="0" w:color="auto"/>
        <w:right w:val="none" w:sz="0" w:space="0" w:color="auto"/>
      </w:divBdr>
    </w:div>
    <w:div w:id="1649044647">
      <w:bodyDiv w:val="1"/>
      <w:marLeft w:val="0"/>
      <w:marRight w:val="0"/>
      <w:marTop w:val="0"/>
      <w:marBottom w:val="0"/>
      <w:divBdr>
        <w:top w:val="none" w:sz="0" w:space="0" w:color="auto"/>
        <w:left w:val="none" w:sz="0" w:space="0" w:color="auto"/>
        <w:bottom w:val="none" w:sz="0" w:space="0" w:color="auto"/>
        <w:right w:val="none" w:sz="0" w:space="0" w:color="auto"/>
      </w:divBdr>
    </w:div>
    <w:div w:id="1970474325">
      <w:bodyDiv w:val="1"/>
      <w:marLeft w:val="0"/>
      <w:marRight w:val="0"/>
      <w:marTop w:val="0"/>
      <w:marBottom w:val="0"/>
      <w:divBdr>
        <w:top w:val="none" w:sz="0" w:space="0" w:color="auto"/>
        <w:left w:val="none" w:sz="0" w:space="0" w:color="auto"/>
        <w:bottom w:val="none" w:sz="0" w:space="0" w:color="auto"/>
        <w:right w:val="none" w:sz="0" w:space="0" w:color="auto"/>
      </w:divBdr>
    </w:div>
    <w:div w:id="212017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213</TotalTime>
  <Pages>15</Pages>
  <Words>1106</Words>
  <Characters>6310</Characters>
  <Application>Microsoft Office Word</Application>
  <DocSecurity>0</DocSecurity>
  <Lines>52</Lines>
  <Paragraphs>14</Paragraphs>
  <ScaleCrop>false</ScaleCrop>
  <Company>TRT. Ltd. Co.</Company>
  <LinksUpToDate>false</LinksUpToDate>
  <CharactersWithSpaces>7402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王晚婷</cp:lastModifiedBy>
  <cp:revision>162</cp:revision>
  <cp:lastPrinted>2007-07-19T00:46:00Z</cp:lastPrinted>
  <dcterms:created xsi:type="dcterms:W3CDTF">2012-11-28T02:28:00Z</dcterms:created>
  <dcterms:modified xsi:type="dcterms:W3CDTF">2016-01-19T09:51:00Z</dcterms:modified>
</cp:coreProperties>
</file>