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交银施罗德国企改革灵活配置混合型证券投资基金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E2C7D" w:rsidRDefault="00BD00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1,681,452,872.36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003F6E45" w:rsidRPr="00414345">
        <w:rPr>
          <w:color w:val="000000"/>
          <w:sz w:val="24"/>
          <w:szCs w:val="24"/>
        </w:rPr>
        <w:t xml:space="preserve"> </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r w:rsidRPr="00414345">
        <w:rPr>
          <w:color w:val="000000"/>
          <w:sz w:val="24"/>
          <w:szCs w:val="24"/>
        </w:rPr>
        <w:t xml:space="preserve"> </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F00EB" w:rsidRPr="00414345" w:rsidTr="00AF00E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F00EB" w:rsidRPr="00414345" w:rsidTr="00AF00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355,694,583.66</w:t>
            </w:r>
          </w:p>
        </w:tc>
      </w:tr>
      <w:tr w:rsidR="00AF00EB" w:rsidRPr="00414345" w:rsidTr="00AF00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480,818,730.14</w:t>
            </w:r>
          </w:p>
        </w:tc>
      </w:tr>
      <w:tr w:rsidR="00AF00EB" w:rsidRPr="00414345" w:rsidTr="00AF00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0.2086</w:t>
            </w:r>
          </w:p>
        </w:tc>
      </w:tr>
      <w:tr w:rsidR="00AF00EB" w:rsidRPr="00414345" w:rsidTr="00AF00E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1,827,355,880.97</w:t>
            </w:r>
          </w:p>
        </w:tc>
      </w:tr>
      <w:tr w:rsidR="00AF00EB" w:rsidRPr="00414345" w:rsidTr="00AF00E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1.087</w:t>
            </w:r>
          </w:p>
        </w:tc>
      </w:tr>
    </w:tbl>
    <w:p w:rsidR="007E2C7D" w:rsidRDefault="00BD00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E2C7D">
        <w:trPr>
          <w:jc w:val="center"/>
        </w:trPr>
        <w:tc>
          <w:tcPr>
            <w:tcW w:w="1701" w:type="dxa"/>
            <w:vAlign w:val="center"/>
          </w:tcPr>
          <w:p w:rsidR="007E2C7D" w:rsidRDefault="00BD00D4">
            <w:pPr>
              <w:jc w:val="left"/>
            </w:pPr>
            <w:r>
              <w:rPr>
                <w:color w:val="000000"/>
                <w:sz w:val="24"/>
                <w:szCs w:val="24"/>
              </w:rPr>
              <w:t>过去三个月</w:t>
            </w:r>
          </w:p>
        </w:tc>
        <w:tc>
          <w:tcPr>
            <w:tcW w:w="1045" w:type="dxa"/>
            <w:vAlign w:val="center"/>
          </w:tcPr>
          <w:p w:rsidR="007E2C7D" w:rsidRDefault="00BD00D4">
            <w:pPr>
              <w:jc w:val="center"/>
            </w:pPr>
            <w:r>
              <w:rPr>
                <w:color w:val="000000"/>
                <w:sz w:val="24"/>
                <w:szCs w:val="24"/>
              </w:rPr>
              <w:t>17.13%</w:t>
            </w:r>
          </w:p>
        </w:tc>
        <w:tc>
          <w:tcPr>
            <w:tcW w:w="1344" w:type="dxa"/>
            <w:vAlign w:val="center"/>
          </w:tcPr>
          <w:p w:rsidR="007E2C7D" w:rsidRDefault="00BD00D4">
            <w:pPr>
              <w:jc w:val="center"/>
            </w:pPr>
            <w:r>
              <w:rPr>
                <w:color w:val="000000"/>
                <w:sz w:val="24"/>
                <w:szCs w:val="24"/>
              </w:rPr>
              <w:t>1.52%</w:t>
            </w:r>
          </w:p>
        </w:tc>
        <w:tc>
          <w:tcPr>
            <w:tcW w:w="1194" w:type="dxa"/>
            <w:vAlign w:val="center"/>
          </w:tcPr>
          <w:p w:rsidR="007E2C7D" w:rsidRDefault="00BD00D4">
            <w:pPr>
              <w:jc w:val="center"/>
            </w:pPr>
            <w:r>
              <w:rPr>
                <w:color w:val="000000"/>
                <w:sz w:val="24"/>
                <w:szCs w:val="24"/>
              </w:rPr>
              <w:t>10.87%</w:t>
            </w:r>
          </w:p>
        </w:tc>
        <w:tc>
          <w:tcPr>
            <w:tcW w:w="1492" w:type="dxa"/>
            <w:vAlign w:val="center"/>
          </w:tcPr>
          <w:p w:rsidR="007E2C7D" w:rsidRDefault="00BD00D4">
            <w:pPr>
              <w:jc w:val="center"/>
            </w:pPr>
            <w:r>
              <w:rPr>
                <w:color w:val="000000"/>
                <w:sz w:val="24"/>
                <w:szCs w:val="24"/>
              </w:rPr>
              <w:t>1.00%</w:t>
            </w:r>
          </w:p>
        </w:tc>
        <w:tc>
          <w:tcPr>
            <w:tcW w:w="1194" w:type="dxa"/>
            <w:vAlign w:val="center"/>
          </w:tcPr>
          <w:p w:rsidR="007E2C7D" w:rsidRDefault="00BD00D4">
            <w:pPr>
              <w:jc w:val="center"/>
            </w:pPr>
            <w:r>
              <w:rPr>
                <w:color w:val="000000"/>
                <w:sz w:val="24"/>
                <w:szCs w:val="24"/>
              </w:rPr>
              <w:t>6.26%</w:t>
            </w:r>
          </w:p>
        </w:tc>
        <w:tc>
          <w:tcPr>
            <w:tcW w:w="898" w:type="dxa"/>
            <w:vAlign w:val="center"/>
          </w:tcPr>
          <w:p w:rsidR="007E2C7D" w:rsidRDefault="00BD00D4">
            <w:pPr>
              <w:jc w:val="center"/>
            </w:pPr>
            <w:r>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00045CDE">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w:t>
      </w:r>
      <w:r w:rsidRPr="00414345">
        <w:rPr>
          <w:color w:val="000000"/>
          <w:sz w:val="24"/>
          <w:szCs w:val="24"/>
        </w:rPr>
        <w:lastRenderedPageBreak/>
        <w:t>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交银施罗德国企改革灵活配置混合型证券投资基金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10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E2C7D">
        <w:trPr>
          <w:jc w:val="center"/>
        </w:trPr>
        <w:tc>
          <w:tcPr>
            <w:tcW w:w="846" w:type="dxa"/>
            <w:vAlign w:val="center"/>
          </w:tcPr>
          <w:p w:rsidR="007E2C7D" w:rsidRDefault="00BD00D4">
            <w:pPr>
              <w:jc w:val="center"/>
            </w:pPr>
            <w:r>
              <w:rPr>
                <w:color w:val="000000"/>
                <w:sz w:val="24"/>
                <w:szCs w:val="24"/>
              </w:rPr>
              <w:t>沈楠</w:t>
            </w:r>
          </w:p>
        </w:tc>
        <w:tc>
          <w:tcPr>
            <w:tcW w:w="845" w:type="dxa"/>
            <w:vAlign w:val="center"/>
          </w:tcPr>
          <w:p w:rsidR="007E2C7D" w:rsidRDefault="00BD00D4">
            <w:pPr>
              <w:jc w:val="center"/>
            </w:pPr>
            <w:r>
              <w:rPr>
                <w:color w:val="000000"/>
                <w:sz w:val="24"/>
                <w:szCs w:val="24"/>
              </w:rPr>
              <w:t>交银主题优选混合、交银国企改革灵活配置混合的基金经理</w:t>
            </w:r>
          </w:p>
        </w:tc>
        <w:tc>
          <w:tcPr>
            <w:tcW w:w="1549" w:type="dxa"/>
            <w:vAlign w:val="center"/>
          </w:tcPr>
          <w:p w:rsidR="007E2C7D" w:rsidRDefault="00BD00D4">
            <w:pPr>
              <w:jc w:val="center"/>
            </w:pPr>
            <w:r>
              <w:rPr>
                <w:color w:val="000000"/>
                <w:sz w:val="24"/>
                <w:szCs w:val="24"/>
              </w:rPr>
              <w:t>2015-06-10</w:t>
            </w:r>
          </w:p>
        </w:tc>
        <w:tc>
          <w:tcPr>
            <w:tcW w:w="1548" w:type="dxa"/>
            <w:vAlign w:val="center"/>
          </w:tcPr>
          <w:p w:rsidR="007E2C7D" w:rsidRDefault="00BD00D4">
            <w:pPr>
              <w:jc w:val="center"/>
            </w:pPr>
            <w:r>
              <w:rPr>
                <w:color w:val="000000"/>
                <w:sz w:val="24"/>
                <w:szCs w:val="24"/>
              </w:rPr>
              <w:t>-</w:t>
            </w:r>
          </w:p>
        </w:tc>
        <w:tc>
          <w:tcPr>
            <w:tcW w:w="1407" w:type="dxa"/>
            <w:vAlign w:val="center"/>
          </w:tcPr>
          <w:p w:rsidR="007E2C7D" w:rsidRDefault="00BD00D4">
            <w:pPr>
              <w:jc w:val="center"/>
            </w:pPr>
            <w:r>
              <w:rPr>
                <w:color w:val="000000"/>
                <w:sz w:val="24"/>
                <w:szCs w:val="24"/>
              </w:rPr>
              <w:t>6</w:t>
            </w:r>
            <w:r>
              <w:rPr>
                <w:color w:val="000000"/>
                <w:sz w:val="24"/>
                <w:szCs w:val="24"/>
              </w:rPr>
              <w:t>年</w:t>
            </w:r>
          </w:p>
        </w:tc>
        <w:tc>
          <w:tcPr>
            <w:tcW w:w="2673" w:type="dxa"/>
            <w:vAlign w:val="center"/>
          </w:tcPr>
          <w:p w:rsidR="007E2C7D" w:rsidRDefault="00BD00D4">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E2C7D" w:rsidRDefault="00BD00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E2C7D" w:rsidRDefault="00BD00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E2C7D" w:rsidRDefault="00BD00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E2C7D" w:rsidRDefault="00BD00D4">
      <w:pPr>
        <w:spacing w:before="29" w:line="288" w:lineRule="auto"/>
        <w:ind w:firstLineChars="200" w:firstLine="480"/>
        <w:rPr>
          <w:color w:val="000000"/>
          <w:sz w:val="24"/>
          <w:szCs w:val="24"/>
        </w:rPr>
      </w:pPr>
      <w:r>
        <w:rPr>
          <w:color w:val="000000"/>
          <w:sz w:val="24"/>
          <w:szCs w:val="24"/>
        </w:rPr>
        <w:t>2015</w:t>
      </w:r>
      <w:r>
        <w:rPr>
          <w:color w:val="000000"/>
          <w:sz w:val="24"/>
          <w:szCs w:val="24"/>
        </w:rPr>
        <w:t>年四季度，整体经济不温不火，货币政策进一步保持宽松，长短端资金价格水平进一步有所下行。尽管资金杠杆的市场监管趋严，但更多的上市公司通过兼并、收购、重组等方式改善自身发展前景，因此市场更多的投资机会聚焦在大量结构性主题。同时随着国有企业改革顶层设计方案的推出，部分央企也开始进行整合并开展供给侧改革的配套战略，地方国企则较为缓慢但有序地推动体制改革的进程。</w:t>
      </w:r>
    </w:p>
    <w:p w:rsidR="007E2C7D" w:rsidRDefault="00BD00D4">
      <w:pPr>
        <w:spacing w:before="29" w:line="288" w:lineRule="auto"/>
        <w:ind w:firstLineChars="200" w:firstLine="480"/>
        <w:rPr>
          <w:color w:val="000000"/>
          <w:sz w:val="24"/>
          <w:szCs w:val="24"/>
        </w:rPr>
      </w:pPr>
      <w:r>
        <w:rPr>
          <w:color w:val="000000"/>
          <w:sz w:val="24"/>
          <w:szCs w:val="24"/>
        </w:rPr>
        <w:t>报告期内，本基金大部分时间仍处建仓期，因此主要以获取绝对回报为主。不过由于</w:t>
      </w:r>
      <w:r>
        <w:rPr>
          <w:color w:val="000000"/>
          <w:sz w:val="24"/>
          <w:szCs w:val="24"/>
        </w:rPr>
        <w:t>2015</w:t>
      </w:r>
      <w:r>
        <w:rPr>
          <w:color w:val="000000"/>
          <w:sz w:val="24"/>
          <w:szCs w:val="24"/>
        </w:rPr>
        <w:t>年四季度整体国企改革板块的投资机会不大，因此最后一个月表现受到影响。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我们认为一方面国内产业创新方向不变，相关国企也将更多融入这一产业浪潮之中；另一方面国企改革顶层设计方案推出后，更多细则明年有望逐步推出，我们相信各地企业集团的改革方案有望加快推进，其中可能蕴含着大量投资机会。我们对之后</w:t>
      </w:r>
      <w:r w:rsidRPr="00414345">
        <w:rPr>
          <w:color w:val="000000"/>
          <w:sz w:val="24"/>
          <w:szCs w:val="24"/>
        </w:rPr>
        <w:t>A</w:t>
      </w:r>
      <w:r w:rsidRPr="00414345">
        <w:rPr>
          <w:color w:val="000000"/>
          <w:sz w:val="24"/>
          <w:szCs w:val="24"/>
        </w:rPr>
        <w:t>股市场整体表现保持谨慎乐观的看法。本基金将综合判断未来政策出台的节奏，以及政策可能的突破口，计划更多投资于自身出现积极变化和受益整体国企改革进程的上市公司。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1.087</w:t>
      </w:r>
      <w:r w:rsidRPr="00414345">
        <w:rPr>
          <w:color w:val="000000"/>
          <w:sz w:val="24"/>
          <w:szCs w:val="24"/>
        </w:rPr>
        <w:t>元，本报告期份额净值增长率为</w:t>
      </w:r>
      <w:r w:rsidRPr="00414345">
        <w:rPr>
          <w:color w:val="000000"/>
          <w:sz w:val="24"/>
          <w:szCs w:val="24"/>
        </w:rPr>
        <w:t>17.13%</w:t>
      </w:r>
      <w:r w:rsidRPr="00414345">
        <w:rPr>
          <w:color w:val="000000"/>
          <w:sz w:val="24"/>
          <w:szCs w:val="24"/>
        </w:rPr>
        <w:t>，同期业绩比较基准增长率为</w:t>
      </w:r>
      <w:r w:rsidRPr="00414345">
        <w:rPr>
          <w:color w:val="000000"/>
          <w:sz w:val="24"/>
          <w:szCs w:val="24"/>
        </w:rPr>
        <w:t>10.87%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D81DBD" w:rsidRDefault="00D81DBD"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1,618,276,755.56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1,618,276,755.56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100,230,000.00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117,993,387.57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19,624,224.23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1,856,124,367.36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45,332,469.00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793,469,766.77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80,164,058.95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21,968,472.00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180,885,619.49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67,504,001.01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107,215,706.75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110,864,821.29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122,496,084.27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20,568,708.00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58,004,780.07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9,802,267.96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1,618,276,755.56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E2C7D">
        <w:trPr>
          <w:jc w:val="center"/>
        </w:trPr>
        <w:tc>
          <w:tcPr>
            <w:tcW w:w="855" w:type="dxa"/>
            <w:vAlign w:val="center"/>
          </w:tcPr>
          <w:p w:rsidR="007E2C7D" w:rsidRDefault="00BD00D4">
            <w:pPr>
              <w:jc w:val="center"/>
            </w:pPr>
            <w:r>
              <w:rPr>
                <w:color w:val="000000"/>
                <w:sz w:val="24"/>
                <w:szCs w:val="24"/>
              </w:rPr>
              <w:t>1</w:t>
            </w:r>
          </w:p>
        </w:tc>
        <w:tc>
          <w:tcPr>
            <w:tcW w:w="1334" w:type="dxa"/>
            <w:vAlign w:val="center"/>
          </w:tcPr>
          <w:p w:rsidR="007E2C7D" w:rsidRDefault="00BD00D4">
            <w:pPr>
              <w:jc w:val="center"/>
            </w:pPr>
            <w:r>
              <w:rPr>
                <w:color w:val="000000"/>
                <w:sz w:val="24"/>
                <w:szCs w:val="24"/>
              </w:rPr>
              <w:t>600826</w:t>
            </w:r>
          </w:p>
        </w:tc>
        <w:tc>
          <w:tcPr>
            <w:tcW w:w="1777" w:type="dxa"/>
            <w:vAlign w:val="center"/>
          </w:tcPr>
          <w:p w:rsidR="007E2C7D" w:rsidRDefault="00BD00D4">
            <w:pPr>
              <w:jc w:val="center"/>
            </w:pPr>
            <w:r>
              <w:rPr>
                <w:color w:val="000000"/>
                <w:sz w:val="24"/>
                <w:szCs w:val="24"/>
              </w:rPr>
              <w:t>兰生股份</w:t>
            </w:r>
          </w:p>
        </w:tc>
        <w:tc>
          <w:tcPr>
            <w:tcW w:w="1334" w:type="dxa"/>
            <w:vAlign w:val="center"/>
          </w:tcPr>
          <w:p w:rsidR="007E2C7D" w:rsidRDefault="00BD00D4">
            <w:pPr>
              <w:jc w:val="right"/>
            </w:pPr>
            <w:r>
              <w:rPr>
                <w:color w:val="000000"/>
                <w:sz w:val="24"/>
                <w:szCs w:val="24"/>
              </w:rPr>
              <w:t>1,720,229</w:t>
            </w:r>
          </w:p>
        </w:tc>
        <w:tc>
          <w:tcPr>
            <w:tcW w:w="1924" w:type="dxa"/>
            <w:vAlign w:val="center"/>
          </w:tcPr>
          <w:p w:rsidR="007E2C7D" w:rsidRDefault="00BD00D4">
            <w:pPr>
              <w:jc w:val="right"/>
            </w:pPr>
            <w:r>
              <w:rPr>
                <w:color w:val="000000"/>
                <w:sz w:val="24"/>
                <w:szCs w:val="24"/>
              </w:rPr>
              <w:t>59,244,686.76</w:t>
            </w:r>
          </w:p>
        </w:tc>
        <w:tc>
          <w:tcPr>
            <w:tcW w:w="1644" w:type="dxa"/>
            <w:vAlign w:val="center"/>
          </w:tcPr>
          <w:p w:rsidR="007E2C7D" w:rsidRDefault="00BD00D4">
            <w:pPr>
              <w:jc w:val="right"/>
            </w:pPr>
            <w:r>
              <w:rPr>
                <w:color w:val="000000"/>
                <w:sz w:val="24"/>
                <w:szCs w:val="24"/>
              </w:rPr>
              <w:t>3.24</w:t>
            </w:r>
          </w:p>
        </w:tc>
      </w:tr>
      <w:tr w:rsidR="007E2C7D">
        <w:trPr>
          <w:jc w:val="center"/>
        </w:trPr>
        <w:tc>
          <w:tcPr>
            <w:tcW w:w="855" w:type="dxa"/>
            <w:vAlign w:val="center"/>
          </w:tcPr>
          <w:p w:rsidR="007E2C7D" w:rsidRDefault="00BD00D4">
            <w:pPr>
              <w:jc w:val="center"/>
            </w:pPr>
            <w:r>
              <w:rPr>
                <w:color w:val="000000"/>
                <w:sz w:val="24"/>
                <w:szCs w:val="24"/>
              </w:rPr>
              <w:t>2</w:t>
            </w:r>
          </w:p>
        </w:tc>
        <w:tc>
          <w:tcPr>
            <w:tcW w:w="1334" w:type="dxa"/>
            <w:vAlign w:val="center"/>
          </w:tcPr>
          <w:p w:rsidR="007E2C7D" w:rsidRDefault="00BD00D4">
            <w:pPr>
              <w:jc w:val="center"/>
            </w:pPr>
            <w:r>
              <w:rPr>
                <w:color w:val="000000"/>
                <w:sz w:val="24"/>
                <w:szCs w:val="24"/>
              </w:rPr>
              <w:t>601688</w:t>
            </w:r>
          </w:p>
        </w:tc>
        <w:tc>
          <w:tcPr>
            <w:tcW w:w="1777" w:type="dxa"/>
            <w:vAlign w:val="center"/>
          </w:tcPr>
          <w:p w:rsidR="007E2C7D" w:rsidRDefault="00BD00D4">
            <w:pPr>
              <w:jc w:val="center"/>
            </w:pPr>
            <w:r>
              <w:rPr>
                <w:color w:val="000000"/>
                <w:sz w:val="24"/>
                <w:szCs w:val="24"/>
              </w:rPr>
              <w:t>华泰证券</w:t>
            </w:r>
          </w:p>
        </w:tc>
        <w:tc>
          <w:tcPr>
            <w:tcW w:w="1334" w:type="dxa"/>
            <w:vAlign w:val="center"/>
          </w:tcPr>
          <w:p w:rsidR="007E2C7D" w:rsidRDefault="00BD00D4">
            <w:pPr>
              <w:jc w:val="right"/>
            </w:pPr>
            <w:r>
              <w:rPr>
                <w:color w:val="000000"/>
                <w:sz w:val="24"/>
                <w:szCs w:val="24"/>
              </w:rPr>
              <w:t>2,821,739</w:t>
            </w:r>
          </w:p>
        </w:tc>
        <w:tc>
          <w:tcPr>
            <w:tcW w:w="1924" w:type="dxa"/>
            <w:vAlign w:val="center"/>
          </w:tcPr>
          <w:p w:rsidR="007E2C7D" w:rsidRDefault="00BD00D4">
            <w:pPr>
              <w:jc w:val="right"/>
            </w:pPr>
            <w:r>
              <w:rPr>
                <w:color w:val="000000"/>
                <w:sz w:val="24"/>
                <w:szCs w:val="24"/>
              </w:rPr>
              <w:t>55,644,693.08</w:t>
            </w:r>
          </w:p>
        </w:tc>
        <w:tc>
          <w:tcPr>
            <w:tcW w:w="1644" w:type="dxa"/>
            <w:vAlign w:val="center"/>
          </w:tcPr>
          <w:p w:rsidR="007E2C7D" w:rsidRDefault="00BD00D4">
            <w:pPr>
              <w:jc w:val="right"/>
            </w:pPr>
            <w:r>
              <w:rPr>
                <w:color w:val="000000"/>
                <w:sz w:val="24"/>
                <w:szCs w:val="24"/>
              </w:rPr>
              <w:t>3.05</w:t>
            </w:r>
          </w:p>
        </w:tc>
      </w:tr>
      <w:tr w:rsidR="007E2C7D">
        <w:trPr>
          <w:jc w:val="center"/>
        </w:trPr>
        <w:tc>
          <w:tcPr>
            <w:tcW w:w="855" w:type="dxa"/>
            <w:vAlign w:val="center"/>
          </w:tcPr>
          <w:p w:rsidR="007E2C7D" w:rsidRDefault="00BD00D4">
            <w:pPr>
              <w:jc w:val="center"/>
            </w:pPr>
            <w:r>
              <w:rPr>
                <w:color w:val="000000"/>
                <w:sz w:val="24"/>
                <w:szCs w:val="24"/>
              </w:rPr>
              <w:t>3</w:t>
            </w:r>
          </w:p>
        </w:tc>
        <w:tc>
          <w:tcPr>
            <w:tcW w:w="1334" w:type="dxa"/>
            <w:vAlign w:val="center"/>
          </w:tcPr>
          <w:p w:rsidR="007E2C7D" w:rsidRDefault="00BD00D4">
            <w:pPr>
              <w:jc w:val="center"/>
            </w:pPr>
            <w:r>
              <w:rPr>
                <w:color w:val="000000"/>
                <w:sz w:val="24"/>
                <w:szCs w:val="24"/>
              </w:rPr>
              <w:t>600963</w:t>
            </w:r>
          </w:p>
        </w:tc>
        <w:tc>
          <w:tcPr>
            <w:tcW w:w="1777" w:type="dxa"/>
            <w:vAlign w:val="center"/>
          </w:tcPr>
          <w:p w:rsidR="007E2C7D" w:rsidRDefault="00BD00D4">
            <w:pPr>
              <w:jc w:val="center"/>
            </w:pPr>
            <w:r>
              <w:rPr>
                <w:color w:val="000000"/>
                <w:sz w:val="24"/>
                <w:szCs w:val="24"/>
              </w:rPr>
              <w:t>岳阳林纸</w:t>
            </w:r>
          </w:p>
        </w:tc>
        <w:tc>
          <w:tcPr>
            <w:tcW w:w="1334" w:type="dxa"/>
            <w:vAlign w:val="center"/>
          </w:tcPr>
          <w:p w:rsidR="007E2C7D" w:rsidRDefault="00BD00D4">
            <w:pPr>
              <w:jc w:val="right"/>
            </w:pPr>
            <w:r>
              <w:rPr>
                <w:color w:val="000000"/>
                <w:sz w:val="24"/>
                <w:szCs w:val="24"/>
              </w:rPr>
              <w:t>6,662,325</w:t>
            </w:r>
          </w:p>
        </w:tc>
        <w:tc>
          <w:tcPr>
            <w:tcW w:w="1924" w:type="dxa"/>
            <w:vAlign w:val="center"/>
          </w:tcPr>
          <w:p w:rsidR="007E2C7D" w:rsidRDefault="00BD00D4">
            <w:pPr>
              <w:jc w:val="right"/>
            </w:pPr>
            <w:r>
              <w:rPr>
                <w:color w:val="000000"/>
                <w:sz w:val="24"/>
                <w:szCs w:val="24"/>
              </w:rPr>
              <w:t>54,830,934.75</w:t>
            </w:r>
          </w:p>
        </w:tc>
        <w:tc>
          <w:tcPr>
            <w:tcW w:w="1644" w:type="dxa"/>
            <w:vAlign w:val="center"/>
          </w:tcPr>
          <w:p w:rsidR="007E2C7D" w:rsidRDefault="00BD00D4">
            <w:pPr>
              <w:jc w:val="right"/>
            </w:pPr>
            <w:r>
              <w:rPr>
                <w:color w:val="000000"/>
                <w:sz w:val="24"/>
                <w:szCs w:val="24"/>
              </w:rPr>
              <w:t>3.00</w:t>
            </w:r>
          </w:p>
        </w:tc>
      </w:tr>
      <w:tr w:rsidR="007E2C7D">
        <w:trPr>
          <w:jc w:val="center"/>
        </w:trPr>
        <w:tc>
          <w:tcPr>
            <w:tcW w:w="855" w:type="dxa"/>
            <w:vAlign w:val="center"/>
          </w:tcPr>
          <w:p w:rsidR="007E2C7D" w:rsidRDefault="00BD00D4">
            <w:pPr>
              <w:jc w:val="center"/>
            </w:pPr>
            <w:r>
              <w:rPr>
                <w:color w:val="000000"/>
                <w:sz w:val="24"/>
                <w:szCs w:val="24"/>
              </w:rPr>
              <w:t>4</w:t>
            </w:r>
          </w:p>
        </w:tc>
        <w:tc>
          <w:tcPr>
            <w:tcW w:w="1334" w:type="dxa"/>
            <w:vAlign w:val="center"/>
          </w:tcPr>
          <w:p w:rsidR="007E2C7D" w:rsidRDefault="00BD00D4">
            <w:pPr>
              <w:jc w:val="center"/>
            </w:pPr>
            <w:r>
              <w:rPr>
                <w:color w:val="000000"/>
                <w:sz w:val="24"/>
                <w:szCs w:val="24"/>
              </w:rPr>
              <w:t>300161</w:t>
            </w:r>
          </w:p>
        </w:tc>
        <w:tc>
          <w:tcPr>
            <w:tcW w:w="1777" w:type="dxa"/>
            <w:vAlign w:val="center"/>
          </w:tcPr>
          <w:p w:rsidR="007E2C7D" w:rsidRDefault="00BD00D4">
            <w:pPr>
              <w:jc w:val="center"/>
            </w:pPr>
            <w:r>
              <w:rPr>
                <w:color w:val="000000"/>
                <w:sz w:val="24"/>
                <w:szCs w:val="24"/>
              </w:rPr>
              <w:t>华中数控</w:t>
            </w:r>
          </w:p>
        </w:tc>
        <w:tc>
          <w:tcPr>
            <w:tcW w:w="1334" w:type="dxa"/>
            <w:vAlign w:val="center"/>
          </w:tcPr>
          <w:p w:rsidR="007E2C7D" w:rsidRDefault="00BD00D4">
            <w:pPr>
              <w:jc w:val="right"/>
            </w:pPr>
            <w:r>
              <w:rPr>
                <w:color w:val="000000"/>
                <w:sz w:val="24"/>
                <w:szCs w:val="24"/>
              </w:rPr>
              <w:t>1,351,852</w:t>
            </w:r>
          </w:p>
        </w:tc>
        <w:tc>
          <w:tcPr>
            <w:tcW w:w="1924" w:type="dxa"/>
            <w:vAlign w:val="center"/>
          </w:tcPr>
          <w:p w:rsidR="007E2C7D" w:rsidRDefault="00BD00D4">
            <w:pPr>
              <w:jc w:val="right"/>
            </w:pPr>
            <w:r>
              <w:rPr>
                <w:color w:val="000000"/>
                <w:sz w:val="24"/>
                <w:szCs w:val="24"/>
              </w:rPr>
              <w:t>49,640,005.44</w:t>
            </w:r>
          </w:p>
        </w:tc>
        <w:tc>
          <w:tcPr>
            <w:tcW w:w="1644" w:type="dxa"/>
            <w:vAlign w:val="center"/>
          </w:tcPr>
          <w:p w:rsidR="007E2C7D" w:rsidRDefault="00BD00D4">
            <w:pPr>
              <w:jc w:val="right"/>
            </w:pPr>
            <w:r>
              <w:rPr>
                <w:color w:val="000000"/>
                <w:sz w:val="24"/>
                <w:szCs w:val="24"/>
              </w:rPr>
              <w:t>2.72</w:t>
            </w:r>
          </w:p>
        </w:tc>
      </w:tr>
      <w:tr w:rsidR="007E2C7D">
        <w:trPr>
          <w:jc w:val="center"/>
        </w:trPr>
        <w:tc>
          <w:tcPr>
            <w:tcW w:w="855" w:type="dxa"/>
            <w:vAlign w:val="center"/>
          </w:tcPr>
          <w:p w:rsidR="007E2C7D" w:rsidRDefault="00BD00D4">
            <w:pPr>
              <w:jc w:val="center"/>
            </w:pPr>
            <w:r>
              <w:rPr>
                <w:color w:val="000000"/>
                <w:sz w:val="24"/>
                <w:szCs w:val="24"/>
              </w:rPr>
              <w:t>5</w:t>
            </w:r>
          </w:p>
        </w:tc>
        <w:tc>
          <w:tcPr>
            <w:tcW w:w="1334" w:type="dxa"/>
            <w:vAlign w:val="center"/>
          </w:tcPr>
          <w:p w:rsidR="007E2C7D" w:rsidRDefault="00BD00D4">
            <w:pPr>
              <w:jc w:val="center"/>
            </w:pPr>
            <w:r>
              <w:rPr>
                <w:color w:val="000000"/>
                <w:sz w:val="24"/>
                <w:szCs w:val="24"/>
              </w:rPr>
              <w:t>600104</w:t>
            </w:r>
          </w:p>
        </w:tc>
        <w:tc>
          <w:tcPr>
            <w:tcW w:w="1777" w:type="dxa"/>
            <w:vAlign w:val="center"/>
          </w:tcPr>
          <w:p w:rsidR="007E2C7D" w:rsidRDefault="00BD00D4">
            <w:pPr>
              <w:jc w:val="center"/>
            </w:pPr>
            <w:r>
              <w:rPr>
                <w:color w:val="000000"/>
                <w:sz w:val="24"/>
                <w:szCs w:val="24"/>
              </w:rPr>
              <w:t>上汽集团</w:t>
            </w:r>
          </w:p>
        </w:tc>
        <w:tc>
          <w:tcPr>
            <w:tcW w:w="1334" w:type="dxa"/>
            <w:vAlign w:val="center"/>
          </w:tcPr>
          <w:p w:rsidR="007E2C7D" w:rsidRDefault="00BD00D4">
            <w:pPr>
              <w:jc w:val="right"/>
            </w:pPr>
            <w:r>
              <w:rPr>
                <w:color w:val="000000"/>
                <w:sz w:val="24"/>
                <w:szCs w:val="24"/>
              </w:rPr>
              <w:t>1,928,973</w:t>
            </w:r>
          </w:p>
        </w:tc>
        <w:tc>
          <w:tcPr>
            <w:tcW w:w="1924" w:type="dxa"/>
            <w:vAlign w:val="center"/>
          </w:tcPr>
          <w:p w:rsidR="007E2C7D" w:rsidRDefault="00BD00D4">
            <w:pPr>
              <w:jc w:val="right"/>
            </w:pPr>
            <w:r>
              <w:rPr>
                <w:color w:val="000000"/>
                <w:sz w:val="24"/>
                <w:szCs w:val="24"/>
              </w:rPr>
              <w:t>40,932,807.06</w:t>
            </w:r>
          </w:p>
        </w:tc>
        <w:tc>
          <w:tcPr>
            <w:tcW w:w="1644" w:type="dxa"/>
            <w:vAlign w:val="center"/>
          </w:tcPr>
          <w:p w:rsidR="007E2C7D" w:rsidRDefault="00BD00D4">
            <w:pPr>
              <w:jc w:val="right"/>
            </w:pPr>
            <w:r>
              <w:rPr>
                <w:color w:val="000000"/>
                <w:sz w:val="24"/>
                <w:szCs w:val="24"/>
              </w:rPr>
              <w:t>2.24</w:t>
            </w:r>
          </w:p>
        </w:tc>
      </w:tr>
      <w:tr w:rsidR="007E2C7D">
        <w:trPr>
          <w:jc w:val="center"/>
        </w:trPr>
        <w:tc>
          <w:tcPr>
            <w:tcW w:w="855" w:type="dxa"/>
            <w:vAlign w:val="center"/>
          </w:tcPr>
          <w:p w:rsidR="007E2C7D" w:rsidRDefault="00BD00D4">
            <w:pPr>
              <w:jc w:val="center"/>
            </w:pPr>
            <w:r>
              <w:rPr>
                <w:color w:val="000000"/>
                <w:sz w:val="24"/>
                <w:szCs w:val="24"/>
              </w:rPr>
              <w:t>6</w:t>
            </w:r>
          </w:p>
        </w:tc>
        <w:tc>
          <w:tcPr>
            <w:tcW w:w="1334" w:type="dxa"/>
            <w:vAlign w:val="center"/>
          </w:tcPr>
          <w:p w:rsidR="007E2C7D" w:rsidRDefault="00BD00D4">
            <w:pPr>
              <w:jc w:val="center"/>
            </w:pPr>
            <w:r>
              <w:rPr>
                <w:color w:val="000000"/>
                <w:sz w:val="24"/>
                <w:szCs w:val="24"/>
              </w:rPr>
              <w:t>600500</w:t>
            </w:r>
          </w:p>
        </w:tc>
        <w:tc>
          <w:tcPr>
            <w:tcW w:w="1777" w:type="dxa"/>
            <w:vAlign w:val="center"/>
          </w:tcPr>
          <w:p w:rsidR="007E2C7D" w:rsidRDefault="00BD00D4">
            <w:pPr>
              <w:jc w:val="center"/>
            </w:pPr>
            <w:r>
              <w:rPr>
                <w:color w:val="000000"/>
                <w:sz w:val="24"/>
                <w:szCs w:val="24"/>
              </w:rPr>
              <w:t>中化国际</w:t>
            </w:r>
          </w:p>
        </w:tc>
        <w:tc>
          <w:tcPr>
            <w:tcW w:w="1334" w:type="dxa"/>
            <w:vAlign w:val="center"/>
          </w:tcPr>
          <w:p w:rsidR="007E2C7D" w:rsidRDefault="00BD00D4">
            <w:pPr>
              <w:jc w:val="right"/>
            </w:pPr>
            <w:r>
              <w:rPr>
                <w:color w:val="000000"/>
                <w:sz w:val="24"/>
                <w:szCs w:val="24"/>
              </w:rPr>
              <w:t>3,154,700</w:t>
            </w:r>
          </w:p>
        </w:tc>
        <w:tc>
          <w:tcPr>
            <w:tcW w:w="1924" w:type="dxa"/>
            <w:vAlign w:val="center"/>
          </w:tcPr>
          <w:p w:rsidR="007E2C7D" w:rsidRDefault="00BD00D4">
            <w:pPr>
              <w:jc w:val="right"/>
            </w:pPr>
            <w:r>
              <w:rPr>
                <w:color w:val="000000"/>
                <w:sz w:val="24"/>
                <w:szCs w:val="24"/>
              </w:rPr>
              <w:t>40,411,707.00</w:t>
            </w:r>
          </w:p>
        </w:tc>
        <w:tc>
          <w:tcPr>
            <w:tcW w:w="1644" w:type="dxa"/>
            <w:vAlign w:val="center"/>
          </w:tcPr>
          <w:p w:rsidR="007E2C7D" w:rsidRDefault="00BD00D4">
            <w:pPr>
              <w:jc w:val="right"/>
            </w:pPr>
            <w:r>
              <w:rPr>
                <w:color w:val="000000"/>
                <w:sz w:val="24"/>
                <w:szCs w:val="24"/>
              </w:rPr>
              <w:t>2.21</w:t>
            </w:r>
          </w:p>
        </w:tc>
      </w:tr>
      <w:tr w:rsidR="007E2C7D">
        <w:trPr>
          <w:jc w:val="center"/>
        </w:trPr>
        <w:tc>
          <w:tcPr>
            <w:tcW w:w="855" w:type="dxa"/>
            <w:vAlign w:val="center"/>
          </w:tcPr>
          <w:p w:rsidR="007E2C7D" w:rsidRDefault="00BD00D4">
            <w:pPr>
              <w:jc w:val="center"/>
            </w:pPr>
            <w:r>
              <w:rPr>
                <w:color w:val="000000"/>
                <w:sz w:val="24"/>
                <w:szCs w:val="24"/>
              </w:rPr>
              <w:t>7</w:t>
            </w:r>
          </w:p>
        </w:tc>
        <w:tc>
          <w:tcPr>
            <w:tcW w:w="1334" w:type="dxa"/>
            <w:vAlign w:val="center"/>
          </w:tcPr>
          <w:p w:rsidR="007E2C7D" w:rsidRDefault="00BD00D4">
            <w:pPr>
              <w:jc w:val="center"/>
            </w:pPr>
            <w:r>
              <w:rPr>
                <w:color w:val="000000"/>
                <w:sz w:val="24"/>
                <w:szCs w:val="24"/>
              </w:rPr>
              <w:t>000800</w:t>
            </w:r>
          </w:p>
        </w:tc>
        <w:tc>
          <w:tcPr>
            <w:tcW w:w="1777" w:type="dxa"/>
            <w:vAlign w:val="center"/>
          </w:tcPr>
          <w:p w:rsidR="007E2C7D" w:rsidRDefault="00BD00D4">
            <w:pPr>
              <w:jc w:val="center"/>
            </w:pPr>
            <w:r>
              <w:rPr>
                <w:color w:val="000000"/>
                <w:sz w:val="24"/>
                <w:szCs w:val="24"/>
              </w:rPr>
              <w:t>一汽轿车</w:t>
            </w:r>
          </w:p>
        </w:tc>
        <w:tc>
          <w:tcPr>
            <w:tcW w:w="1334" w:type="dxa"/>
            <w:vAlign w:val="center"/>
          </w:tcPr>
          <w:p w:rsidR="007E2C7D" w:rsidRDefault="00BD00D4">
            <w:pPr>
              <w:jc w:val="right"/>
            </w:pPr>
            <w:r>
              <w:rPr>
                <w:color w:val="000000"/>
                <w:sz w:val="24"/>
                <w:szCs w:val="24"/>
              </w:rPr>
              <w:t>2,467,766</w:t>
            </w:r>
          </w:p>
        </w:tc>
        <w:tc>
          <w:tcPr>
            <w:tcW w:w="1924" w:type="dxa"/>
            <w:vAlign w:val="center"/>
          </w:tcPr>
          <w:p w:rsidR="007E2C7D" w:rsidRDefault="00BD00D4">
            <w:pPr>
              <w:jc w:val="right"/>
            </w:pPr>
            <w:r>
              <w:rPr>
                <w:color w:val="000000"/>
                <w:sz w:val="24"/>
                <w:szCs w:val="24"/>
              </w:rPr>
              <w:t>40,397,329.42</w:t>
            </w:r>
          </w:p>
        </w:tc>
        <w:tc>
          <w:tcPr>
            <w:tcW w:w="1644" w:type="dxa"/>
            <w:vAlign w:val="center"/>
          </w:tcPr>
          <w:p w:rsidR="007E2C7D" w:rsidRDefault="00BD00D4">
            <w:pPr>
              <w:jc w:val="right"/>
            </w:pPr>
            <w:r>
              <w:rPr>
                <w:color w:val="000000"/>
                <w:sz w:val="24"/>
                <w:szCs w:val="24"/>
              </w:rPr>
              <w:t>2.21</w:t>
            </w:r>
          </w:p>
        </w:tc>
      </w:tr>
      <w:tr w:rsidR="007E2C7D">
        <w:trPr>
          <w:jc w:val="center"/>
        </w:trPr>
        <w:tc>
          <w:tcPr>
            <w:tcW w:w="855" w:type="dxa"/>
            <w:vAlign w:val="center"/>
          </w:tcPr>
          <w:p w:rsidR="007E2C7D" w:rsidRDefault="00BD00D4">
            <w:pPr>
              <w:jc w:val="center"/>
            </w:pPr>
            <w:r>
              <w:rPr>
                <w:color w:val="000000"/>
                <w:sz w:val="24"/>
                <w:szCs w:val="24"/>
              </w:rPr>
              <w:t>8</w:t>
            </w:r>
          </w:p>
        </w:tc>
        <w:tc>
          <w:tcPr>
            <w:tcW w:w="1334" w:type="dxa"/>
            <w:vAlign w:val="center"/>
          </w:tcPr>
          <w:p w:rsidR="007E2C7D" w:rsidRDefault="00BD00D4">
            <w:pPr>
              <w:jc w:val="center"/>
            </w:pPr>
            <w:r>
              <w:rPr>
                <w:color w:val="000000"/>
                <w:sz w:val="24"/>
                <w:szCs w:val="24"/>
              </w:rPr>
              <w:t>600029</w:t>
            </w:r>
          </w:p>
        </w:tc>
        <w:tc>
          <w:tcPr>
            <w:tcW w:w="1777" w:type="dxa"/>
            <w:vAlign w:val="center"/>
          </w:tcPr>
          <w:p w:rsidR="007E2C7D" w:rsidRDefault="00BD00D4">
            <w:pPr>
              <w:jc w:val="center"/>
            </w:pPr>
            <w:r>
              <w:rPr>
                <w:color w:val="000000"/>
                <w:sz w:val="24"/>
                <w:szCs w:val="24"/>
              </w:rPr>
              <w:t>南方航空</w:t>
            </w:r>
          </w:p>
        </w:tc>
        <w:tc>
          <w:tcPr>
            <w:tcW w:w="1334" w:type="dxa"/>
            <w:vAlign w:val="center"/>
          </w:tcPr>
          <w:p w:rsidR="007E2C7D" w:rsidRDefault="00BD00D4">
            <w:pPr>
              <w:jc w:val="right"/>
            </w:pPr>
            <w:r>
              <w:rPr>
                <w:color w:val="000000"/>
                <w:sz w:val="24"/>
                <w:szCs w:val="24"/>
              </w:rPr>
              <w:t>4,711,800</w:t>
            </w:r>
          </w:p>
        </w:tc>
        <w:tc>
          <w:tcPr>
            <w:tcW w:w="1924" w:type="dxa"/>
            <w:vAlign w:val="center"/>
          </w:tcPr>
          <w:p w:rsidR="007E2C7D" w:rsidRDefault="00BD00D4">
            <w:pPr>
              <w:jc w:val="right"/>
            </w:pPr>
            <w:r>
              <w:rPr>
                <w:color w:val="000000"/>
                <w:sz w:val="24"/>
                <w:szCs w:val="24"/>
              </w:rPr>
              <w:t>40,380,126.00</w:t>
            </w:r>
          </w:p>
        </w:tc>
        <w:tc>
          <w:tcPr>
            <w:tcW w:w="1644" w:type="dxa"/>
            <w:vAlign w:val="center"/>
          </w:tcPr>
          <w:p w:rsidR="007E2C7D" w:rsidRDefault="00BD00D4">
            <w:pPr>
              <w:jc w:val="right"/>
            </w:pPr>
            <w:r>
              <w:rPr>
                <w:color w:val="000000"/>
                <w:sz w:val="24"/>
                <w:szCs w:val="24"/>
              </w:rPr>
              <w:t>2.21</w:t>
            </w:r>
          </w:p>
        </w:tc>
      </w:tr>
      <w:tr w:rsidR="007E2C7D">
        <w:trPr>
          <w:jc w:val="center"/>
        </w:trPr>
        <w:tc>
          <w:tcPr>
            <w:tcW w:w="855" w:type="dxa"/>
            <w:vAlign w:val="center"/>
          </w:tcPr>
          <w:p w:rsidR="007E2C7D" w:rsidRDefault="00BD00D4">
            <w:pPr>
              <w:jc w:val="center"/>
            </w:pPr>
            <w:r>
              <w:rPr>
                <w:color w:val="000000"/>
                <w:sz w:val="24"/>
                <w:szCs w:val="24"/>
              </w:rPr>
              <w:t>9</w:t>
            </w:r>
          </w:p>
        </w:tc>
        <w:tc>
          <w:tcPr>
            <w:tcW w:w="1334" w:type="dxa"/>
            <w:vAlign w:val="center"/>
          </w:tcPr>
          <w:p w:rsidR="007E2C7D" w:rsidRDefault="00BD00D4">
            <w:pPr>
              <w:jc w:val="center"/>
            </w:pPr>
            <w:r>
              <w:rPr>
                <w:color w:val="000000"/>
                <w:sz w:val="24"/>
                <w:szCs w:val="24"/>
              </w:rPr>
              <w:t>600005</w:t>
            </w:r>
          </w:p>
        </w:tc>
        <w:tc>
          <w:tcPr>
            <w:tcW w:w="1777" w:type="dxa"/>
            <w:vAlign w:val="center"/>
          </w:tcPr>
          <w:p w:rsidR="007E2C7D" w:rsidRDefault="00BD00D4">
            <w:pPr>
              <w:jc w:val="center"/>
            </w:pPr>
            <w:r>
              <w:rPr>
                <w:color w:val="000000"/>
                <w:sz w:val="24"/>
                <w:szCs w:val="24"/>
              </w:rPr>
              <w:t>武钢股份</w:t>
            </w:r>
          </w:p>
        </w:tc>
        <w:tc>
          <w:tcPr>
            <w:tcW w:w="1334" w:type="dxa"/>
            <w:vAlign w:val="center"/>
          </w:tcPr>
          <w:p w:rsidR="007E2C7D" w:rsidRDefault="00BD00D4">
            <w:pPr>
              <w:jc w:val="right"/>
            </w:pPr>
            <w:r>
              <w:rPr>
                <w:color w:val="000000"/>
                <w:sz w:val="24"/>
                <w:szCs w:val="24"/>
              </w:rPr>
              <w:t>11,509,930</w:t>
            </w:r>
          </w:p>
        </w:tc>
        <w:tc>
          <w:tcPr>
            <w:tcW w:w="1924" w:type="dxa"/>
            <w:vAlign w:val="center"/>
          </w:tcPr>
          <w:p w:rsidR="007E2C7D" w:rsidRDefault="00BD00D4">
            <w:pPr>
              <w:jc w:val="right"/>
            </w:pPr>
            <w:r>
              <w:rPr>
                <w:color w:val="000000"/>
                <w:sz w:val="24"/>
                <w:szCs w:val="24"/>
              </w:rPr>
              <w:t>39,939,457.10</w:t>
            </w:r>
          </w:p>
        </w:tc>
        <w:tc>
          <w:tcPr>
            <w:tcW w:w="1644" w:type="dxa"/>
            <w:vAlign w:val="center"/>
          </w:tcPr>
          <w:p w:rsidR="007E2C7D" w:rsidRDefault="00BD00D4">
            <w:pPr>
              <w:jc w:val="right"/>
            </w:pPr>
            <w:r>
              <w:rPr>
                <w:color w:val="000000"/>
                <w:sz w:val="24"/>
                <w:szCs w:val="24"/>
              </w:rPr>
              <w:t>2.19</w:t>
            </w:r>
          </w:p>
        </w:tc>
      </w:tr>
      <w:tr w:rsidR="007E2C7D">
        <w:trPr>
          <w:jc w:val="center"/>
        </w:trPr>
        <w:tc>
          <w:tcPr>
            <w:tcW w:w="855" w:type="dxa"/>
            <w:vAlign w:val="center"/>
          </w:tcPr>
          <w:p w:rsidR="007E2C7D" w:rsidRDefault="00BD00D4">
            <w:pPr>
              <w:jc w:val="center"/>
            </w:pPr>
            <w:r>
              <w:rPr>
                <w:color w:val="000000"/>
                <w:sz w:val="24"/>
                <w:szCs w:val="24"/>
              </w:rPr>
              <w:t>10</w:t>
            </w:r>
          </w:p>
        </w:tc>
        <w:tc>
          <w:tcPr>
            <w:tcW w:w="1334" w:type="dxa"/>
            <w:vAlign w:val="center"/>
          </w:tcPr>
          <w:p w:rsidR="007E2C7D" w:rsidRDefault="00BD00D4">
            <w:pPr>
              <w:jc w:val="center"/>
            </w:pPr>
            <w:r>
              <w:rPr>
                <w:color w:val="000000"/>
                <w:sz w:val="24"/>
                <w:szCs w:val="24"/>
              </w:rPr>
              <w:t>600720</w:t>
            </w:r>
          </w:p>
        </w:tc>
        <w:tc>
          <w:tcPr>
            <w:tcW w:w="1777" w:type="dxa"/>
            <w:vAlign w:val="center"/>
          </w:tcPr>
          <w:p w:rsidR="007E2C7D" w:rsidRDefault="00BD00D4">
            <w:pPr>
              <w:jc w:val="center"/>
            </w:pPr>
            <w:r>
              <w:rPr>
                <w:color w:val="000000"/>
                <w:sz w:val="24"/>
                <w:szCs w:val="24"/>
              </w:rPr>
              <w:t>祁连山</w:t>
            </w:r>
          </w:p>
        </w:tc>
        <w:tc>
          <w:tcPr>
            <w:tcW w:w="1334" w:type="dxa"/>
            <w:vAlign w:val="center"/>
          </w:tcPr>
          <w:p w:rsidR="007E2C7D" w:rsidRDefault="00BD00D4">
            <w:pPr>
              <w:jc w:val="right"/>
            </w:pPr>
            <w:r>
              <w:rPr>
                <w:color w:val="000000"/>
                <w:sz w:val="24"/>
                <w:szCs w:val="24"/>
              </w:rPr>
              <w:t>4,435,576</w:t>
            </w:r>
          </w:p>
        </w:tc>
        <w:tc>
          <w:tcPr>
            <w:tcW w:w="1924" w:type="dxa"/>
            <w:vAlign w:val="center"/>
          </w:tcPr>
          <w:p w:rsidR="007E2C7D" w:rsidRDefault="00BD00D4">
            <w:pPr>
              <w:jc w:val="right"/>
            </w:pPr>
            <w:r>
              <w:rPr>
                <w:color w:val="000000"/>
                <w:sz w:val="24"/>
                <w:szCs w:val="24"/>
              </w:rPr>
              <w:t>39,166,136.08</w:t>
            </w:r>
          </w:p>
        </w:tc>
        <w:tc>
          <w:tcPr>
            <w:tcW w:w="1644" w:type="dxa"/>
            <w:vAlign w:val="center"/>
          </w:tcPr>
          <w:p w:rsidR="007E2C7D" w:rsidRDefault="00BD00D4">
            <w:pPr>
              <w:jc w:val="right"/>
            </w:pPr>
            <w:r>
              <w:rPr>
                <w:color w:val="000000"/>
                <w:sz w:val="24"/>
                <w:szCs w:val="24"/>
              </w:rPr>
              <w:t>2.14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E2C7D">
        <w:trPr>
          <w:jc w:val="center"/>
        </w:trPr>
        <w:tc>
          <w:tcPr>
            <w:tcW w:w="850" w:type="dxa"/>
            <w:vAlign w:val="center"/>
          </w:tcPr>
          <w:p w:rsidR="007E2C7D" w:rsidRDefault="00BD00D4">
            <w:pPr>
              <w:jc w:val="center"/>
            </w:pPr>
            <w:r>
              <w:rPr>
                <w:color w:val="000000"/>
                <w:sz w:val="24"/>
                <w:szCs w:val="24"/>
              </w:rPr>
              <w:t>1</w:t>
            </w:r>
          </w:p>
        </w:tc>
        <w:tc>
          <w:tcPr>
            <w:tcW w:w="1475" w:type="dxa"/>
            <w:vAlign w:val="center"/>
          </w:tcPr>
          <w:p w:rsidR="007E2C7D" w:rsidRDefault="00BD00D4">
            <w:pPr>
              <w:jc w:val="center"/>
            </w:pPr>
            <w:r>
              <w:rPr>
                <w:color w:val="000000"/>
                <w:sz w:val="24"/>
                <w:szCs w:val="24"/>
              </w:rPr>
              <w:t>150416</w:t>
            </w:r>
          </w:p>
        </w:tc>
        <w:tc>
          <w:tcPr>
            <w:tcW w:w="1769" w:type="dxa"/>
            <w:vAlign w:val="center"/>
          </w:tcPr>
          <w:p w:rsidR="007E2C7D" w:rsidRDefault="00BD00D4">
            <w:pPr>
              <w:jc w:val="center"/>
            </w:pPr>
            <w:r>
              <w:rPr>
                <w:color w:val="000000"/>
                <w:sz w:val="24"/>
                <w:szCs w:val="24"/>
              </w:rPr>
              <w:t>15</w:t>
            </w:r>
            <w:r>
              <w:rPr>
                <w:color w:val="000000"/>
                <w:sz w:val="24"/>
                <w:szCs w:val="24"/>
              </w:rPr>
              <w:t>农发</w:t>
            </w:r>
            <w:r>
              <w:rPr>
                <w:color w:val="000000"/>
                <w:sz w:val="24"/>
                <w:szCs w:val="24"/>
              </w:rPr>
              <w:t>16</w:t>
            </w:r>
          </w:p>
        </w:tc>
        <w:tc>
          <w:tcPr>
            <w:tcW w:w="1387" w:type="dxa"/>
            <w:vAlign w:val="center"/>
          </w:tcPr>
          <w:p w:rsidR="007E2C7D" w:rsidRDefault="00BD00D4">
            <w:pPr>
              <w:jc w:val="right"/>
            </w:pPr>
            <w:r>
              <w:rPr>
                <w:color w:val="000000"/>
                <w:sz w:val="24"/>
                <w:szCs w:val="24"/>
              </w:rPr>
              <w:t>1,000,000</w:t>
            </w:r>
          </w:p>
        </w:tc>
        <w:tc>
          <w:tcPr>
            <w:tcW w:w="2150" w:type="dxa"/>
            <w:vAlign w:val="center"/>
          </w:tcPr>
          <w:p w:rsidR="007E2C7D" w:rsidRDefault="00BD00D4">
            <w:pPr>
              <w:jc w:val="right"/>
            </w:pPr>
            <w:r>
              <w:rPr>
                <w:color w:val="000000"/>
                <w:sz w:val="24"/>
                <w:szCs w:val="24"/>
              </w:rPr>
              <w:t>100,230,000.00</w:t>
            </w:r>
          </w:p>
        </w:tc>
        <w:tc>
          <w:tcPr>
            <w:tcW w:w="1237" w:type="dxa"/>
            <w:vAlign w:val="center"/>
          </w:tcPr>
          <w:p w:rsidR="007E2C7D" w:rsidRDefault="00BD00D4">
            <w:pPr>
              <w:jc w:val="right"/>
            </w:pPr>
            <w:r>
              <w:rPr>
                <w:color w:val="000000"/>
                <w:sz w:val="24"/>
                <w:szCs w:val="24"/>
              </w:rPr>
              <w:t>5.48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A96A94"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.9.1</w:t>
      </w:r>
      <w:r w:rsidR="008E1D74" w:rsidRPr="00414345">
        <w:rPr>
          <w:b/>
          <w:bCs/>
          <w:color w:val="000000"/>
          <w:kern w:val="0"/>
          <w:sz w:val="24"/>
          <w:szCs w:val="24"/>
        </w:rPr>
        <w:t xml:space="preserve"> </w:t>
      </w:r>
      <w:r w:rsidR="00A96A94" w:rsidRPr="00414345">
        <w:rPr>
          <w:b/>
          <w:bCs/>
          <w:color w:val="000000"/>
          <w:kern w:val="0"/>
          <w:sz w:val="24"/>
          <w:szCs w:val="24"/>
        </w:rPr>
        <w:t>报告期末本基金投资的股指期货持仓和损益明细</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740"/>
      </w:tblGrid>
      <w:tr w:rsidR="00275745" w:rsidRPr="00414345" w:rsidTr="00AF00EB">
        <w:trPr>
          <w:trHeight w:val="105"/>
          <w:jc w:val="center"/>
        </w:trPr>
        <w:tc>
          <w:tcPr>
            <w:tcW w:w="1478"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79"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80"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740"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7E2C7D" w:rsidTr="00AF00EB">
        <w:trPr>
          <w:jc w:val="center"/>
        </w:trPr>
        <w:tc>
          <w:tcPr>
            <w:tcW w:w="1478" w:type="dxa"/>
            <w:vAlign w:val="center"/>
          </w:tcPr>
          <w:p w:rsidR="007E2C7D" w:rsidRDefault="00BD00D4">
            <w:pPr>
              <w:jc w:val="center"/>
            </w:pPr>
            <w:r>
              <w:t>IF1602</w:t>
            </w:r>
          </w:p>
        </w:tc>
        <w:tc>
          <w:tcPr>
            <w:tcW w:w="1479" w:type="dxa"/>
            <w:vAlign w:val="center"/>
          </w:tcPr>
          <w:p w:rsidR="007E2C7D" w:rsidRDefault="00BD00D4" w:rsidP="009A641F">
            <w:pPr>
              <w:jc w:val="center"/>
            </w:pPr>
            <w:r>
              <w:t>IF1602</w:t>
            </w:r>
          </w:p>
        </w:tc>
        <w:tc>
          <w:tcPr>
            <w:tcW w:w="1479" w:type="dxa"/>
            <w:vAlign w:val="center"/>
          </w:tcPr>
          <w:p w:rsidR="007E2C7D" w:rsidRDefault="00BD00D4" w:rsidP="009A641F">
            <w:pPr>
              <w:jc w:val="center"/>
            </w:pPr>
            <w:r>
              <w:t>26.00</w:t>
            </w:r>
          </w:p>
        </w:tc>
        <w:tc>
          <w:tcPr>
            <w:tcW w:w="1479" w:type="dxa"/>
            <w:vAlign w:val="center"/>
          </w:tcPr>
          <w:p w:rsidR="007E2C7D" w:rsidRDefault="00BD00D4">
            <w:pPr>
              <w:jc w:val="right"/>
            </w:pPr>
            <w:r>
              <w:t>28,259,400.00</w:t>
            </w:r>
          </w:p>
        </w:tc>
        <w:tc>
          <w:tcPr>
            <w:tcW w:w="1480" w:type="dxa"/>
            <w:vAlign w:val="center"/>
          </w:tcPr>
          <w:p w:rsidR="007E2C7D" w:rsidRDefault="00BD00D4">
            <w:pPr>
              <w:jc w:val="right"/>
            </w:pPr>
            <w:r>
              <w:t>-1,056,120.00</w:t>
            </w:r>
          </w:p>
        </w:tc>
        <w:tc>
          <w:tcPr>
            <w:tcW w:w="1740" w:type="dxa"/>
            <w:vAlign w:val="center"/>
          </w:tcPr>
          <w:p w:rsidR="007E2C7D" w:rsidRDefault="00BD00D4" w:rsidP="009A641F">
            <w:pPr>
              <w:jc w:val="center"/>
            </w:pPr>
            <w:r>
              <w:t>-</w:t>
            </w:r>
          </w:p>
        </w:tc>
      </w:tr>
      <w:tr w:rsidR="00275745" w:rsidRPr="00414345" w:rsidTr="00AF00EB">
        <w:trPr>
          <w:trHeight w:val="105"/>
          <w:jc w:val="center"/>
        </w:trPr>
        <w:tc>
          <w:tcPr>
            <w:tcW w:w="7395"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bookmarkStart w:id="0" w:name="_GoBack"/>
            <w:bookmarkEnd w:id="0"/>
          </w:p>
        </w:tc>
        <w:tc>
          <w:tcPr>
            <w:tcW w:w="1740" w:type="dxa"/>
            <w:vAlign w:val="center"/>
          </w:tcPr>
          <w:p w:rsidR="00275745" w:rsidRPr="00414345" w:rsidRDefault="00671594" w:rsidP="00C15CAC">
            <w:pPr>
              <w:pStyle w:val="Default"/>
              <w:spacing w:before="29" w:line="288" w:lineRule="auto"/>
              <w:jc w:val="right"/>
              <w:rPr>
                <w:rFonts w:ascii="Times New Roman" w:hAnsi="Times New Roman" w:cs="Times New Roman"/>
                <w:color w:val="auto"/>
              </w:rPr>
            </w:pPr>
            <w:r w:rsidRPr="00671594">
              <w:rPr>
                <w:rFonts w:ascii="Times New Roman" w:hAnsi="Times New Roman" w:cs="Times New Roman" w:hint="eastAsia"/>
                <w:color w:val="auto"/>
              </w:rPr>
              <w:t>-1,056,120.00</w:t>
            </w:r>
          </w:p>
        </w:tc>
      </w:tr>
      <w:tr w:rsidR="00275745" w:rsidRPr="00414345" w:rsidTr="00AF00EB">
        <w:trPr>
          <w:trHeight w:val="105"/>
          <w:jc w:val="center"/>
        </w:trPr>
        <w:tc>
          <w:tcPr>
            <w:tcW w:w="7395"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740"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-3,340,060.00</w:t>
            </w:r>
          </w:p>
        </w:tc>
      </w:tr>
      <w:tr w:rsidR="00275745" w:rsidRPr="00414345" w:rsidTr="00AF00EB">
        <w:trPr>
          <w:trHeight w:val="105"/>
          <w:jc w:val="center"/>
        </w:trPr>
        <w:tc>
          <w:tcPr>
            <w:tcW w:w="7395"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740"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-1,056,120.00</w:t>
            </w:r>
          </w:p>
        </w:tc>
      </w:tr>
    </w:tbl>
    <w:p w:rsidR="00AA3A38" w:rsidRPr="00414345" w:rsidRDefault="00AA3A38" w:rsidP="00C15CAC">
      <w:pPr>
        <w:adjustRightInd w:val="0"/>
        <w:snapToGrid w:val="0"/>
        <w:spacing w:before="29" w:line="288" w:lineRule="auto"/>
        <w:rPr>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59076B" w:rsidRPr="00414345">
        <w:rPr>
          <w:b/>
          <w:bCs/>
          <w:color w:val="000000"/>
          <w:kern w:val="0"/>
          <w:sz w:val="24"/>
          <w:szCs w:val="24"/>
        </w:rPr>
        <w:t>.9.2</w:t>
      </w:r>
      <w:r w:rsidR="0004308C" w:rsidRPr="00414345">
        <w:rPr>
          <w:b/>
          <w:bCs/>
          <w:color w:val="000000"/>
          <w:kern w:val="0"/>
          <w:sz w:val="24"/>
          <w:szCs w:val="24"/>
        </w:rPr>
        <w:t xml:space="preserve"> </w:t>
      </w:r>
      <w:r w:rsidR="00275745" w:rsidRPr="00414345">
        <w:rPr>
          <w:b/>
          <w:bCs/>
          <w:color w:val="000000"/>
          <w:kern w:val="0"/>
          <w:sz w:val="24"/>
          <w:szCs w:val="24"/>
        </w:rPr>
        <w:t>本基金投资股指期货的投资政策</w:t>
      </w:r>
    </w:p>
    <w:p w:rsidR="007E2C7D" w:rsidRDefault="00BD00D4">
      <w:pPr>
        <w:spacing w:before="29" w:line="288" w:lineRule="auto"/>
        <w:ind w:firstLineChars="200" w:firstLine="480"/>
        <w:rPr>
          <w:color w:val="000000"/>
          <w:sz w:val="24"/>
          <w:szCs w:val="24"/>
        </w:rPr>
      </w:pPr>
      <w:r>
        <w:rPr>
          <w:color w:val="000000"/>
          <w:sz w:val="24"/>
          <w:szCs w:val="24"/>
        </w:rPr>
        <w:t>本基金参与股指期货投资根据风险管理的原则，以套期保值为主要目的。本基金在风险可控的前提下，本着谨慎原则，参与股指期货的投资，以管理投资组合的系统性风险，改善组合的风险收益特性。</w:t>
      </w:r>
    </w:p>
    <w:p w:rsidR="00275745" w:rsidRPr="00414345" w:rsidRDefault="00275745" w:rsidP="00C15CAC">
      <w:pPr>
        <w:spacing w:before="29" w:line="288" w:lineRule="auto"/>
        <w:ind w:firstLineChars="200" w:firstLine="480"/>
        <w:rPr>
          <w:color w:val="000000"/>
          <w:sz w:val="24"/>
          <w:szCs w:val="24"/>
        </w:rPr>
      </w:pPr>
      <w:r w:rsidRPr="00414345">
        <w:rPr>
          <w:color w:val="000000"/>
          <w:sz w:val="24"/>
          <w:szCs w:val="24"/>
        </w:rPr>
        <w:t>本基金的股指期货交易对基金总体风险影响不大，符合本基金的投资政策和投资目标。</w:t>
      </w:r>
    </w:p>
    <w:p w:rsidR="00275745" w:rsidRPr="00414345" w:rsidRDefault="00275745" w:rsidP="00C15CAC">
      <w:pPr>
        <w:autoSpaceDE w:val="0"/>
        <w:autoSpaceDN w:val="0"/>
        <w:adjustRightInd w:val="0"/>
        <w:spacing w:before="29" w:line="288" w:lineRule="auto"/>
        <w:jc w:val="left"/>
        <w:rPr>
          <w:color w:val="000000"/>
          <w:kern w:val="0"/>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11,837,337.21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5,959,927.12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1,366,850.05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460,109.85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19,624,224.23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3,164,513,254.20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176,537,702.25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1,659,598,084.09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1,681,452,872.36</w:t>
            </w:r>
          </w:p>
        </w:tc>
      </w:tr>
    </w:tbl>
    <w:p w:rsidR="007E2C7D" w:rsidRDefault="00BD00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鉴于交银施罗德国企改革灵活配置混合型证券投资基金的业绩比较基准的指数停止计算编制，本基金管理人根据基金合同的相关约定，经与基金托管人协商一致，并报中国证监会备案，决定自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日起将交银施罗德国企改革灵活配置混合型证券投资基金的业绩比较基准由原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7E2C7D" w:rsidRDefault="00BD00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、中国证监会准予交银施罗德国企改革灵活配置混合型证券投资基金募集注册的文件；</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7E2C7D" w:rsidRDefault="00BD00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7E2C7D" w:rsidRDefault="00BD00D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7E2C7D" w:rsidRDefault="00BD00D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7E2C7D" w:rsidRDefault="00BD00D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、关于申请募集注册交银施罗德国企改革灵活配置混合型证券投资基金的法律意见书；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、报告期内交银施罗德国企改革灵活配置混合型证券投资基金在指定报刊上各项公告的原稿。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7E2C7D" w:rsidRDefault="00BD00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71594">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71594">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83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5CDE"/>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3F6E45"/>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1594"/>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2C7D"/>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A641F"/>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0EB"/>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0D4"/>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7DC"/>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1DBD"/>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69"/>
    <o:shapelayout v:ext="edit">
      <o:idmap v:ext="edit" data="1"/>
    </o:shapelayout>
  </w:shapeDefaults>
  <w:decimalSymbol w:val="."/>
  <w:listSeparator w:val=","/>
  <w15:docId w15:val="{59B8947B-9E92-48E9-AB14-4E371A6B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9FF29-B9CF-46B9-BC64-4F9E80E89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1790</TotalTime>
  <Pages>12</Pages>
  <Words>1147</Words>
  <Characters>6538</Characters>
  <Application>Microsoft Office Word</Application>
  <DocSecurity>0</DocSecurity>
  <Lines>54</Lines>
  <Paragraphs>15</Paragraphs>
  <ScaleCrop>false</ScaleCrop>
  <Company/>
  <LinksUpToDate>false</LinksUpToDate>
  <CharactersWithSpaces>7670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568</cp:revision>
  <dcterms:created xsi:type="dcterms:W3CDTF">2012-10-16T06:07:00Z</dcterms:created>
  <dcterms:modified xsi:type="dcterms:W3CDTF">2016-01-19T07:26:00Z</dcterms:modified>
</cp:coreProperties>
</file>