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2015</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2015</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二〇一六年一月二十一日</w:t>
      </w:r>
    </w:p>
    <w:p w:rsidR="00220542" w:rsidRPr="005E324A" w:rsidRDefault="00220542" w:rsidP="00304CC2">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304CC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1,086,959,413.44</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bookmarkStart w:id="0" w:name="_GoBack"/>
            <w:bookmarkEnd w:id="0"/>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809,754,873.44</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138,602,270.00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138,602,270.00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304CC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304CC2" w:rsidRPr="005E324A" w:rsidTr="00304CC2">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304CC2" w:rsidRPr="005E324A" w:rsidTr="00304CC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27,536,972.52</w:t>
            </w:r>
          </w:p>
        </w:tc>
      </w:tr>
      <w:tr w:rsidR="00304CC2" w:rsidRPr="005E324A" w:rsidTr="00304CC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299,431,518.16</w:t>
            </w:r>
          </w:p>
        </w:tc>
      </w:tr>
      <w:tr w:rsidR="00304CC2" w:rsidRPr="005E324A" w:rsidTr="00304CC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0.4035</w:t>
            </w:r>
          </w:p>
        </w:tc>
      </w:tr>
      <w:tr w:rsidR="00304CC2" w:rsidRPr="005E324A" w:rsidTr="00304CC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1,086,599,377.41</w:t>
            </w:r>
          </w:p>
        </w:tc>
      </w:tr>
      <w:tr w:rsidR="00304CC2" w:rsidRPr="005E324A" w:rsidTr="00304CC2">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1.000</w:t>
            </w:r>
          </w:p>
        </w:tc>
      </w:tr>
    </w:tbl>
    <w:p w:rsidR="00B14986" w:rsidRDefault="00304CC2">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B14986">
        <w:tc>
          <w:tcPr>
            <w:tcW w:w="1215" w:type="dxa"/>
            <w:vAlign w:val="center"/>
          </w:tcPr>
          <w:p w:rsidR="00B14986" w:rsidRDefault="00304CC2">
            <w:pPr>
              <w:jc w:val="left"/>
            </w:pPr>
            <w:r>
              <w:rPr>
                <w:rFonts w:eastAsiaTheme="minorEastAsia"/>
                <w:color w:val="000000"/>
                <w:kern w:val="0"/>
                <w:sz w:val="24"/>
              </w:rPr>
              <w:t>过去三个月</w:t>
            </w:r>
          </w:p>
        </w:tc>
        <w:tc>
          <w:tcPr>
            <w:tcW w:w="1216" w:type="dxa"/>
            <w:vAlign w:val="center"/>
          </w:tcPr>
          <w:p w:rsidR="00B14986" w:rsidRDefault="00304CC2">
            <w:pPr>
              <w:jc w:val="center"/>
            </w:pPr>
            <w:r>
              <w:rPr>
                <w:rFonts w:eastAsiaTheme="minorEastAsia"/>
                <w:color w:val="000000"/>
                <w:kern w:val="0"/>
                <w:sz w:val="24"/>
              </w:rPr>
              <w:t>41.35%</w:t>
            </w:r>
          </w:p>
        </w:tc>
        <w:tc>
          <w:tcPr>
            <w:tcW w:w="1216" w:type="dxa"/>
            <w:vAlign w:val="center"/>
          </w:tcPr>
          <w:p w:rsidR="00B14986" w:rsidRDefault="00304CC2">
            <w:pPr>
              <w:jc w:val="center"/>
            </w:pPr>
            <w:r>
              <w:rPr>
                <w:rFonts w:eastAsiaTheme="minorEastAsia"/>
                <w:color w:val="000000"/>
                <w:kern w:val="0"/>
                <w:sz w:val="24"/>
              </w:rPr>
              <w:t>2.36%</w:t>
            </w:r>
          </w:p>
        </w:tc>
        <w:tc>
          <w:tcPr>
            <w:tcW w:w="1216" w:type="dxa"/>
            <w:vAlign w:val="center"/>
          </w:tcPr>
          <w:p w:rsidR="00B14986" w:rsidRDefault="00304CC2">
            <w:pPr>
              <w:jc w:val="center"/>
            </w:pPr>
            <w:r>
              <w:rPr>
                <w:rFonts w:eastAsiaTheme="minorEastAsia"/>
                <w:color w:val="000000"/>
                <w:kern w:val="0"/>
                <w:sz w:val="24"/>
              </w:rPr>
              <w:t>32.17%</w:t>
            </w:r>
          </w:p>
        </w:tc>
        <w:tc>
          <w:tcPr>
            <w:tcW w:w="1216" w:type="dxa"/>
            <w:vAlign w:val="center"/>
          </w:tcPr>
          <w:p w:rsidR="00B14986" w:rsidRDefault="00304CC2">
            <w:pPr>
              <w:jc w:val="center"/>
            </w:pPr>
            <w:r>
              <w:rPr>
                <w:rFonts w:eastAsiaTheme="minorEastAsia"/>
                <w:color w:val="000000"/>
                <w:kern w:val="0"/>
                <w:sz w:val="24"/>
              </w:rPr>
              <w:t>2.14%</w:t>
            </w:r>
          </w:p>
        </w:tc>
        <w:tc>
          <w:tcPr>
            <w:tcW w:w="1217" w:type="dxa"/>
            <w:vAlign w:val="center"/>
          </w:tcPr>
          <w:p w:rsidR="00B14986" w:rsidRDefault="00304CC2">
            <w:pPr>
              <w:jc w:val="center"/>
            </w:pPr>
            <w:r>
              <w:rPr>
                <w:rFonts w:eastAsiaTheme="minorEastAsia"/>
                <w:color w:val="000000"/>
                <w:kern w:val="0"/>
                <w:sz w:val="24"/>
              </w:rPr>
              <w:t>9.18%</w:t>
            </w:r>
          </w:p>
        </w:tc>
        <w:tc>
          <w:tcPr>
            <w:tcW w:w="1217" w:type="dxa"/>
            <w:vAlign w:val="center"/>
          </w:tcPr>
          <w:p w:rsidR="00B14986" w:rsidRDefault="00304CC2">
            <w:pPr>
              <w:jc w:val="center"/>
            </w:pPr>
            <w:r>
              <w:rPr>
                <w:rFonts w:eastAsiaTheme="minorEastAsia"/>
                <w:color w:val="000000"/>
                <w:kern w:val="0"/>
                <w:sz w:val="24"/>
              </w:rPr>
              <w:t>0.22%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26</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304CC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B14986">
        <w:tc>
          <w:tcPr>
            <w:tcW w:w="952" w:type="dxa"/>
            <w:vAlign w:val="center"/>
          </w:tcPr>
          <w:p w:rsidR="00B14986" w:rsidRDefault="00304CC2">
            <w:pPr>
              <w:jc w:val="center"/>
            </w:pPr>
            <w:r>
              <w:rPr>
                <w:rFonts w:eastAsiaTheme="minorEastAsia"/>
                <w:color w:val="000000"/>
                <w:sz w:val="24"/>
              </w:rPr>
              <w:t>蔡铮</w:t>
            </w:r>
          </w:p>
        </w:tc>
        <w:tc>
          <w:tcPr>
            <w:tcW w:w="930" w:type="dxa"/>
            <w:vAlign w:val="center"/>
          </w:tcPr>
          <w:p w:rsidR="00B14986" w:rsidRDefault="00304CC2">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B14986" w:rsidRDefault="00304CC2">
            <w:pPr>
              <w:jc w:val="center"/>
            </w:pPr>
            <w:r>
              <w:rPr>
                <w:rFonts w:eastAsiaTheme="minorEastAsia"/>
                <w:color w:val="000000"/>
                <w:sz w:val="24"/>
              </w:rPr>
              <w:t>2015-03-26</w:t>
            </w:r>
          </w:p>
        </w:tc>
        <w:tc>
          <w:tcPr>
            <w:tcW w:w="1309" w:type="dxa"/>
            <w:vAlign w:val="center"/>
          </w:tcPr>
          <w:p w:rsidR="00B14986" w:rsidRDefault="00304CC2">
            <w:pPr>
              <w:jc w:val="center"/>
            </w:pPr>
            <w:r>
              <w:rPr>
                <w:rFonts w:eastAsiaTheme="minorEastAsia"/>
                <w:color w:val="000000"/>
                <w:sz w:val="24"/>
              </w:rPr>
              <w:t>-</w:t>
            </w:r>
          </w:p>
        </w:tc>
        <w:tc>
          <w:tcPr>
            <w:tcW w:w="1254" w:type="dxa"/>
            <w:vAlign w:val="center"/>
          </w:tcPr>
          <w:p w:rsidR="00B14986" w:rsidRDefault="00304CC2">
            <w:pPr>
              <w:jc w:val="center"/>
            </w:pPr>
            <w:r>
              <w:rPr>
                <w:rFonts w:eastAsiaTheme="minorEastAsia"/>
                <w:color w:val="000000"/>
                <w:sz w:val="24"/>
              </w:rPr>
              <w:t>6</w:t>
            </w:r>
            <w:r>
              <w:rPr>
                <w:rFonts w:eastAsiaTheme="minorEastAsia"/>
                <w:color w:val="000000"/>
                <w:sz w:val="24"/>
              </w:rPr>
              <w:t>年</w:t>
            </w:r>
          </w:p>
        </w:tc>
        <w:tc>
          <w:tcPr>
            <w:tcW w:w="3276" w:type="dxa"/>
            <w:vAlign w:val="center"/>
          </w:tcPr>
          <w:p w:rsidR="00B14986" w:rsidRDefault="00304CC2">
            <w:r>
              <w:rPr>
                <w:rFonts w:eastAsiaTheme="minorEastAsia"/>
                <w:color w:val="000000"/>
                <w:sz w:val="24"/>
              </w:rPr>
              <w:t>蔡铮先生，复旦大学电子工程硕士。历任瑞士银行香港分行分析员。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304CC2">
        <w:rPr>
          <w:rFonts w:eastAsiaTheme="minorEastAsia" w:hint="eastAsia"/>
          <w:b/>
          <w:color w:val="000000"/>
          <w:kern w:val="0"/>
          <w:sz w:val="24"/>
        </w:rPr>
        <w:t xml:space="preserve"> </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B14986" w:rsidRDefault="00304CC2">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14986" w:rsidRDefault="00304CC2">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B14986" w:rsidRDefault="00304CC2">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B14986" w:rsidRDefault="00304CC2">
      <w:pPr>
        <w:spacing w:line="360" w:lineRule="auto"/>
        <w:ind w:firstLineChars="200" w:firstLine="480"/>
        <w:rPr>
          <w:rFonts w:eastAsiaTheme="minorEastAsia"/>
          <w:color w:val="000000"/>
          <w:kern w:val="0"/>
          <w:sz w:val="24"/>
        </w:rPr>
      </w:pPr>
      <w:r>
        <w:rPr>
          <w:rFonts w:eastAsiaTheme="minorEastAsia"/>
          <w:color w:val="000000"/>
          <w:kern w:val="0"/>
          <w:sz w:val="24"/>
        </w:rPr>
        <w:t>2015</w:t>
      </w:r>
      <w:r>
        <w:rPr>
          <w:rFonts w:eastAsiaTheme="minorEastAsia"/>
          <w:color w:val="000000"/>
          <w:kern w:val="0"/>
          <w:sz w:val="24"/>
        </w:rPr>
        <w:t>年第四季度，国内经济先行指标出现企稳，但经济增长和企业盈利下行压力依然较大。随着美联储加息，全球资产风险偏好暂获回升。货币政策延续宽松和国家对股市维稳意愿的加强进一步推动了资本市场的反弹行情。作为跟踪国证新能源指数的指数基金，在第四季度基金总体呈现出上涨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2016</w:t>
      </w:r>
      <w:r w:rsidRPr="005E324A">
        <w:rPr>
          <w:rFonts w:eastAsiaTheme="minorEastAsia"/>
          <w:color w:val="000000"/>
          <w:kern w:val="0"/>
          <w:sz w:val="24"/>
        </w:rPr>
        <w:t>年第一季度，宽松的货币政策环境有望持续，一些大的改革措施有望落地，整个经济环境因此有望从明显下滑过渡到稳步寻底回升，因此我们有理由对未来市场保持谨慎乐观的态度。</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1.000</w:t>
      </w:r>
      <w:r w:rsidRPr="005E324A">
        <w:rPr>
          <w:rFonts w:eastAsiaTheme="minorEastAsia"/>
          <w:color w:val="000000"/>
          <w:kern w:val="0"/>
          <w:sz w:val="24"/>
        </w:rPr>
        <w:t>元，本报告期份额净值增长率为</w:t>
      </w:r>
      <w:r w:rsidRPr="005E324A">
        <w:rPr>
          <w:rFonts w:eastAsiaTheme="minorEastAsia"/>
          <w:color w:val="000000"/>
          <w:kern w:val="0"/>
          <w:sz w:val="24"/>
        </w:rPr>
        <w:t>41.35%</w:t>
      </w:r>
      <w:r w:rsidRPr="005E324A">
        <w:rPr>
          <w:rFonts w:eastAsiaTheme="minorEastAsia"/>
          <w:color w:val="000000"/>
          <w:kern w:val="0"/>
          <w:sz w:val="24"/>
        </w:rPr>
        <w:t>，同期业绩比较基准增长率为</w:t>
      </w:r>
      <w:r w:rsidRPr="005E324A">
        <w:rPr>
          <w:rFonts w:eastAsiaTheme="minorEastAsia"/>
          <w:color w:val="000000"/>
          <w:kern w:val="0"/>
          <w:sz w:val="24"/>
        </w:rPr>
        <w:t>32.17%</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304CC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1,028,549,082.64</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92.92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1,028,549,082.64</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92.92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70,839,428.01</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6.40</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7,541,671.95</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0.68</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1,106,930,182.60</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304CC2">
            <w:pPr>
              <w:jc w:val="right"/>
              <w:rPr>
                <w:rFonts w:eastAsiaTheme="minorEastAsia"/>
                <w:sz w:val="24"/>
              </w:rPr>
            </w:pPr>
            <w:r w:rsidRPr="005E324A">
              <w:rPr>
                <w:rFonts w:eastAsiaTheme="minorEastAsia"/>
                <w:sz w:val="24"/>
              </w:rPr>
              <w:t>33,436,135.83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304CC2">
            <w:pPr>
              <w:jc w:val="right"/>
              <w:rPr>
                <w:rFonts w:eastAsiaTheme="minorEastAsia"/>
                <w:sz w:val="24"/>
              </w:rPr>
            </w:pPr>
            <w:r w:rsidRPr="005E324A">
              <w:rPr>
                <w:rFonts w:eastAsiaTheme="minorEastAsia"/>
                <w:sz w:val="24"/>
              </w:rPr>
              <w:t>3.08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844,995,799.09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77.77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76,920,900.57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7.08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12,569,690.54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1.16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19,743,051.06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25,203,419.79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2.32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304CC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304CC2">
            <w:pPr>
              <w:adjustRightInd w:val="0"/>
              <w:snapToGrid w:val="0"/>
              <w:spacing w:line="400" w:lineRule="exac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304CC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304CC2">
            <w:pPr>
              <w:adjustRightInd w:val="0"/>
              <w:snapToGrid w:val="0"/>
              <w:spacing w:line="400" w:lineRule="exac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304CC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304CC2">
            <w:pPr>
              <w:adjustRightInd w:val="0"/>
              <w:snapToGrid w:val="0"/>
              <w:spacing w:line="400" w:lineRule="exac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304CC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304CC2">
            <w:pPr>
              <w:adjustRightInd w:val="0"/>
              <w:snapToGrid w:val="0"/>
              <w:spacing w:line="400" w:lineRule="exac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304CC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304CC2">
            <w:pPr>
              <w:adjustRightInd w:val="0"/>
              <w:snapToGrid w:val="0"/>
              <w:spacing w:line="400" w:lineRule="exac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304CC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304CC2">
            <w:pPr>
              <w:adjustRightInd w:val="0"/>
              <w:snapToGrid w:val="0"/>
              <w:spacing w:line="400" w:lineRule="exac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15,680,085.76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1.44</w:t>
            </w:r>
          </w:p>
        </w:tc>
      </w:tr>
      <w:tr w:rsidR="00EA5D6D" w:rsidRPr="005E324A" w:rsidTr="00304CC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304CC2">
            <w:pPr>
              <w:adjustRightInd w:val="0"/>
              <w:snapToGrid w:val="0"/>
              <w:spacing w:line="400" w:lineRule="exac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1,028,549,082.64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94.66</w:t>
            </w:r>
          </w:p>
        </w:tc>
      </w:tr>
    </w:tbl>
    <w:p w:rsidR="004318F0" w:rsidRPr="005E324A" w:rsidRDefault="004318F0"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B14986">
        <w:tc>
          <w:tcPr>
            <w:tcW w:w="817" w:type="dxa"/>
            <w:vAlign w:val="center"/>
          </w:tcPr>
          <w:p w:rsidR="00B14986" w:rsidRDefault="00304CC2">
            <w:pPr>
              <w:jc w:val="center"/>
            </w:pPr>
            <w:r>
              <w:rPr>
                <w:rFonts w:eastAsiaTheme="minorEastAsia"/>
                <w:color w:val="000000"/>
                <w:sz w:val="24"/>
              </w:rPr>
              <w:t>1</w:t>
            </w:r>
          </w:p>
        </w:tc>
        <w:tc>
          <w:tcPr>
            <w:tcW w:w="1276" w:type="dxa"/>
            <w:vAlign w:val="center"/>
          </w:tcPr>
          <w:p w:rsidR="00B14986" w:rsidRDefault="00304CC2">
            <w:pPr>
              <w:jc w:val="center"/>
            </w:pPr>
            <w:r>
              <w:rPr>
                <w:rFonts w:eastAsiaTheme="minorEastAsia"/>
                <w:color w:val="000000"/>
                <w:sz w:val="24"/>
              </w:rPr>
              <w:t>300014</w:t>
            </w:r>
          </w:p>
        </w:tc>
        <w:tc>
          <w:tcPr>
            <w:tcW w:w="1701" w:type="dxa"/>
            <w:vAlign w:val="center"/>
          </w:tcPr>
          <w:p w:rsidR="00B14986" w:rsidRDefault="00304CC2">
            <w:pPr>
              <w:jc w:val="center"/>
            </w:pPr>
            <w:r>
              <w:rPr>
                <w:rFonts w:eastAsiaTheme="minorEastAsia"/>
                <w:color w:val="000000"/>
                <w:sz w:val="24"/>
              </w:rPr>
              <w:t>亿纬锂能</w:t>
            </w:r>
          </w:p>
        </w:tc>
        <w:tc>
          <w:tcPr>
            <w:tcW w:w="1276" w:type="dxa"/>
            <w:vAlign w:val="center"/>
          </w:tcPr>
          <w:p w:rsidR="00B14986" w:rsidRDefault="00304CC2">
            <w:pPr>
              <w:jc w:val="right"/>
            </w:pPr>
            <w:r>
              <w:rPr>
                <w:rFonts w:eastAsiaTheme="minorEastAsia"/>
                <w:color w:val="000000"/>
                <w:sz w:val="24"/>
              </w:rPr>
              <w:t>717,539</w:t>
            </w:r>
          </w:p>
        </w:tc>
        <w:tc>
          <w:tcPr>
            <w:tcW w:w="1842" w:type="dxa"/>
            <w:vAlign w:val="center"/>
          </w:tcPr>
          <w:p w:rsidR="00B14986" w:rsidRDefault="00304CC2">
            <w:pPr>
              <w:jc w:val="right"/>
            </w:pPr>
            <w:r>
              <w:rPr>
                <w:rFonts w:eastAsiaTheme="minorEastAsia"/>
                <w:color w:val="000000"/>
                <w:sz w:val="24"/>
              </w:rPr>
              <w:t>23,549,629.98</w:t>
            </w:r>
          </w:p>
        </w:tc>
        <w:tc>
          <w:tcPr>
            <w:tcW w:w="1616" w:type="dxa"/>
            <w:vAlign w:val="center"/>
          </w:tcPr>
          <w:p w:rsidR="00B14986" w:rsidRDefault="00304CC2">
            <w:pPr>
              <w:jc w:val="right"/>
            </w:pPr>
            <w:r>
              <w:rPr>
                <w:rFonts w:eastAsiaTheme="minorEastAsia"/>
                <w:color w:val="000000"/>
                <w:sz w:val="24"/>
              </w:rPr>
              <w:t>2.17</w:t>
            </w:r>
          </w:p>
        </w:tc>
      </w:tr>
      <w:tr w:rsidR="00B14986">
        <w:tc>
          <w:tcPr>
            <w:tcW w:w="817" w:type="dxa"/>
            <w:vAlign w:val="center"/>
          </w:tcPr>
          <w:p w:rsidR="00B14986" w:rsidRDefault="00304CC2">
            <w:pPr>
              <w:jc w:val="center"/>
            </w:pPr>
            <w:r>
              <w:rPr>
                <w:rFonts w:eastAsiaTheme="minorEastAsia"/>
                <w:color w:val="000000"/>
                <w:sz w:val="24"/>
              </w:rPr>
              <w:t>2</w:t>
            </w:r>
          </w:p>
        </w:tc>
        <w:tc>
          <w:tcPr>
            <w:tcW w:w="1276" w:type="dxa"/>
            <w:vAlign w:val="center"/>
          </w:tcPr>
          <w:p w:rsidR="00B14986" w:rsidRDefault="00304CC2">
            <w:pPr>
              <w:jc w:val="center"/>
            </w:pPr>
            <w:r>
              <w:rPr>
                <w:rFonts w:eastAsiaTheme="minorEastAsia"/>
                <w:color w:val="000000"/>
                <w:sz w:val="24"/>
              </w:rPr>
              <w:t>002070</w:t>
            </w:r>
          </w:p>
        </w:tc>
        <w:tc>
          <w:tcPr>
            <w:tcW w:w="1701" w:type="dxa"/>
            <w:vAlign w:val="center"/>
          </w:tcPr>
          <w:p w:rsidR="00B14986" w:rsidRDefault="00304CC2">
            <w:pPr>
              <w:jc w:val="center"/>
            </w:pPr>
            <w:r>
              <w:rPr>
                <w:rFonts w:eastAsiaTheme="minorEastAsia"/>
                <w:color w:val="000000"/>
                <w:sz w:val="24"/>
              </w:rPr>
              <w:t>众和股份</w:t>
            </w:r>
          </w:p>
        </w:tc>
        <w:tc>
          <w:tcPr>
            <w:tcW w:w="1276" w:type="dxa"/>
            <w:vAlign w:val="center"/>
          </w:tcPr>
          <w:p w:rsidR="00B14986" w:rsidRDefault="00304CC2">
            <w:pPr>
              <w:jc w:val="right"/>
            </w:pPr>
            <w:r>
              <w:rPr>
                <w:rFonts w:eastAsiaTheme="minorEastAsia"/>
                <w:color w:val="000000"/>
                <w:sz w:val="24"/>
              </w:rPr>
              <w:t>1,040,751</w:t>
            </w:r>
          </w:p>
        </w:tc>
        <w:tc>
          <w:tcPr>
            <w:tcW w:w="1842" w:type="dxa"/>
            <w:vAlign w:val="center"/>
          </w:tcPr>
          <w:p w:rsidR="00B14986" w:rsidRDefault="00304CC2">
            <w:pPr>
              <w:jc w:val="right"/>
            </w:pPr>
            <w:r>
              <w:rPr>
                <w:rFonts w:eastAsiaTheme="minorEastAsia"/>
                <w:color w:val="000000"/>
                <w:sz w:val="24"/>
              </w:rPr>
              <w:t>22,730,001.84</w:t>
            </w:r>
          </w:p>
        </w:tc>
        <w:tc>
          <w:tcPr>
            <w:tcW w:w="1616" w:type="dxa"/>
            <w:vAlign w:val="center"/>
          </w:tcPr>
          <w:p w:rsidR="00B14986" w:rsidRDefault="00304CC2">
            <w:pPr>
              <w:jc w:val="right"/>
            </w:pPr>
            <w:r>
              <w:rPr>
                <w:rFonts w:eastAsiaTheme="minorEastAsia"/>
                <w:color w:val="000000"/>
                <w:sz w:val="24"/>
              </w:rPr>
              <w:t>2.09</w:t>
            </w:r>
          </w:p>
        </w:tc>
      </w:tr>
      <w:tr w:rsidR="00B14986">
        <w:tc>
          <w:tcPr>
            <w:tcW w:w="817" w:type="dxa"/>
            <w:vAlign w:val="center"/>
          </w:tcPr>
          <w:p w:rsidR="00B14986" w:rsidRDefault="00304CC2">
            <w:pPr>
              <w:jc w:val="center"/>
            </w:pPr>
            <w:r>
              <w:rPr>
                <w:rFonts w:eastAsiaTheme="minorEastAsia"/>
                <w:color w:val="000000"/>
                <w:sz w:val="24"/>
              </w:rPr>
              <w:t>3</w:t>
            </w:r>
          </w:p>
        </w:tc>
        <w:tc>
          <w:tcPr>
            <w:tcW w:w="1276" w:type="dxa"/>
            <w:vAlign w:val="center"/>
          </w:tcPr>
          <w:p w:rsidR="00B14986" w:rsidRDefault="00304CC2">
            <w:pPr>
              <w:jc w:val="center"/>
            </w:pPr>
            <w:r>
              <w:rPr>
                <w:rFonts w:eastAsiaTheme="minorEastAsia"/>
                <w:color w:val="000000"/>
                <w:sz w:val="24"/>
              </w:rPr>
              <w:t>300207</w:t>
            </w:r>
          </w:p>
        </w:tc>
        <w:tc>
          <w:tcPr>
            <w:tcW w:w="1701" w:type="dxa"/>
            <w:vAlign w:val="center"/>
          </w:tcPr>
          <w:p w:rsidR="00B14986" w:rsidRDefault="00304CC2">
            <w:pPr>
              <w:jc w:val="center"/>
            </w:pPr>
            <w:r>
              <w:rPr>
                <w:rFonts w:eastAsiaTheme="minorEastAsia"/>
                <w:color w:val="000000"/>
                <w:sz w:val="24"/>
              </w:rPr>
              <w:t>欣旺达</w:t>
            </w:r>
          </w:p>
        </w:tc>
        <w:tc>
          <w:tcPr>
            <w:tcW w:w="1276" w:type="dxa"/>
            <w:vAlign w:val="center"/>
          </w:tcPr>
          <w:p w:rsidR="00B14986" w:rsidRDefault="00304CC2">
            <w:pPr>
              <w:jc w:val="right"/>
            </w:pPr>
            <w:r>
              <w:rPr>
                <w:rFonts w:eastAsiaTheme="minorEastAsia"/>
                <w:color w:val="000000"/>
                <w:sz w:val="24"/>
              </w:rPr>
              <w:t>762,478</w:t>
            </w:r>
          </w:p>
        </w:tc>
        <w:tc>
          <w:tcPr>
            <w:tcW w:w="1842" w:type="dxa"/>
            <w:vAlign w:val="center"/>
          </w:tcPr>
          <w:p w:rsidR="00B14986" w:rsidRDefault="00304CC2">
            <w:pPr>
              <w:jc w:val="right"/>
            </w:pPr>
            <w:r>
              <w:rPr>
                <w:rFonts w:eastAsiaTheme="minorEastAsia"/>
                <w:color w:val="000000"/>
                <w:sz w:val="24"/>
              </w:rPr>
              <w:t>21,425,631.80</w:t>
            </w:r>
          </w:p>
        </w:tc>
        <w:tc>
          <w:tcPr>
            <w:tcW w:w="1616" w:type="dxa"/>
            <w:vAlign w:val="center"/>
          </w:tcPr>
          <w:p w:rsidR="00B14986" w:rsidRDefault="00304CC2">
            <w:pPr>
              <w:jc w:val="right"/>
            </w:pPr>
            <w:r>
              <w:rPr>
                <w:rFonts w:eastAsiaTheme="minorEastAsia"/>
                <w:color w:val="000000"/>
                <w:sz w:val="24"/>
              </w:rPr>
              <w:t>1.97</w:t>
            </w:r>
          </w:p>
        </w:tc>
      </w:tr>
      <w:tr w:rsidR="00B14986">
        <w:tc>
          <w:tcPr>
            <w:tcW w:w="817" w:type="dxa"/>
            <w:vAlign w:val="center"/>
          </w:tcPr>
          <w:p w:rsidR="00B14986" w:rsidRDefault="00304CC2">
            <w:pPr>
              <w:jc w:val="center"/>
            </w:pPr>
            <w:r>
              <w:rPr>
                <w:rFonts w:eastAsiaTheme="minorEastAsia"/>
                <w:color w:val="000000"/>
                <w:sz w:val="24"/>
              </w:rPr>
              <w:t>4</w:t>
            </w:r>
          </w:p>
        </w:tc>
        <w:tc>
          <w:tcPr>
            <w:tcW w:w="1276" w:type="dxa"/>
            <w:vAlign w:val="center"/>
          </w:tcPr>
          <w:p w:rsidR="00B14986" w:rsidRDefault="00304CC2">
            <w:pPr>
              <w:jc w:val="center"/>
            </w:pPr>
            <w:r>
              <w:rPr>
                <w:rFonts w:eastAsiaTheme="minorEastAsia"/>
                <w:color w:val="000000"/>
                <w:sz w:val="24"/>
              </w:rPr>
              <w:t>000762</w:t>
            </w:r>
          </w:p>
        </w:tc>
        <w:tc>
          <w:tcPr>
            <w:tcW w:w="1701" w:type="dxa"/>
            <w:vAlign w:val="center"/>
          </w:tcPr>
          <w:p w:rsidR="00B14986" w:rsidRDefault="00304CC2">
            <w:pPr>
              <w:jc w:val="center"/>
            </w:pPr>
            <w:r>
              <w:rPr>
                <w:rFonts w:eastAsiaTheme="minorEastAsia"/>
                <w:color w:val="000000"/>
                <w:sz w:val="24"/>
              </w:rPr>
              <w:t>西藏矿业</w:t>
            </w:r>
          </w:p>
        </w:tc>
        <w:tc>
          <w:tcPr>
            <w:tcW w:w="1276" w:type="dxa"/>
            <w:vAlign w:val="center"/>
          </w:tcPr>
          <w:p w:rsidR="00B14986" w:rsidRDefault="00304CC2">
            <w:pPr>
              <w:jc w:val="right"/>
            </w:pPr>
            <w:r>
              <w:rPr>
                <w:rFonts w:eastAsiaTheme="minorEastAsia"/>
                <w:color w:val="000000"/>
                <w:sz w:val="24"/>
              </w:rPr>
              <w:t>775,073</w:t>
            </w:r>
          </w:p>
        </w:tc>
        <w:tc>
          <w:tcPr>
            <w:tcW w:w="1842" w:type="dxa"/>
            <w:vAlign w:val="center"/>
          </w:tcPr>
          <w:p w:rsidR="00B14986" w:rsidRDefault="00304CC2">
            <w:pPr>
              <w:jc w:val="right"/>
            </w:pPr>
            <w:r>
              <w:rPr>
                <w:rFonts w:eastAsiaTheme="minorEastAsia"/>
                <w:color w:val="000000"/>
                <w:sz w:val="24"/>
              </w:rPr>
              <w:t>20,384,419.90</w:t>
            </w:r>
          </w:p>
        </w:tc>
        <w:tc>
          <w:tcPr>
            <w:tcW w:w="1616" w:type="dxa"/>
            <w:vAlign w:val="center"/>
          </w:tcPr>
          <w:p w:rsidR="00B14986" w:rsidRDefault="00304CC2">
            <w:pPr>
              <w:jc w:val="right"/>
            </w:pPr>
            <w:r>
              <w:rPr>
                <w:rFonts w:eastAsiaTheme="minorEastAsia"/>
                <w:color w:val="000000"/>
                <w:sz w:val="24"/>
              </w:rPr>
              <w:t>1.88</w:t>
            </w:r>
          </w:p>
        </w:tc>
      </w:tr>
      <w:tr w:rsidR="00B14986">
        <w:tc>
          <w:tcPr>
            <w:tcW w:w="817" w:type="dxa"/>
            <w:vAlign w:val="center"/>
          </w:tcPr>
          <w:p w:rsidR="00B14986" w:rsidRDefault="00304CC2">
            <w:pPr>
              <w:jc w:val="center"/>
            </w:pPr>
            <w:r>
              <w:rPr>
                <w:rFonts w:eastAsiaTheme="minorEastAsia"/>
                <w:color w:val="000000"/>
                <w:sz w:val="24"/>
              </w:rPr>
              <w:t>5</w:t>
            </w:r>
          </w:p>
        </w:tc>
        <w:tc>
          <w:tcPr>
            <w:tcW w:w="1276" w:type="dxa"/>
            <w:vAlign w:val="center"/>
          </w:tcPr>
          <w:p w:rsidR="00B14986" w:rsidRDefault="00304CC2">
            <w:pPr>
              <w:jc w:val="center"/>
            </w:pPr>
            <w:r>
              <w:rPr>
                <w:rFonts w:eastAsiaTheme="minorEastAsia"/>
                <w:color w:val="000000"/>
                <w:sz w:val="24"/>
              </w:rPr>
              <w:t>600884</w:t>
            </w:r>
          </w:p>
        </w:tc>
        <w:tc>
          <w:tcPr>
            <w:tcW w:w="1701" w:type="dxa"/>
            <w:vAlign w:val="center"/>
          </w:tcPr>
          <w:p w:rsidR="00B14986" w:rsidRDefault="00304CC2">
            <w:pPr>
              <w:jc w:val="center"/>
            </w:pPr>
            <w:r>
              <w:rPr>
                <w:rFonts w:eastAsiaTheme="minorEastAsia"/>
                <w:color w:val="000000"/>
                <w:sz w:val="24"/>
              </w:rPr>
              <w:t>杉杉股份</w:t>
            </w:r>
          </w:p>
        </w:tc>
        <w:tc>
          <w:tcPr>
            <w:tcW w:w="1276" w:type="dxa"/>
            <w:vAlign w:val="center"/>
          </w:tcPr>
          <w:p w:rsidR="00B14986" w:rsidRDefault="00304CC2">
            <w:pPr>
              <w:jc w:val="right"/>
            </w:pPr>
            <w:r>
              <w:rPr>
                <w:rFonts w:eastAsiaTheme="minorEastAsia"/>
                <w:color w:val="000000"/>
                <w:sz w:val="24"/>
              </w:rPr>
              <w:t>516,806</w:t>
            </w:r>
          </w:p>
        </w:tc>
        <w:tc>
          <w:tcPr>
            <w:tcW w:w="1842" w:type="dxa"/>
            <w:vAlign w:val="center"/>
          </w:tcPr>
          <w:p w:rsidR="00B14986" w:rsidRDefault="00304CC2">
            <w:pPr>
              <w:jc w:val="right"/>
            </w:pPr>
            <w:r>
              <w:rPr>
                <w:rFonts w:eastAsiaTheme="minorEastAsia"/>
                <w:color w:val="000000"/>
                <w:sz w:val="24"/>
              </w:rPr>
              <w:t>20,279,467.44</w:t>
            </w:r>
          </w:p>
        </w:tc>
        <w:tc>
          <w:tcPr>
            <w:tcW w:w="1616" w:type="dxa"/>
            <w:vAlign w:val="center"/>
          </w:tcPr>
          <w:p w:rsidR="00B14986" w:rsidRDefault="00304CC2">
            <w:pPr>
              <w:jc w:val="right"/>
            </w:pPr>
            <w:r>
              <w:rPr>
                <w:rFonts w:eastAsiaTheme="minorEastAsia"/>
                <w:color w:val="000000"/>
                <w:sz w:val="24"/>
              </w:rPr>
              <w:t>1.87</w:t>
            </w:r>
          </w:p>
        </w:tc>
      </w:tr>
      <w:tr w:rsidR="00B14986">
        <w:tc>
          <w:tcPr>
            <w:tcW w:w="817" w:type="dxa"/>
            <w:vAlign w:val="center"/>
          </w:tcPr>
          <w:p w:rsidR="00B14986" w:rsidRDefault="00304CC2">
            <w:pPr>
              <w:jc w:val="center"/>
            </w:pPr>
            <w:r>
              <w:rPr>
                <w:rFonts w:eastAsiaTheme="minorEastAsia"/>
                <w:color w:val="000000"/>
                <w:sz w:val="24"/>
              </w:rPr>
              <w:t>6</w:t>
            </w:r>
          </w:p>
        </w:tc>
        <w:tc>
          <w:tcPr>
            <w:tcW w:w="1276" w:type="dxa"/>
            <w:vAlign w:val="center"/>
          </w:tcPr>
          <w:p w:rsidR="00B14986" w:rsidRDefault="00304CC2">
            <w:pPr>
              <w:jc w:val="center"/>
            </w:pPr>
            <w:r>
              <w:rPr>
                <w:rFonts w:eastAsiaTheme="minorEastAsia"/>
                <w:color w:val="000000"/>
                <w:sz w:val="24"/>
              </w:rPr>
              <w:t>002460</w:t>
            </w:r>
          </w:p>
        </w:tc>
        <w:tc>
          <w:tcPr>
            <w:tcW w:w="1701" w:type="dxa"/>
            <w:vAlign w:val="center"/>
          </w:tcPr>
          <w:p w:rsidR="00B14986" w:rsidRDefault="00304CC2">
            <w:pPr>
              <w:jc w:val="center"/>
            </w:pPr>
            <w:r>
              <w:rPr>
                <w:rFonts w:eastAsiaTheme="minorEastAsia"/>
                <w:color w:val="000000"/>
                <w:sz w:val="24"/>
              </w:rPr>
              <w:t>赣锋锂业</w:t>
            </w:r>
          </w:p>
        </w:tc>
        <w:tc>
          <w:tcPr>
            <w:tcW w:w="1276" w:type="dxa"/>
            <w:vAlign w:val="center"/>
          </w:tcPr>
          <w:p w:rsidR="00B14986" w:rsidRDefault="00304CC2">
            <w:pPr>
              <w:jc w:val="right"/>
            </w:pPr>
            <w:r>
              <w:rPr>
                <w:rFonts w:eastAsiaTheme="minorEastAsia"/>
                <w:color w:val="000000"/>
                <w:sz w:val="24"/>
              </w:rPr>
              <w:t>319,039</w:t>
            </w:r>
          </w:p>
        </w:tc>
        <w:tc>
          <w:tcPr>
            <w:tcW w:w="1842" w:type="dxa"/>
            <w:vAlign w:val="center"/>
          </w:tcPr>
          <w:p w:rsidR="00B14986" w:rsidRDefault="00304CC2">
            <w:pPr>
              <w:jc w:val="right"/>
            </w:pPr>
            <w:r>
              <w:rPr>
                <w:rFonts w:eastAsiaTheme="minorEastAsia"/>
                <w:color w:val="000000"/>
                <w:sz w:val="24"/>
              </w:rPr>
              <w:t>20,077,124.27</w:t>
            </w:r>
          </w:p>
        </w:tc>
        <w:tc>
          <w:tcPr>
            <w:tcW w:w="1616" w:type="dxa"/>
            <w:vAlign w:val="center"/>
          </w:tcPr>
          <w:p w:rsidR="00B14986" w:rsidRDefault="00304CC2">
            <w:pPr>
              <w:jc w:val="right"/>
            </w:pPr>
            <w:r>
              <w:rPr>
                <w:rFonts w:eastAsiaTheme="minorEastAsia"/>
                <w:color w:val="000000"/>
                <w:sz w:val="24"/>
              </w:rPr>
              <w:t>1.85</w:t>
            </w:r>
          </w:p>
        </w:tc>
      </w:tr>
      <w:tr w:rsidR="00B14986">
        <w:tc>
          <w:tcPr>
            <w:tcW w:w="817" w:type="dxa"/>
            <w:vAlign w:val="center"/>
          </w:tcPr>
          <w:p w:rsidR="00B14986" w:rsidRDefault="00304CC2">
            <w:pPr>
              <w:jc w:val="center"/>
            </w:pPr>
            <w:r>
              <w:rPr>
                <w:rFonts w:eastAsiaTheme="minorEastAsia"/>
                <w:color w:val="000000"/>
                <w:sz w:val="24"/>
              </w:rPr>
              <w:t>7</w:t>
            </w:r>
          </w:p>
        </w:tc>
        <w:tc>
          <w:tcPr>
            <w:tcW w:w="1276" w:type="dxa"/>
            <w:vAlign w:val="center"/>
          </w:tcPr>
          <w:p w:rsidR="00B14986" w:rsidRDefault="00304CC2">
            <w:pPr>
              <w:jc w:val="center"/>
            </w:pPr>
            <w:r>
              <w:rPr>
                <w:rFonts w:eastAsiaTheme="minorEastAsia"/>
                <w:color w:val="000000"/>
                <w:sz w:val="24"/>
              </w:rPr>
              <w:t>002176</w:t>
            </w:r>
          </w:p>
        </w:tc>
        <w:tc>
          <w:tcPr>
            <w:tcW w:w="1701" w:type="dxa"/>
            <w:vAlign w:val="center"/>
          </w:tcPr>
          <w:p w:rsidR="00B14986" w:rsidRDefault="00304CC2">
            <w:pPr>
              <w:jc w:val="center"/>
            </w:pPr>
            <w:r>
              <w:rPr>
                <w:rFonts w:eastAsiaTheme="minorEastAsia"/>
                <w:color w:val="000000"/>
                <w:sz w:val="24"/>
              </w:rPr>
              <w:t>江特电机</w:t>
            </w:r>
          </w:p>
        </w:tc>
        <w:tc>
          <w:tcPr>
            <w:tcW w:w="1276" w:type="dxa"/>
            <w:vAlign w:val="center"/>
          </w:tcPr>
          <w:p w:rsidR="00B14986" w:rsidRDefault="00304CC2">
            <w:pPr>
              <w:jc w:val="right"/>
            </w:pPr>
            <w:r>
              <w:rPr>
                <w:rFonts w:eastAsiaTheme="minorEastAsia"/>
                <w:color w:val="000000"/>
                <w:sz w:val="24"/>
              </w:rPr>
              <w:t>1,129,094</w:t>
            </w:r>
          </w:p>
        </w:tc>
        <w:tc>
          <w:tcPr>
            <w:tcW w:w="1842" w:type="dxa"/>
            <w:vAlign w:val="center"/>
          </w:tcPr>
          <w:p w:rsidR="00B14986" w:rsidRDefault="00304CC2">
            <w:pPr>
              <w:jc w:val="right"/>
            </w:pPr>
            <w:r>
              <w:rPr>
                <w:rFonts w:eastAsiaTheme="minorEastAsia"/>
                <w:color w:val="000000"/>
                <w:sz w:val="24"/>
              </w:rPr>
              <w:t>19,872,054.40</w:t>
            </w:r>
          </w:p>
        </w:tc>
        <w:tc>
          <w:tcPr>
            <w:tcW w:w="1616" w:type="dxa"/>
            <w:vAlign w:val="center"/>
          </w:tcPr>
          <w:p w:rsidR="00B14986" w:rsidRDefault="00304CC2">
            <w:pPr>
              <w:jc w:val="right"/>
            </w:pPr>
            <w:r>
              <w:rPr>
                <w:rFonts w:eastAsiaTheme="minorEastAsia"/>
                <w:color w:val="000000"/>
                <w:sz w:val="24"/>
              </w:rPr>
              <w:t>1.83</w:t>
            </w:r>
          </w:p>
        </w:tc>
      </w:tr>
      <w:tr w:rsidR="00B14986">
        <w:tc>
          <w:tcPr>
            <w:tcW w:w="817" w:type="dxa"/>
            <w:vAlign w:val="center"/>
          </w:tcPr>
          <w:p w:rsidR="00B14986" w:rsidRDefault="00304CC2">
            <w:pPr>
              <w:jc w:val="center"/>
            </w:pPr>
            <w:r>
              <w:rPr>
                <w:rFonts w:eastAsiaTheme="minorEastAsia"/>
                <w:color w:val="000000"/>
                <w:sz w:val="24"/>
              </w:rPr>
              <w:t>8</w:t>
            </w:r>
          </w:p>
        </w:tc>
        <w:tc>
          <w:tcPr>
            <w:tcW w:w="1276" w:type="dxa"/>
            <w:vAlign w:val="center"/>
          </w:tcPr>
          <w:p w:rsidR="00B14986" w:rsidRDefault="00304CC2">
            <w:pPr>
              <w:jc w:val="center"/>
            </w:pPr>
            <w:r>
              <w:rPr>
                <w:rFonts w:eastAsiaTheme="minorEastAsia"/>
                <w:color w:val="000000"/>
                <w:sz w:val="24"/>
              </w:rPr>
              <w:t>300004</w:t>
            </w:r>
          </w:p>
        </w:tc>
        <w:tc>
          <w:tcPr>
            <w:tcW w:w="1701" w:type="dxa"/>
            <w:vAlign w:val="center"/>
          </w:tcPr>
          <w:p w:rsidR="00B14986" w:rsidRDefault="00304CC2">
            <w:pPr>
              <w:jc w:val="center"/>
            </w:pPr>
            <w:r>
              <w:rPr>
                <w:rFonts w:eastAsiaTheme="minorEastAsia"/>
                <w:color w:val="000000"/>
                <w:sz w:val="24"/>
              </w:rPr>
              <w:t>南风股份</w:t>
            </w:r>
          </w:p>
        </w:tc>
        <w:tc>
          <w:tcPr>
            <w:tcW w:w="1276" w:type="dxa"/>
            <w:vAlign w:val="center"/>
          </w:tcPr>
          <w:p w:rsidR="00B14986" w:rsidRDefault="00304CC2">
            <w:pPr>
              <w:jc w:val="right"/>
            </w:pPr>
            <w:r>
              <w:rPr>
                <w:rFonts w:eastAsiaTheme="minorEastAsia"/>
                <w:color w:val="000000"/>
                <w:sz w:val="24"/>
              </w:rPr>
              <w:t>744,742</w:t>
            </w:r>
          </w:p>
        </w:tc>
        <w:tc>
          <w:tcPr>
            <w:tcW w:w="1842" w:type="dxa"/>
            <w:vAlign w:val="center"/>
          </w:tcPr>
          <w:p w:rsidR="00B14986" w:rsidRDefault="00304CC2">
            <w:pPr>
              <w:jc w:val="right"/>
            </w:pPr>
            <w:r>
              <w:rPr>
                <w:rFonts w:eastAsiaTheme="minorEastAsia"/>
                <w:color w:val="000000"/>
                <w:sz w:val="24"/>
              </w:rPr>
              <w:t>19,802,689.78</w:t>
            </w:r>
          </w:p>
        </w:tc>
        <w:tc>
          <w:tcPr>
            <w:tcW w:w="1616" w:type="dxa"/>
            <w:vAlign w:val="center"/>
          </w:tcPr>
          <w:p w:rsidR="00B14986" w:rsidRDefault="00304CC2">
            <w:pPr>
              <w:jc w:val="right"/>
            </w:pPr>
            <w:r>
              <w:rPr>
                <w:rFonts w:eastAsiaTheme="minorEastAsia"/>
                <w:color w:val="000000"/>
                <w:sz w:val="24"/>
              </w:rPr>
              <w:t>1.82</w:t>
            </w:r>
          </w:p>
        </w:tc>
      </w:tr>
      <w:tr w:rsidR="00B14986">
        <w:tc>
          <w:tcPr>
            <w:tcW w:w="817" w:type="dxa"/>
            <w:vAlign w:val="center"/>
          </w:tcPr>
          <w:p w:rsidR="00B14986" w:rsidRDefault="00304CC2">
            <w:pPr>
              <w:jc w:val="center"/>
            </w:pPr>
            <w:r>
              <w:rPr>
                <w:rFonts w:eastAsiaTheme="minorEastAsia"/>
                <w:color w:val="000000"/>
                <w:sz w:val="24"/>
              </w:rPr>
              <w:t>9</w:t>
            </w:r>
          </w:p>
        </w:tc>
        <w:tc>
          <w:tcPr>
            <w:tcW w:w="1276" w:type="dxa"/>
            <w:vAlign w:val="center"/>
          </w:tcPr>
          <w:p w:rsidR="00B14986" w:rsidRDefault="00304CC2">
            <w:pPr>
              <w:jc w:val="center"/>
            </w:pPr>
            <w:r>
              <w:rPr>
                <w:rFonts w:eastAsiaTheme="minorEastAsia"/>
                <w:color w:val="000000"/>
                <w:sz w:val="24"/>
              </w:rPr>
              <w:t>002091</w:t>
            </w:r>
          </w:p>
        </w:tc>
        <w:tc>
          <w:tcPr>
            <w:tcW w:w="1701" w:type="dxa"/>
            <w:vAlign w:val="center"/>
          </w:tcPr>
          <w:p w:rsidR="00B14986" w:rsidRDefault="00304CC2">
            <w:pPr>
              <w:jc w:val="center"/>
            </w:pPr>
            <w:r>
              <w:rPr>
                <w:rFonts w:eastAsiaTheme="minorEastAsia"/>
                <w:color w:val="000000"/>
                <w:sz w:val="24"/>
              </w:rPr>
              <w:t>江苏国泰</w:t>
            </w:r>
          </w:p>
        </w:tc>
        <w:tc>
          <w:tcPr>
            <w:tcW w:w="1276" w:type="dxa"/>
            <w:vAlign w:val="center"/>
          </w:tcPr>
          <w:p w:rsidR="00B14986" w:rsidRDefault="00304CC2">
            <w:pPr>
              <w:jc w:val="right"/>
            </w:pPr>
            <w:r>
              <w:rPr>
                <w:rFonts w:eastAsiaTheme="minorEastAsia"/>
                <w:color w:val="000000"/>
                <w:sz w:val="24"/>
              </w:rPr>
              <w:t>743,058</w:t>
            </w:r>
          </w:p>
        </w:tc>
        <w:tc>
          <w:tcPr>
            <w:tcW w:w="1842" w:type="dxa"/>
            <w:vAlign w:val="center"/>
          </w:tcPr>
          <w:p w:rsidR="00B14986" w:rsidRDefault="00304CC2">
            <w:pPr>
              <w:jc w:val="right"/>
            </w:pPr>
            <w:r>
              <w:rPr>
                <w:rFonts w:eastAsiaTheme="minorEastAsia"/>
                <w:color w:val="000000"/>
                <w:sz w:val="24"/>
              </w:rPr>
              <w:t>19,743,051.06</w:t>
            </w:r>
          </w:p>
        </w:tc>
        <w:tc>
          <w:tcPr>
            <w:tcW w:w="1616" w:type="dxa"/>
            <w:vAlign w:val="center"/>
          </w:tcPr>
          <w:p w:rsidR="00B14986" w:rsidRDefault="00304CC2">
            <w:pPr>
              <w:jc w:val="right"/>
            </w:pPr>
            <w:r>
              <w:rPr>
                <w:rFonts w:eastAsiaTheme="minorEastAsia"/>
                <w:color w:val="000000"/>
                <w:sz w:val="24"/>
              </w:rPr>
              <w:t>1.82</w:t>
            </w:r>
          </w:p>
        </w:tc>
      </w:tr>
      <w:tr w:rsidR="00B14986">
        <w:tc>
          <w:tcPr>
            <w:tcW w:w="817" w:type="dxa"/>
            <w:vAlign w:val="center"/>
          </w:tcPr>
          <w:p w:rsidR="00B14986" w:rsidRDefault="00304CC2">
            <w:pPr>
              <w:jc w:val="center"/>
            </w:pPr>
            <w:r>
              <w:rPr>
                <w:rFonts w:eastAsiaTheme="minorEastAsia"/>
                <w:color w:val="000000"/>
                <w:sz w:val="24"/>
              </w:rPr>
              <w:t>10</w:t>
            </w:r>
          </w:p>
        </w:tc>
        <w:tc>
          <w:tcPr>
            <w:tcW w:w="1276" w:type="dxa"/>
            <w:vAlign w:val="center"/>
          </w:tcPr>
          <w:p w:rsidR="00B14986" w:rsidRDefault="00304CC2">
            <w:pPr>
              <w:jc w:val="center"/>
            </w:pPr>
            <w:r>
              <w:rPr>
                <w:rFonts w:eastAsiaTheme="minorEastAsia"/>
                <w:color w:val="000000"/>
                <w:sz w:val="24"/>
              </w:rPr>
              <w:t>002466</w:t>
            </w:r>
          </w:p>
        </w:tc>
        <w:tc>
          <w:tcPr>
            <w:tcW w:w="1701" w:type="dxa"/>
            <w:vAlign w:val="center"/>
          </w:tcPr>
          <w:p w:rsidR="00B14986" w:rsidRDefault="00304CC2">
            <w:pPr>
              <w:jc w:val="center"/>
            </w:pPr>
            <w:r>
              <w:rPr>
                <w:rFonts w:eastAsiaTheme="minorEastAsia"/>
                <w:color w:val="000000"/>
                <w:sz w:val="24"/>
              </w:rPr>
              <w:t>天齐锂业</w:t>
            </w:r>
          </w:p>
        </w:tc>
        <w:tc>
          <w:tcPr>
            <w:tcW w:w="1276" w:type="dxa"/>
            <w:vAlign w:val="center"/>
          </w:tcPr>
          <w:p w:rsidR="00B14986" w:rsidRDefault="00304CC2">
            <w:pPr>
              <w:jc w:val="right"/>
            </w:pPr>
            <w:r>
              <w:rPr>
                <w:rFonts w:eastAsiaTheme="minorEastAsia"/>
                <w:color w:val="000000"/>
                <w:sz w:val="24"/>
              </w:rPr>
              <w:t>137,981</w:t>
            </w:r>
          </w:p>
        </w:tc>
        <w:tc>
          <w:tcPr>
            <w:tcW w:w="1842" w:type="dxa"/>
            <w:vAlign w:val="center"/>
          </w:tcPr>
          <w:p w:rsidR="00B14986" w:rsidRDefault="00304CC2">
            <w:pPr>
              <w:jc w:val="right"/>
            </w:pPr>
            <w:r>
              <w:rPr>
                <w:rFonts w:eastAsiaTheme="minorEastAsia"/>
                <w:color w:val="000000"/>
                <w:sz w:val="24"/>
              </w:rPr>
              <w:t>19,420,825.75</w:t>
            </w:r>
          </w:p>
        </w:tc>
        <w:tc>
          <w:tcPr>
            <w:tcW w:w="1616" w:type="dxa"/>
            <w:vAlign w:val="center"/>
          </w:tcPr>
          <w:p w:rsidR="00B14986" w:rsidRDefault="00304CC2">
            <w:pPr>
              <w:jc w:val="right"/>
            </w:pPr>
            <w:r>
              <w:rPr>
                <w:rFonts w:eastAsiaTheme="minorEastAsia"/>
                <w:color w:val="000000"/>
                <w:sz w:val="24"/>
              </w:rPr>
              <w:t>1.79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304CC2" w:rsidRPr="00304CC2" w:rsidRDefault="00304CC2"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报告期内本基金投资的前十名证券的发行主体除南风股份（证券代码：</w:t>
      </w:r>
      <w:r w:rsidR="007A6BEA" w:rsidRPr="005E324A">
        <w:rPr>
          <w:rFonts w:eastAsiaTheme="minorEastAsia"/>
          <w:color w:val="000000"/>
          <w:kern w:val="0"/>
          <w:sz w:val="24"/>
        </w:rPr>
        <w:t>300004</w:t>
      </w:r>
      <w:r w:rsidR="007A6BEA" w:rsidRPr="005E324A">
        <w:rPr>
          <w:rFonts w:eastAsiaTheme="minorEastAsia"/>
          <w:color w:val="000000"/>
          <w:kern w:val="0"/>
          <w:sz w:val="24"/>
        </w:rPr>
        <w:t>）外，未出现被监管部门立案调查，或在报告编制日前一年内受到公开谴责、处罚的情形。</w:t>
      </w:r>
    </w:p>
    <w:p w:rsidR="00B14986" w:rsidRDefault="00304CC2">
      <w:pPr>
        <w:spacing w:line="360" w:lineRule="auto"/>
        <w:rPr>
          <w:rFonts w:eastAsiaTheme="minorEastAsia"/>
          <w:color w:val="000000"/>
          <w:kern w:val="0"/>
          <w:sz w:val="24"/>
        </w:rPr>
      </w:pPr>
      <w:r>
        <w:rPr>
          <w:rFonts w:eastAsiaTheme="minorEastAsia"/>
          <w:color w:val="000000"/>
          <w:kern w:val="0"/>
          <w:sz w:val="24"/>
        </w:rPr>
        <w:t>报告期内本基金投资的前十名证券之一南风股份（证券代码：</w:t>
      </w:r>
      <w:r>
        <w:rPr>
          <w:rFonts w:eastAsiaTheme="minorEastAsia"/>
          <w:color w:val="000000"/>
          <w:kern w:val="0"/>
          <w:sz w:val="24"/>
        </w:rPr>
        <w:t>300004</w:t>
      </w:r>
      <w:r>
        <w:rPr>
          <w:rFonts w:eastAsiaTheme="minorEastAsia"/>
          <w:color w:val="000000"/>
          <w:kern w:val="0"/>
          <w:sz w:val="24"/>
        </w:rPr>
        <w:t>）于</w:t>
      </w:r>
      <w:r>
        <w:rPr>
          <w:rFonts w:eastAsiaTheme="minorEastAsia"/>
          <w:color w:val="000000"/>
          <w:kern w:val="0"/>
          <w:sz w:val="24"/>
        </w:rPr>
        <w:t>2015</w:t>
      </w:r>
      <w:r>
        <w:rPr>
          <w:rFonts w:eastAsiaTheme="minorEastAsia"/>
          <w:color w:val="000000"/>
          <w:kern w:val="0"/>
          <w:sz w:val="24"/>
        </w:rPr>
        <w:t>年</w:t>
      </w:r>
      <w:r>
        <w:rPr>
          <w:rFonts w:eastAsiaTheme="minorEastAsia"/>
          <w:color w:val="000000"/>
          <w:kern w:val="0"/>
          <w:sz w:val="24"/>
        </w:rPr>
        <w:t>2</w:t>
      </w:r>
      <w:r>
        <w:rPr>
          <w:rFonts w:eastAsiaTheme="minorEastAsia"/>
          <w:color w:val="000000"/>
          <w:kern w:val="0"/>
          <w:sz w:val="24"/>
        </w:rPr>
        <w:t>月</w:t>
      </w:r>
      <w:r>
        <w:rPr>
          <w:rFonts w:eastAsiaTheme="minorEastAsia"/>
          <w:color w:val="000000"/>
          <w:kern w:val="0"/>
          <w:sz w:val="24"/>
        </w:rPr>
        <w:t>13</w:t>
      </w:r>
      <w:r>
        <w:rPr>
          <w:rFonts w:eastAsiaTheme="minorEastAsia"/>
          <w:color w:val="000000"/>
          <w:kern w:val="0"/>
          <w:sz w:val="24"/>
        </w:rPr>
        <w:t>日公告，公司因违反《民用核安全设备监督管理条例》于近日收到国家核安全局《核安全行政处罚决定书》。据此，国家核安全局责令公司停止民用核安全设备设计、制造活动，限期</w:t>
      </w:r>
      <w:r>
        <w:rPr>
          <w:rFonts w:eastAsiaTheme="minorEastAsia"/>
          <w:color w:val="000000"/>
          <w:kern w:val="0"/>
          <w:sz w:val="24"/>
        </w:rPr>
        <w:t xml:space="preserve">6 </w:t>
      </w:r>
      <w:r>
        <w:rPr>
          <w:rFonts w:eastAsiaTheme="minorEastAsia"/>
          <w:color w:val="000000"/>
          <w:kern w:val="0"/>
          <w:sz w:val="24"/>
        </w:rPr>
        <w:t>个月进行整改，并处</w:t>
      </w:r>
      <w:r>
        <w:rPr>
          <w:rFonts w:eastAsiaTheme="minorEastAsia"/>
          <w:color w:val="000000"/>
          <w:kern w:val="0"/>
          <w:sz w:val="24"/>
        </w:rPr>
        <w:t>50</w:t>
      </w:r>
      <w:r>
        <w:rPr>
          <w:rFonts w:eastAsiaTheme="minorEastAsia"/>
          <w:color w:val="000000"/>
          <w:kern w:val="0"/>
          <w:sz w:val="24"/>
        </w:rPr>
        <w:t>万元罚款。</w:t>
      </w:r>
    </w:p>
    <w:p w:rsidR="00B14986" w:rsidRDefault="00304CC2">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758,483.86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5,381,392.50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17,576.29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1,384,219.30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7,541,671.95</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304CC2" w:rsidRPr="005E324A" w:rsidRDefault="00304CC2"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304CC2" w:rsidRPr="005E324A" w:rsidRDefault="00304CC2" w:rsidP="00576862">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304CC2">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304CC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545,166,867.25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76,547,530.00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76,547,530.00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299,259,557.20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261,229,817.98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r w:rsidR="008B1197" w:rsidRPr="008B1197">
              <w:rPr>
                <w:rFonts w:eastAsiaTheme="minorEastAsia" w:hint="eastAsia"/>
                <w:color w:val="000000"/>
                <w:kern w:val="0"/>
                <w:sz w:val="24"/>
              </w:rPr>
              <w:t>（份额减少以“</w:t>
            </w:r>
            <w:r w:rsidR="008B1197" w:rsidRPr="008B1197">
              <w:rPr>
                <w:rFonts w:eastAsiaTheme="minorEastAsia"/>
                <w:color w:val="000000"/>
                <w:kern w:val="0"/>
                <w:sz w:val="24"/>
              </w:rPr>
              <w:t>-</w:t>
            </w:r>
            <w:r w:rsidR="008B1197" w:rsidRPr="008B1197">
              <w:rPr>
                <w:rFonts w:eastAsiaTheme="minorEastAsia" w:hint="eastAsia"/>
                <w:color w:val="000000"/>
                <w:kern w:val="0"/>
                <w:sz w:val="24"/>
              </w:rPr>
              <w:t>”填列）</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226,558,266.97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62,054,740.00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62,054,740.00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809,754,873.44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138,602,270.00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138,602,270.00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304CC2">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037"/>
        <w:gridCol w:w="3378"/>
      </w:tblGrid>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pStyle w:val="ad"/>
              <w:adjustRightInd w:val="0"/>
              <w:snapToGrid w:val="0"/>
              <w:spacing w:line="360" w:lineRule="exact"/>
              <w:rPr>
                <w:rFonts w:eastAsia="方正仿宋简体"/>
                <w:color w:val="000000"/>
                <w:szCs w:val="24"/>
              </w:rPr>
            </w:pPr>
            <w:r w:rsidRPr="005E324A">
              <w:rPr>
                <w:color w:val="000000"/>
                <w:szCs w:val="24"/>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13,528,183.54</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买入</w:t>
            </w:r>
            <w:r w:rsidRPr="005E324A">
              <w:rPr>
                <w:color w:val="000000"/>
                <w:sz w:val="24"/>
              </w:rPr>
              <w:t>/</w:t>
            </w:r>
            <w:r w:rsidRPr="005E324A">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6,824,410.34</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卖出</w:t>
            </w:r>
            <w:r w:rsidRPr="005E324A">
              <w:rPr>
                <w:color w:val="000000"/>
                <w:sz w:val="24"/>
              </w:rPr>
              <w:t>/</w:t>
            </w:r>
            <w:r w:rsidRPr="005E324A">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20,352,593.88</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报告期期末持有的本基金份额占基金总份额比例（</w:t>
            </w:r>
            <w:r w:rsidRPr="005E324A">
              <w:rPr>
                <w:color w:val="000000"/>
                <w:sz w:val="24"/>
              </w:rPr>
              <w:t>%</w:t>
            </w:r>
            <w:r w:rsidRPr="005E324A">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1.87</w:t>
            </w:r>
          </w:p>
        </w:tc>
      </w:tr>
    </w:tbl>
    <w:p w:rsidR="003D4E5A" w:rsidRPr="005E324A" w:rsidRDefault="003D4E5A" w:rsidP="003D4E5A">
      <w:pPr>
        <w:autoSpaceDE w:val="0"/>
        <w:autoSpaceDN w:val="0"/>
        <w:adjustRightInd w:val="0"/>
        <w:spacing w:line="360" w:lineRule="auto"/>
        <w:jc w:val="left"/>
        <w:rPr>
          <w:rFonts w:eastAsiaTheme="minorEastAsia"/>
          <w:kern w:val="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3D4E5A" w:rsidRPr="005E324A" w:rsidTr="003D4E5A">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3D4E5A" w:rsidRPr="005E324A" w:rsidRDefault="003D4E5A">
            <w:pPr>
              <w:pStyle w:val="ad"/>
              <w:adjustRightInd w:val="0"/>
              <w:snapToGrid w:val="0"/>
              <w:spacing w:line="360" w:lineRule="exact"/>
              <w:jc w:val="center"/>
              <w:rPr>
                <w:color w:val="000000"/>
                <w:kern w:val="0"/>
                <w:szCs w:val="24"/>
              </w:rPr>
            </w:pPr>
            <w:r w:rsidRPr="005E324A">
              <w:rPr>
                <w:color w:val="000000"/>
                <w:kern w:val="0"/>
                <w:szCs w:val="24"/>
              </w:rPr>
              <w:t>序号</w:t>
            </w:r>
          </w:p>
        </w:tc>
        <w:tc>
          <w:tcPr>
            <w:tcW w:w="1851"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交易方式</w:t>
            </w:r>
          </w:p>
        </w:tc>
        <w:tc>
          <w:tcPr>
            <w:tcW w:w="1370"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rPr>
                <w:color w:val="000000"/>
                <w:kern w:val="0"/>
                <w:sz w:val="24"/>
              </w:rPr>
            </w:pPr>
            <w:r w:rsidRPr="005E324A">
              <w:rPr>
                <w:color w:val="000000"/>
                <w:kern w:val="0"/>
                <w:sz w:val="24"/>
              </w:rPr>
              <w:t>交易日期</w:t>
            </w:r>
          </w:p>
        </w:tc>
        <w:tc>
          <w:tcPr>
            <w:tcW w:w="1701"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交易份额（份）</w:t>
            </w:r>
          </w:p>
        </w:tc>
        <w:tc>
          <w:tcPr>
            <w:tcW w:w="1842"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适用费率</w:t>
            </w:r>
          </w:p>
        </w:tc>
      </w:tr>
      <w:tr w:rsidR="00B14986">
        <w:trPr>
          <w:jc w:val="center"/>
        </w:trPr>
        <w:tc>
          <w:tcPr>
            <w:tcW w:w="1069" w:type="dxa"/>
            <w:vAlign w:val="center"/>
          </w:tcPr>
          <w:p w:rsidR="00B14986" w:rsidRDefault="00304CC2">
            <w:pPr>
              <w:jc w:val="center"/>
            </w:pPr>
            <w:r>
              <w:rPr>
                <w:rFonts w:eastAsiaTheme="minorEastAsia"/>
                <w:color w:val="000000"/>
                <w:sz w:val="24"/>
              </w:rPr>
              <w:t>1</w:t>
            </w:r>
          </w:p>
        </w:tc>
        <w:tc>
          <w:tcPr>
            <w:tcW w:w="1850" w:type="dxa"/>
            <w:vAlign w:val="center"/>
          </w:tcPr>
          <w:p w:rsidR="00B14986" w:rsidRDefault="00304CC2">
            <w:pPr>
              <w:jc w:val="center"/>
            </w:pPr>
            <w:r>
              <w:rPr>
                <w:rFonts w:eastAsiaTheme="minorEastAsia"/>
                <w:color w:val="000000"/>
                <w:sz w:val="24"/>
              </w:rPr>
              <w:t>份额折算调增</w:t>
            </w:r>
          </w:p>
        </w:tc>
        <w:tc>
          <w:tcPr>
            <w:tcW w:w="1369" w:type="dxa"/>
            <w:vAlign w:val="center"/>
          </w:tcPr>
          <w:p w:rsidR="00B14986" w:rsidRDefault="00304CC2">
            <w:pPr>
              <w:jc w:val="center"/>
            </w:pPr>
            <w:r>
              <w:rPr>
                <w:rFonts w:eastAsiaTheme="minorEastAsia"/>
                <w:color w:val="000000"/>
                <w:sz w:val="24"/>
              </w:rPr>
              <w:t>2015-12-21</w:t>
            </w:r>
          </w:p>
        </w:tc>
        <w:tc>
          <w:tcPr>
            <w:tcW w:w="1700" w:type="dxa"/>
            <w:vAlign w:val="center"/>
          </w:tcPr>
          <w:p w:rsidR="00B14986" w:rsidRDefault="00304CC2">
            <w:pPr>
              <w:jc w:val="right"/>
            </w:pPr>
            <w:r>
              <w:rPr>
                <w:rFonts w:eastAsiaTheme="minorEastAsia"/>
                <w:color w:val="000000"/>
                <w:sz w:val="24"/>
              </w:rPr>
              <w:t>6,824,410.34</w:t>
            </w:r>
          </w:p>
        </w:tc>
        <w:tc>
          <w:tcPr>
            <w:tcW w:w="1841" w:type="dxa"/>
            <w:vAlign w:val="center"/>
          </w:tcPr>
          <w:p w:rsidR="00B14986" w:rsidRDefault="00304CC2">
            <w:pPr>
              <w:jc w:val="right"/>
            </w:pPr>
            <w:r>
              <w:rPr>
                <w:rFonts w:eastAsiaTheme="minorEastAsia"/>
                <w:color w:val="000000"/>
                <w:sz w:val="24"/>
              </w:rPr>
              <w:t>-</w:t>
            </w:r>
          </w:p>
        </w:tc>
        <w:tc>
          <w:tcPr>
            <w:tcW w:w="1396" w:type="dxa"/>
            <w:vAlign w:val="center"/>
          </w:tcPr>
          <w:p w:rsidR="00B14986" w:rsidRDefault="00304CC2">
            <w:pPr>
              <w:jc w:val="center"/>
            </w:pPr>
            <w:r>
              <w:rPr>
                <w:rFonts w:eastAsiaTheme="minorEastAsia"/>
                <w:color w:val="000000"/>
                <w:sz w:val="24"/>
              </w:rPr>
              <w:t>-</w:t>
            </w:r>
          </w:p>
        </w:tc>
      </w:tr>
      <w:tr w:rsidR="003D4E5A" w:rsidRPr="005E324A" w:rsidTr="003D4E5A">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3D4E5A" w:rsidRPr="005E324A" w:rsidRDefault="003D4E5A">
            <w:pPr>
              <w:pStyle w:val="ad"/>
              <w:adjustRightInd w:val="0"/>
              <w:snapToGrid w:val="0"/>
              <w:spacing w:line="360" w:lineRule="exact"/>
              <w:jc w:val="center"/>
              <w:rPr>
                <w:color w:val="000000"/>
                <w:kern w:val="0"/>
                <w:szCs w:val="24"/>
              </w:rPr>
            </w:pPr>
            <w:r w:rsidRPr="005E324A">
              <w:rPr>
                <w:color w:val="000000"/>
                <w:kern w:val="0"/>
                <w:szCs w:val="24"/>
              </w:rPr>
              <w:t>合计</w:t>
            </w:r>
          </w:p>
        </w:tc>
        <w:tc>
          <w:tcPr>
            <w:tcW w:w="1851" w:type="dxa"/>
            <w:tcBorders>
              <w:top w:val="single" w:sz="4" w:space="0" w:color="auto"/>
              <w:left w:val="single" w:sz="4" w:space="0" w:color="auto"/>
              <w:bottom w:val="single" w:sz="4" w:space="0" w:color="auto"/>
              <w:right w:val="single" w:sz="4" w:space="0" w:color="auto"/>
            </w:tcBorders>
          </w:tcPr>
          <w:p w:rsidR="003D4E5A" w:rsidRPr="005E324A" w:rsidRDefault="003D4E5A">
            <w:pPr>
              <w:adjustRightInd w:val="0"/>
              <w:snapToGrid w:val="0"/>
              <w:spacing w:line="360" w:lineRule="exact"/>
              <w:jc w:val="right"/>
              <w:rPr>
                <w:color w:val="0000FF"/>
                <w:kern w:val="0"/>
                <w:sz w:val="18"/>
              </w:rPr>
            </w:pPr>
          </w:p>
        </w:tc>
        <w:tc>
          <w:tcPr>
            <w:tcW w:w="1370" w:type="dxa"/>
            <w:tcBorders>
              <w:top w:val="single" w:sz="4" w:space="0" w:color="auto"/>
              <w:left w:val="single" w:sz="4" w:space="0" w:color="auto"/>
              <w:bottom w:val="single" w:sz="4" w:space="0" w:color="auto"/>
              <w:right w:val="single" w:sz="4" w:space="0" w:color="auto"/>
            </w:tcBorders>
          </w:tcPr>
          <w:p w:rsidR="003D4E5A" w:rsidRPr="005E324A" w:rsidRDefault="003D4E5A">
            <w:pPr>
              <w:adjustRightInd w:val="0"/>
              <w:snapToGrid w:val="0"/>
              <w:spacing w:line="360" w:lineRule="exact"/>
              <w:jc w:val="right"/>
              <w:rPr>
                <w:color w:val="0000FF"/>
                <w:kern w:val="0"/>
                <w:sz w:val="18"/>
              </w:rPr>
            </w:pPr>
          </w:p>
        </w:tc>
        <w:tc>
          <w:tcPr>
            <w:tcW w:w="1701"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right"/>
              <w:rPr>
                <w:rFonts w:eastAsiaTheme="minorEastAsia"/>
                <w:color w:val="000000"/>
                <w:sz w:val="24"/>
              </w:rPr>
            </w:pPr>
            <w:r w:rsidRPr="005E324A">
              <w:rPr>
                <w:rFonts w:eastAsiaTheme="minorEastAsia"/>
                <w:color w:val="000000"/>
                <w:sz w:val="24"/>
              </w:rPr>
              <w:t>6,824,410.34</w:t>
            </w:r>
          </w:p>
        </w:tc>
        <w:tc>
          <w:tcPr>
            <w:tcW w:w="1842"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right"/>
              <w:rPr>
                <w:rFonts w:eastAsiaTheme="minorEastAsia"/>
                <w:color w:val="000000"/>
                <w:sz w:val="24"/>
              </w:rPr>
            </w:pPr>
            <w:r w:rsidRPr="005E324A">
              <w:rPr>
                <w:rFonts w:eastAsiaTheme="minorEastAsia"/>
                <w:color w:val="000000"/>
                <w:sz w:val="24"/>
              </w:rPr>
              <w:t>-</w:t>
            </w:r>
          </w:p>
        </w:tc>
        <w:tc>
          <w:tcPr>
            <w:tcW w:w="1397" w:type="dxa"/>
            <w:tcBorders>
              <w:top w:val="single" w:sz="4" w:space="0" w:color="auto"/>
              <w:left w:val="single" w:sz="4" w:space="0" w:color="auto"/>
              <w:bottom w:val="single" w:sz="4" w:space="0" w:color="auto"/>
              <w:right w:val="single" w:sz="4" w:space="0" w:color="auto"/>
            </w:tcBorders>
            <w:vAlign w:val="center"/>
          </w:tcPr>
          <w:p w:rsidR="003D4E5A" w:rsidRPr="005E324A" w:rsidRDefault="003D4E5A">
            <w:pPr>
              <w:adjustRightInd w:val="0"/>
              <w:snapToGrid w:val="0"/>
              <w:spacing w:line="360" w:lineRule="exact"/>
              <w:jc w:val="right"/>
              <w:rPr>
                <w:color w:val="0000FF"/>
                <w:kern w:val="0"/>
                <w:sz w:val="18"/>
              </w:rPr>
            </w:pPr>
          </w:p>
        </w:tc>
      </w:tr>
    </w:tbl>
    <w:p w:rsidR="00220542" w:rsidRPr="005E324A" w:rsidRDefault="00220542" w:rsidP="00304CC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4A3F71"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影响投资者决策的其他重要信息</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根据本基金基金合同中关于不定期份额折算的相关规定，当交银新能源份额的基金份额净值大于或等于</w:t>
      </w:r>
      <w:r>
        <w:rPr>
          <w:rFonts w:eastAsiaTheme="minorEastAsia"/>
          <w:color w:val="000000"/>
          <w:sz w:val="24"/>
        </w:rPr>
        <w:t>1.500</w:t>
      </w:r>
      <w:r>
        <w:rPr>
          <w:rFonts w:eastAsiaTheme="minorEastAsia"/>
          <w:color w:val="000000"/>
          <w:sz w:val="24"/>
        </w:rPr>
        <w:t>元时，本基金将进行不定期份额折算。截至</w:t>
      </w:r>
      <w:r>
        <w:rPr>
          <w:rFonts w:eastAsiaTheme="minorEastAsia"/>
          <w:color w:val="000000"/>
          <w:sz w:val="24"/>
        </w:rPr>
        <w:t>2015</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17</w:t>
      </w:r>
      <w:r>
        <w:rPr>
          <w:rFonts w:eastAsiaTheme="minorEastAsia"/>
          <w:color w:val="000000"/>
          <w:sz w:val="24"/>
        </w:rPr>
        <w:t>日，交银新能源份额的基金份额净值为</w:t>
      </w:r>
      <w:r>
        <w:rPr>
          <w:rFonts w:eastAsiaTheme="minorEastAsia"/>
          <w:color w:val="000000"/>
          <w:sz w:val="24"/>
        </w:rPr>
        <w:t>1.511</w:t>
      </w:r>
      <w:r>
        <w:rPr>
          <w:rFonts w:eastAsiaTheme="minorEastAsia"/>
          <w:color w:val="000000"/>
          <w:sz w:val="24"/>
        </w:rPr>
        <w:t>元，达到基金合同规定的不定期份额折算条件。根据本基金基金合同以及深圳证券交易所、中国证券登记结算有限责任公司的相关业务规定，本基金管理人以</w:t>
      </w:r>
      <w:r>
        <w:rPr>
          <w:rFonts w:eastAsiaTheme="minorEastAsia"/>
          <w:color w:val="000000"/>
          <w:sz w:val="24"/>
        </w:rPr>
        <w:t>2015</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18</w:t>
      </w:r>
      <w:r>
        <w:rPr>
          <w:rFonts w:eastAsiaTheme="minorEastAsia"/>
          <w:color w:val="000000"/>
          <w:sz w:val="24"/>
        </w:rPr>
        <w:t>日为不定期份额折算基准日办理了不定期份额折算业务，相关事宜详情请见本基金管理人于</w:t>
      </w:r>
      <w:r>
        <w:rPr>
          <w:rFonts w:eastAsiaTheme="minorEastAsia"/>
          <w:color w:val="000000"/>
          <w:sz w:val="24"/>
        </w:rPr>
        <w:t>2015</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18</w:t>
      </w:r>
      <w:r>
        <w:rPr>
          <w:rFonts w:eastAsiaTheme="minorEastAsia"/>
          <w:color w:val="000000"/>
          <w:sz w:val="24"/>
        </w:rPr>
        <w:t>日、</w:t>
      </w:r>
      <w:r>
        <w:rPr>
          <w:rFonts w:eastAsiaTheme="minorEastAsia"/>
          <w:color w:val="000000"/>
          <w:sz w:val="24"/>
        </w:rPr>
        <w:t>12</w:t>
      </w:r>
      <w:r>
        <w:rPr>
          <w:rFonts w:eastAsiaTheme="minorEastAsia"/>
          <w:color w:val="000000"/>
          <w:sz w:val="24"/>
        </w:rPr>
        <w:t>月</w:t>
      </w:r>
      <w:r>
        <w:rPr>
          <w:rFonts w:eastAsiaTheme="minorEastAsia"/>
          <w:color w:val="000000"/>
          <w:sz w:val="24"/>
        </w:rPr>
        <w:t>21</w:t>
      </w:r>
      <w:r>
        <w:rPr>
          <w:rFonts w:eastAsiaTheme="minorEastAsia"/>
          <w:color w:val="000000"/>
          <w:sz w:val="24"/>
        </w:rPr>
        <w:t>日、</w:t>
      </w:r>
      <w:r>
        <w:rPr>
          <w:rFonts w:eastAsiaTheme="minorEastAsia"/>
          <w:color w:val="000000"/>
          <w:sz w:val="24"/>
        </w:rPr>
        <w:t>12</w:t>
      </w:r>
      <w:r>
        <w:rPr>
          <w:rFonts w:eastAsiaTheme="minorEastAsia"/>
          <w:color w:val="000000"/>
          <w:sz w:val="24"/>
        </w:rPr>
        <w:t>月</w:t>
      </w:r>
      <w:r>
        <w:rPr>
          <w:rFonts w:eastAsiaTheme="minorEastAsia"/>
          <w:color w:val="000000"/>
          <w:sz w:val="24"/>
        </w:rPr>
        <w:t>22</w:t>
      </w:r>
      <w:r>
        <w:rPr>
          <w:rFonts w:eastAsiaTheme="minorEastAsia"/>
          <w:color w:val="000000"/>
          <w:sz w:val="24"/>
        </w:rPr>
        <w:t>日发布的系列公告。</w:t>
      </w:r>
    </w:p>
    <w:p w:rsidR="00220542" w:rsidRPr="005E324A" w:rsidRDefault="007A6BEA" w:rsidP="00B306AA">
      <w:pPr>
        <w:spacing w:line="360" w:lineRule="auto"/>
        <w:ind w:firstLineChars="200" w:firstLine="480"/>
        <w:rPr>
          <w:rFonts w:eastAsiaTheme="minorEastAsia"/>
          <w:color w:val="000000"/>
          <w:sz w:val="24"/>
        </w:rPr>
      </w:pPr>
      <w:r w:rsidRPr="005E324A">
        <w:rPr>
          <w:rFonts w:eastAsiaTheme="minorEastAsia"/>
          <w:color w:val="000000"/>
          <w:sz w:val="24"/>
        </w:rPr>
        <w:t>2.</w:t>
      </w:r>
      <w:r w:rsidRPr="005E324A">
        <w:rPr>
          <w:rFonts w:eastAsiaTheme="minorEastAsia"/>
          <w:color w:val="000000"/>
          <w:sz w:val="24"/>
        </w:rPr>
        <w:t>根据本基金基金合同中关于定期份额折算的相关规定，由于本基金以</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18</w:t>
      </w:r>
      <w:r w:rsidRPr="005E324A">
        <w:rPr>
          <w:rFonts w:eastAsiaTheme="minorEastAsia"/>
          <w:color w:val="000000"/>
          <w:sz w:val="24"/>
        </w:rPr>
        <w:t>日为不定期份额折算基准日办理了不定期份额折算业务，距</w:t>
      </w:r>
      <w:r w:rsidRPr="005E324A">
        <w:rPr>
          <w:rFonts w:eastAsiaTheme="minorEastAsia"/>
          <w:color w:val="000000"/>
          <w:sz w:val="24"/>
        </w:rPr>
        <w:t>2016</w:t>
      </w:r>
      <w:r w:rsidRPr="005E324A">
        <w:rPr>
          <w:rFonts w:eastAsiaTheme="minorEastAsia"/>
          <w:color w:val="000000"/>
          <w:sz w:val="24"/>
        </w:rPr>
        <w:t>年的第一个工作日（即</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4</w:t>
      </w:r>
      <w:r w:rsidRPr="005E324A">
        <w:rPr>
          <w:rFonts w:eastAsiaTheme="minorEastAsia"/>
          <w:color w:val="000000"/>
          <w:sz w:val="24"/>
        </w:rPr>
        <w:t>日）不足</w:t>
      </w:r>
      <w:r w:rsidRPr="005E324A">
        <w:rPr>
          <w:rFonts w:eastAsiaTheme="minorEastAsia"/>
          <w:color w:val="000000"/>
          <w:sz w:val="24"/>
        </w:rPr>
        <w:t>3</w:t>
      </w:r>
      <w:r w:rsidRPr="005E324A">
        <w:rPr>
          <w:rFonts w:eastAsiaTheme="minorEastAsia"/>
          <w:color w:val="000000"/>
          <w:sz w:val="24"/>
        </w:rPr>
        <w:t>个月，因此，本基金决定于</w:t>
      </w:r>
      <w:r w:rsidRPr="005E324A">
        <w:rPr>
          <w:rFonts w:eastAsiaTheme="minorEastAsia"/>
          <w:color w:val="000000"/>
          <w:sz w:val="24"/>
        </w:rPr>
        <w:t>2016</w:t>
      </w:r>
      <w:r w:rsidRPr="005E324A">
        <w:rPr>
          <w:rFonts w:eastAsiaTheme="minorEastAsia"/>
          <w:color w:val="000000"/>
          <w:sz w:val="24"/>
        </w:rPr>
        <w:t>年的第一个工作日不进行定期份额折算，交银新能源</w:t>
      </w:r>
      <w:r w:rsidRPr="005E324A">
        <w:rPr>
          <w:rFonts w:eastAsiaTheme="minorEastAsia"/>
          <w:color w:val="000000"/>
          <w:sz w:val="24"/>
        </w:rPr>
        <w:t>A</w:t>
      </w:r>
      <w:r w:rsidRPr="005E324A">
        <w:rPr>
          <w:rFonts w:eastAsiaTheme="minorEastAsia"/>
          <w:color w:val="000000"/>
          <w:sz w:val="24"/>
        </w:rPr>
        <w:t>份额的约定年基准收益率亦相应不予调整，仍沿用</w:t>
      </w:r>
      <w:r w:rsidRPr="005E324A">
        <w:rPr>
          <w:rFonts w:eastAsiaTheme="minorEastAsia"/>
          <w:color w:val="000000"/>
          <w:sz w:val="24"/>
        </w:rPr>
        <w:t>2015</w:t>
      </w:r>
      <w:r w:rsidRPr="005E324A">
        <w:rPr>
          <w:rFonts w:eastAsiaTheme="minorEastAsia"/>
          <w:color w:val="000000"/>
          <w:sz w:val="24"/>
        </w:rPr>
        <w:t>年的约定年基准收益率，即基金合同生效日（</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26</w:t>
      </w:r>
      <w:r w:rsidRPr="005E324A">
        <w:rPr>
          <w:rFonts w:eastAsiaTheme="minorEastAsia"/>
          <w:color w:val="000000"/>
          <w:sz w:val="24"/>
        </w:rPr>
        <w:t>日）中国人民银行公布的金融机构人民币一年期存款基准利率（税后）</w:t>
      </w:r>
      <w:r w:rsidRPr="005E324A">
        <w:rPr>
          <w:rFonts w:eastAsiaTheme="minorEastAsia"/>
          <w:color w:val="000000"/>
          <w:sz w:val="24"/>
        </w:rPr>
        <w:t>+3%</w:t>
      </w:r>
      <w:r w:rsidRPr="005E324A">
        <w:rPr>
          <w:rFonts w:eastAsiaTheme="minorEastAsia"/>
          <w:color w:val="000000"/>
          <w:sz w:val="24"/>
        </w:rPr>
        <w:t>，相关事宜详情请见本基金管理人于</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28</w:t>
      </w:r>
      <w:r w:rsidRPr="005E324A">
        <w:rPr>
          <w:rFonts w:eastAsiaTheme="minorEastAsia"/>
          <w:color w:val="000000"/>
          <w:sz w:val="24"/>
        </w:rPr>
        <w:t>日发布的《交银施罗德基金管理有限公司关于交银施罗德国证新能源指数分级证券投资基金不进行定期份额折算的提示性公告》。</w:t>
      </w:r>
    </w:p>
    <w:p w:rsidR="00220542" w:rsidRPr="005E324A" w:rsidRDefault="00220542" w:rsidP="00304CC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B14986" w:rsidRDefault="00304CC2">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81" w:rsidRDefault="00154D81">
      <w:r>
        <w:separator/>
      </w:r>
    </w:p>
  </w:endnote>
  <w:endnote w:type="continuationSeparator" w:id="0">
    <w:p w:rsidR="00154D81" w:rsidRDefault="0015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00"/>
    <w:family w:val="auto"/>
    <w:pitch w:val="default"/>
  </w:font>
  <w:font w:name="方正仿宋简体">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14986">
      <w:rPr>
        <w:kern w:val="0"/>
        <w:szCs w:val="21"/>
      </w:rPr>
      <w:fldChar w:fldCharType="begin"/>
    </w:r>
    <w:r>
      <w:rPr>
        <w:kern w:val="0"/>
        <w:szCs w:val="21"/>
      </w:rPr>
      <w:instrText xml:space="preserve"> PAGE </w:instrText>
    </w:r>
    <w:r w:rsidR="00B14986">
      <w:rPr>
        <w:kern w:val="0"/>
        <w:szCs w:val="21"/>
      </w:rPr>
      <w:fldChar w:fldCharType="separate"/>
    </w:r>
    <w:r w:rsidR="00621526">
      <w:rPr>
        <w:noProof/>
        <w:kern w:val="0"/>
        <w:szCs w:val="21"/>
      </w:rPr>
      <w:t>1</w:t>
    </w:r>
    <w:r w:rsidR="00B14986">
      <w:rPr>
        <w:kern w:val="0"/>
        <w:szCs w:val="21"/>
      </w:rPr>
      <w:fldChar w:fldCharType="end"/>
    </w:r>
    <w:r>
      <w:rPr>
        <w:rFonts w:hint="eastAsia"/>
        <w:kern w:val="0"/>
        <w:szCs w:val="21"/>
      </w:rPr>
      <w:t>页共</w:t>
    </w:r>
    <w:r w:rsidR="00B14986">
      <w:rPr>
        <w:kern w:val="0"/>
        <w:szCs w:val="21"/>
      </w:rPr>
      <w:fldChar w:fldCharType="begin"/>
    </w:r>
    <w:r>
      <w:rPr>
        <w:kern w:val="0"/>
        <w:szCs w:val="21"/>
      </w:rPr>
      <w:instrText xml:space="preserve"> NUMPAGES </w:instrText>
    </w:r>
    <w:r w:rsidR="00B14986">
      <w:rPr>
        <w:kern w:val="0"/>
        <w:szCs w:val="21"/>
      </w:rPr>
      <w:fldChar w:fldCharType="separate"/>
    </w:r>
    <w:r w:rsidR="00621526">
      <w:rPr>
        <w:noProof/>
        <w:kern w:val="0"/>
        <w:szCs w:val="21"/>
      </w:rPr>
      <w:t>15</w:t>
    </w:r>
    <w:r w:rsidR="00B14986">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14986">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14986">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621526">
      <w:rPr>
        <w:rStyle w:val="a7"/>
        <w:noProof/>
      </w:rPr>
      <w:t>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81" w:rsidRDefault="00154D81">
      <w:r>
        <w:separator/>
      </w:r>
    </w:p>
  </w:footnote>
  <w:footnote w:type="continuationSeparator" w:id="0">
    <w:p w:rsidR="00154D81" w:rsidRDefault="00154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4CC2"/>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1526"/>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97"/>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14986"/>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o:shapelayout v:ext="edit">
      <o:idmap v:ext="edit" data="1"/>
    </o:shapelayout>
  </w:shapeDefaults>
  <w:decimalSymbol w:val="."/>
  <w:listSeparator w:val=","/>
  <w15:docId w15:val="{CFF2FA07-2754-412F-8907-A03BD801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15</Pages>
  <Words>1212</Words>
  <Characters>6913</Characters>
  <Application>Microsoft Office Word</Application>
  <DocSecurity>0</DocSecurity>
  <Lines>57</Lines>
  <Paragraphs>16</Paragraphs>
  <ScaleCrop>false</ScaleCrop>
  <Company>TRT. Ltd. Co.</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162</cp:revision>
  <cp:lastPrinted>2007-07-19T00:46:00Z</cp:lastPrinted>
  <dcterms:created xsi:type="dcterms:W3CDTF">2012-11-28T02:28:00Z</dcterms:created>
  <dcterms:modified xsi:type="dcterms:W3CDTF">2016-01-19T09:50:00Z</dcterms:modified>
</cp:coreProperties>
</file>