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交银施罗德周期回报灵活配置混合型证券投资基金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二〇一六年一月二十一日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44F0F" w:rsidRDefault="0080120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44F0F" w:rsidRDefault="0080120B">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44F0F" w:rsidRDefault="0080120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44F0F" w:rsidRDefault="0080120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44F0F" w:rsidRDefault="0080120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交银周期回报灵活配置混合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bookmarkStart w:id="0" w:name="_GoBack"/>
            <w:bookmarkEnd w:id="0"/>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3,396,937,940.21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w:t>
            </w:r>
            <w:r w:rsidRPr="007F52FA">
              <w:rPr>
                <w:color w:val="000000"/>
                <w:kern w:val="0"/>
                <w:sz w:val="24"/>
              </w:rPr>
              <w:lastRenderedPageBreak/>
              <w:t>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本基金是一只混合型基金，其长期平均风险和预期收益高于债券型基金和货币市场基金，低于股票型基金。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519738</w:t>
            </w:r>
            <w:r w:rsidRPr="007F52FA">
              <w:rPr>
                <w:color w:val="000000" w:themeColor="text1"/>
                <w:sz w:val="24"/>
              </w:rPr>
              <w:t>（前端）、</w:t>
            </w:r>
            <w:r w:rsidRPr="007F52FA">
              <w:rPr>
                <w:color w:val="000000" w:themeColor="text1"/>
                <w:sz w:val="24"/>
              </w:rPr>
              <w:t>519739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519759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2,592,955,470.68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803,982,469.53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10</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37,424,910.55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2,215,676.30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97,909,149.66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5,856,314.26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0.0371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0.0073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3,016,588,831.47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927,408,422.04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1.163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1.154</w:t>
            </w:r>
          </w:p>
        </w:tc>
      </w:tr>
    </w:tbl>
    <w:p w:rsidR="00D44F0F" w:rsidRDefault="0080120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sidR="007269EF" w:rsidRPr="007269EF">
        <w:rPr>
          <w:rFonts w:eastAsiaTheme="minorEastAsia" w:hint="eastAsia"/>
          <w:color w:val="000000"/>
          <w:sz w:val="24"/>
        </w:rPr>
        <w:t>A</w:t>
      </w:r>
      <w:r w:rsidR="007269EF" w:rsidRPr="007269EF">
        <w:rPr>
          <w:rFonts w:eastAsiaTheme="minorEastAsia" w:hint="eastAsia"/>
          <w:color w:val="000000"/>
          <w:sz w:val="24"/>
        </w:rPr>
        <w:t>类</w:t>
      </w:r>
      <w:r>
        <w:rPr>
          <w:rFonts w:eastAsiaTheme="minorEastAsia"/>
          <w:color w:val="000000"/>
          <w:sz w:val="24"/>
        </w:rPr>
        <w:t>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交银周期回报灵活配置混合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44F0F">
        <w:trPr>
          <w:jc w:val="center"/>
        </w:trPr>
        <w:tc>
          <w:tcPr>
            <w:tcW w:w="1266" w:type="dxa"/>
            <w:vAlign w:val="center"/>
          </w:tcPr>
          <w:p w:rsidR="00D44F0F" w:rsidRDefault="0080120B">
            <w:pPr>
              <w:jc w:val="left"/>
            </w:pPr>
            <w:r>
              <w:rPr>
                <w:color w:val="000000"/>
                <w:sz w:val="24"/>
              </w:rPr>
              <w:t>过去三个月</w:t>
            </w:r>
          </w:p>
        </w:tc>
        <w:tc>
          <w:tcPr>
            <w:tcW w:w="1267" w:type="dxa"/>
            <w:vAlign w:val="center"/>
          </w:tcPr>
          <w:p w:rsidR="00D44F0F" w:rsidRDefault="0080120B">
            <w:pPr>
              <w:jc w:val="center"/>
            </w:pPr>
            <w:r>
              <w:rPr>
                <w:color w:val="000000"/>
                <w:sz w:val="24"/>
              </w:rPr>
              <w:t>3.19%</w:t>
            </w:r>
          </w:p>
        </w:tc>
        <w:tc>
          <w:tcPr>
            <w:tcW w:w="1267" w:type="dxa"/>
            <w:vAlign w:val="center"/>
          </w:tcPr>
          <w:p w:rsidR="00D44F0F" w:rsidRDefault="0080120B">
            <w:pPr>
              <w:jc w:val="center"/>
            </w:pPr>
            <w:r>
              <w:rPr>
                <w:color w:val="000000"/>
                <w:sz w:val="24"/>
              </w:rPr>
              <w:t>0.16%</w:t>
            </w:r>
          </w:p>
        </w:tc>
        <w:tc>
          <w:tcPr>
            <w:tcW w:w="1267" w:type="dxa"/>
            <w:vAlign w:val="center"/>
          </w:tcPr>
          <w:p w:rsidR="00D44F0F" w:rsidRDefault="0080120B">
            <w:pPr>
              <w:jc w:val="center"/>
            </w:pPr>
            <w:r>
              <w:rPr>
                <w:color w:val="000000"/>
                <w:sz w:val="24"/>
              </w:rPr>
              <w:t>9.14%</w:t>
            </w:r>
          </w:p>
        </w:tc>
        <w:tc>
          <w:tcPr>
            <w:tcW w:w="1267" w:type="dxa"/>
            <w:vAlign w:val="center"/>
          </w:tcPr>
          <w:p w:rsidR="00D44F0F" w:rsidRDefault="0080120B">
            <w:pPr>
              <w:jc w:val="center"/>
            </w:pPr>
            <w:r>
              <w:rPr>
                <w:color w:val="000000"/>
                <w:sz w:val="24"/>
              </w:rPr>
              <w:t>0.83%</w:t>
            </w:r>
          </w:p>
        </w:tc>
        <w:tc>
          <w:tcPr>
            <w:tcW w:w="1267" w:type="dxa"/>
            <w:vAlign w:val="center"/>
          </w:tcPr>
          <w:p w:rsidR="00D44F0F" w:rsidRDefault="0080120B">
            <w:pPr>
              <w:jc w:val="center"/>
            </w:pPr>
            <w:r>
              <w:rPr>
                <w:color w:val="000000"/>
                <w:sz w:val="24"/>
              </w:rPr>
              <w:t>-5.95%</w:t>
            </w:r>
          </w:p>
        </w:tc>
        <w:tc>
          <w:tcPr>
            <w:tcW w:w="1267" w:type="dxa"/>
            <w:vAlign w:val="center"/>
          </w:tcPr>
          <w:p w:rsidR="00D44F0F" w:rsidRDefault="0080120B">
            <w:pPr>
              <w:jc w:val="center"/>
            </w:pPr>
            <w:r>
              <w:rPr>
                <w:color w:val="000000"/>
                <w:sz w:val="24"/>
              </w:rPr>
              <w:t>-0.67%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交银周期回报灵活配置混合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44F0F">
        <w:trPr>
          <w:jc w:val="center"/>
        </w:trPr>
        <w:tc>
          <w:tcPr>
            <w:tcW w:w="1266" w:type="dxa"/>
            <w:vAlign w:val="center"/>
          </w:tcPr>
          <w:p w:rsidR="00D44F0F" w:rsidRDefault="000E720A">
            <w:pPr>
              <w:jc w:val="left"/>
            </w:pPr>
            <w:r w:rsidRPr="00C17F71">
              <w:rPr>
                <w:rFonts w:ascii="宋体" w:hAnsi="宋体" w:hint="eastAsia"/>
                <w:color w:val="000000"/>
                <w:sz w:val="24"/>
              </w:rPr>
              <w:t>自基金分级日起至今</w:t>
            </w:r>
          </w:p>
        </w:tc>
        <w:tc>
          <w:tcPr>
            <w:tcW w:w="1267" w:type="dxa"/>
            <w:vAlign w:val="center"/>
          </w:tcPr>
          <w:p w:rsidR="00D44F0F" w:rsidRDefault="0080120B">
            <w:pPr>
              <w:jc w:val="center"/>
            </w:pPr>
            <w:r>
              <w:rPr>
                <w:color w:val="000000"/>
                <w:sz w:val="24"/>
              </w:rPr>
              <w:t>0.70%</w:t>
            </w:r>
          </w:p>
        </w:tc>
        <w:tc>
          <w:tcPr>
            <w:tcW w:w="1267" w:type="dxa"/>
            <w:vAlign w:val="center"/>
          </w:tcPr>
          <w:p w:rsidR="00D44F0F" w:rsidRDefault="0080120B">
            <w:pPr>
              <w:jc w:val="center"/>
            </w:pPr>
            <w:r>
              <w:rPr>
                <w:color w:val="000000"/>
                <w:sz w:val="24"/>
              </w:rPr>
              <w:t>0.14%</w:t>
            </w:r>
          </w:p>
        </w:tc>
        <w:tc>
          <w:tcPr>
            <w:tcW w:w="1267" w:type="dxa"/>
            <w:vAlign w:val="center"/>
          </w:tcPr>
          <w:p w:rsidR="00D44F0F" w:rsidRDefault="0080120B">
            <w:pPr>
              <w:jc w:val="center"/>
            </w:pPr>
            <w:r>
              <w:rPr>
                <w:color w:val="000000"/>
                <w:sz w:val="24"/>
              </w:rPr>
              <w:t>1.05%</w:t>
            </w:r>
          </w:p>
        </w:tc>
        <w:tc>
          <w:tcPr>
            <w:tcW w:w="1267" w:type="dxa"/>
            <w:vAlign w:val="center"/>
          </w:tcPr>
          <w:p w:rsidR="00D44F0F" w:rsidRDefault="0080120B">
            <w:pPr>
              <w:jc w:val="center"/>
            </w:pPr>
            <w:r>
              <w:rPr>
                <w:color w:val="000000"/>
                <w:sz w:val="24"/>
              </w:rPr>
              <w:t>0.84%</w:t>
            </w:r>
          </w:p>
        </w:tc>
        <w:tc>
          <w:tcPr>
            <w:tcW w:w="1267" w:type="dxa"/>
            <w:vAlign w:val="center"/>
          </w:tcPr>
          <w:p w:rsidR="00D44F0F" w:rsidRDefault="0080120B">
            <w:pPr>
              <w:jc w:val="center"/>
            </w:pPr>
            <w:r>
              <w:rPr>
                <w:color w:val="000000"/>
                <w:sz w:val="24"/>
              </w:rPr>
              <w:t>-0.35%</w:t>
            </w:r>
          </w:p>
        </w:tc>
        <w:tc>
          <w:tcPr>
            <w:tcW w:w="1267" w:type="dxa"/>
            <w:vAlign w:val="center"/>
          </w:tcPr>
          <w:p w:rsidR="00D44F0F" w:rsidRDefault="0080120B">
            <w:pPr>
              <w:jc w:val="center"/>
            </w:pPr>
            <w:r>
              <w:rPr>
                <w:color w:val="000000"/>
                <w:sz w:val="24"/>
              </w:rPr>
              <w:t>-0.70%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交银施罗德周期回报灵活配置混合型证券投资基金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交银周期回报灵活配置混合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12B1D80C" wp14:editId="4BBA0A1E">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2014</w:t>
      </w:r>
      <w:r w:rsidRPr="007F52FA">
        <w:rPr>
          <w:color w:val="000000"/>
          <w:sz w:val="24"/>
        </w:rPr>
        <w:t>年</w:t>
      </w:r>
      <w:r w:rsidRPr="007F52FA">
        <w:rPr>
          <w:color w:val="000000"/>
          <w:sz w:val="24"/>
        </w:rPr>
        <w:t>5</w:t>
      </w:r>
      <w:r w:rsidRPr="007F52FA">
        <w:rPr>
          <w:color w:val="000000"/>
          <w:sz w:val="24"/>
        </w:rPr>
        <w:t>月</w:t>
      </w:r>
      <w:r w:rsidRPr="007F52FA">
        <w:rPr>
          <w:color w:val="000000"/>
          <w:sz w:val="24"/>
        </w:rPr>
        <w:t>22</w:t>
      </w:r>
      <w:r w:rsidRPr="007F52FA">
        <w:rPr>
          <w:color w:val="000000"/>
          <w:sz w:val="24"/>
        </w:rPr>
        <w:t>日至</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交银周期回报灵活配置混合</w:t>
      </w:r>
      <w:r w:rsidR="00FE7FBD" w:rsidRPr="007F52FA">
        <w:rPr>
          <w:color w:val="000000"/>
          <w:sz w:val="24"/>
        </w:rPr>
        <w:t>C</w:t>
      </w:r>
    </w:p>
    <w:p w:rsidR="00D12D04" w:rsidRPr="007F52FA" w:rsidRDefault="007E29E0" w:rsidP="007C14DF">
      <w:pPr>
        <w:pStyle w:val="20"/>
        <w:spacing w:before="29" w:line="288" w:lineRule="auto"/>
        <w:ind w:firstLineChars="0" w:firstLine="0"/>
        <w:jc w:val="center"/>
        <w:rPr>
          <w:rFonts w:ascii="Times New Roman" w:eastAsiaTheme="minorEastAsia" w:hAnsi="Times New Roman"/>
          <w:color w:val="000000"/>
        </w:rPr>
      </w:pPr>
      <w:r>
        <w:rPr>
          <w:noProof/>
        </w:rPr>
        <w:drawing>
          <wp:inline distT="0" distB="0" distL="0" distR="0" wp14:anchorId="3B22FEDC" wp14:editId="48980F38">
            <wp:extent cx="5731510" cy="3351315"/>
            <wp:effectExtent l="0" t="0" r="0" b="0"/>
            <wp:docPr id="2" name="图片 2"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走势图2.jpg"/>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731510" cy="3351315"/>
                    </a:xfrm>
                    <a:prstGeom prst="rect">
                      <a:avLst/>
                    </a:prstGeom>
                    <a:noFill/>
                    <a:ln>
                      <a:noFill/>
                    </a:ln>
                  </pic:spPr>
                </pic:pic>
              </a:graphicData>
            </a:graphic>
          </wp:inline>
        </w:drawing>
      </w:r>
    </w:p>
    <w:p w:rsidR="006C5BC9" w:rsidRPr="007F52FA" w:rsidRDefault="00F626C3" w:rsidP="00C17F71">
      <w:pPr>
        <w:spacing w:before="29" w:line="288" w:lineRule="auto"/>
        <w:ind w:firstLineChars="200" w:firstLine="480"/>
        <w:rPr>
          <w:rFonts w:eastAsiaTheme="minorEastAsia"/>
          <w:color w:val="000000"/>
          <w:sz w:val="24"/>
        </w:rPr>
      </w:pPr>
      <w:r w:rsidRPr="00C17F71">
        <w:rPr>
          <w:color w:val="000000"/>
          <w:sz w:val="24"/>
        </w:rPr>
        <w:t>注：本基金自</w:t>
      </w:r>
      <w:r w:rsidRPr="00C17F71">
        <w:rPr>
          <w:color w:val="000000"/>
          <w:sz w:val="24"/>
        </w:rPr>
        <w:t>2015</w:t>
      </w:r>
      <w:r w:rsidRPr="00C17F71">
        <w:rPr>
          <w:color w:val="000000"/>
          <w:sz w:val="24"/>
        </w:rPr>
        <w:t>年</w:t>
      </w:r>
      <w:r w:rsidRPr="00C17F71">
        <w:rPr>
          <w:color w:val="000000"/>
          <w:sz w:val="24"/>
        </w:rPr>
        <w:t>11</w:t>
      </w:r>
      <w:r w:rsidRPr="00C17F71">
        <w:rPr>
          <w:color w:val="000000"/>
          <w:sz w:val="24"/>
        </w:rPr>
        <w:t>月</w:t>
      </w:r>
      <w:r w:rsidRPr="00C17F71">
        <w:rPr>
          <w:color w:val="000000"/>
          <w:sz w:val="24"/>
        </w:rPr>
        <w:t>19</w:t>
      </w:r>
      <w:r w:rsidRPr="00C17F71">
        <w:rPr>
          <w:color w:val="000000"/>
          <w:sz w:val="24"/>
        </w:rPr>
        <w:t>日起，开始销售</w:t>
      </w:r>
      <w:r w:rsidRPr="00C17F71">
        <w:rPr>
          <w:color w:val="000000"/>
          <w:sz w:val="24"/>
        </w:rPr>
        <w:t>C</w:t>
      </w:r>
      <w:r w:rsidRPr="00C17F71">
        <w:rPr>
          <w:color w:val="000000"/>
          <w:sz w:val="24"/>
        </w:rPr>
        <w:t>类份额，当日投资者提交的申购申请于</w:t>
      </w:r>
      <w:r w:rsidRPr="00C17F71">
        <w:rPr>
          <w:color w:val="000000"/>
          <w:sz w:val="24"/>
        </w:rPr>
        <w:t>2015</w:t>
      </w:r>
      <w:r w:rsidRPr="00C17F71">
        <w:rPr>
          <w:color w:val="000000"/>
          <w:sz w:val="24"/>
        </w:rPr>
        <w:t>年</w:t>
      </w:r>
      <w:r w:rsidRPr="00C17F71">
        <w:rPr>
          <w:color w:val="000000"/>
          <w:sz w:val="24"/>
        </w:rPr>
        <w:t>11</w:t>
      </w:r>
      <w:r w:rsidRPr="00C17F71">
        <w:rPr>
          <w:color w:val="000000"/>
          <w:sz w:val="24"/>
        </w:rPr>
        <w:t>月</w:t>
      </w:r>
      <w:r w:rsidRPr="00C17F71">
        <w:rPr>
          <w:color w:val="000000"/>
          <w:sz w:val="24"/>
        </w:rPr>
        <w:t>20</w:t>
      </w:r>
      <w:r w:rsidRPr="00C17F71">
        <w:rPr>
          <w:color w:val="000000"/>
          <w:sz w:val="24"/>
        </w:rPr>
        <w:t>日被确认并将有效份额登记在册。图示日期为</w:t>
      </w:r>
      <w:r w:rsidRPr="00C17F71">
        <w:rPr>
          <w:color w:val="000000"/>
          <w:sz w:val="24"/>
        </w:rPr>
        <w:t>2015</w:t>
      </w:r>
      <w:r w:rsidRPr="00C17F71">
        <w:rPr>
          <w:color w:val="000000"/>
          <w:sz w:val="24"/>
        </w:rPr>
        <w:t>年</w:t>
      </w:r>
      <w:r w:rsidRPr="00C17F71">
        <w:rPr>
          <w:color w:val="000000"/>
          <w:sz w:val="24"/>
        </w:rPr>
        <w:t>11</w:t>
      </w:r>
      <w:r w:rsidRPr="00C17F71">
        <w:rPr>
          <w:color w:val="000000"/>
          <w:sz w:val="24"/>
        </w:rPr>
        <w:t>月</w:t>
      </w:r>
      <w:r w:rsidRPr="00C17F71">
        <w:rPr>
          <w:color w:val="000000"/>
          <w:sz w:val="24"/>
        </w:rPr>
        <w:t>20</w:t>
      </w:r>
      <w:r w:rsidRPr="00C17F71">
        <w:rPr>
          <w:color w:val="000000"/>
          <w:sz w:val="24"/>
        </w:rPr>
        <w:t>日至</w:t>
      </w:r>
      <w:r w:rsidRPr="00C17F71">
        <w:rPr>
          <w:color w:val="000000"/>
          <w:sz w:val="24"/>
        </w:rPr>
        <w:t>2015</w:t>
      </w:r>
      <w:r w:rsidRPr="00C17F71">
        <w:rPr>
          <w:color w:val="000000"/>
          <w:sz w:val="24"/>
        </w:rPr>
        <w:t>年</w:t>
      </w:r>
      <w:r w:rsidRPr="00C17F71">
        <w:rPr>
          <w:color w:val="000000"/>
          <w:sz w:val="24"/>
        </w:rPr>
        <w:t>12</w:t>
      </w:r>
      <w:r w:rsidRPr="00C17F71">
        <w:rPr>
          <w:color w:val="000000"/>
          <w:sz w:val="24"/>
        </w:rPr>
        <w:t>月</w:t>
      </w:r>
      <w:r w:rsidRPr="00C17F71">
        <w:rPr>
          <w:color w:val="000000"/>
          <w:sz w:val="24"/>
        </w:rPr>
        <w:t>31</w:t>
      </w:r>
      <w:r w:rsidRPr="00C17F71">
        <w:rPr>
          <w:color w:val="000000"/>
          <w:sz w:val="24"/>
        </w:rPr>
        <w:t>日。</w:t>
      </w: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44F0F">
        <w:trPr>
          <w:jc w:val="center"/>
        </w:trPr>
        <w:tc>
          <w:tcPr>
            <w:tcW w:w="946" w:type="dxa"/>
            <w:vAlign w:val="center"/>
          </w:tcPr>
          <w:p w:rsidR="00D44F0F" w:rsidRDefault="0080120B">
            <w:pPr>
              <w:jc w:val="center"/>
            </w:pPr>
            <w:r>
              <w:rPr>
                <w:color w:val="000000"/>
                <w:sz w:val="24"/>
              </w:rPr>
              <w:t>项廷锋</w:t>
            </w:r>
          </w:p>
        </w:tc>
        <w:tc>
          <w:tcPr>
            <w:tcW w:w="924" w:type="dxa"/>
            <w:vAlign w:val="center"/>
          </w:tcPr>
          <w:p w:rsidR="00D44F0F" w:rsidRDefault="0080120B">
            <w:pPr>
              <w:jc w:val="center"/>
            </w:pPr>
            <w:r>
              <w:rPr>
                <w:color w:val="000000"/>
                <w:sz w:val="24"/>
              </w:rPr>
              <w:t>交银双利债券、交银策略回报灵活配置混合、交银荣祥保本混合、交银荣泰保本混合、交银周期回报灵活配置混合、交银新回报灵活配置混合、交银荣和保本混合、交银多策略回报灵活配置混合的基金经理，公司投资总监</w:t>
            </w:r>
          </w:p>
        </w:tc>
        <w:tc>
          <w:tcPr>
            <w:tcW w:w="1202" w:type="dxa"/>
            <w:vAlign w:val="center"/>
          </w:tcPr>
          <w:p w:rsidR="00D44F0F" w:rsidRDefault="0080120B">
            <w:pPr>
              <w:jc w:val="center"/>
            </w:pPr>
            <w:r>
              <w:rPr>
                <w:color w:val="000000"/>
                <w:sz w:val="24"/>
              </w:rPr>
              <w:t>2014-06-03</w:t>
            </w:r>
          </w:p>
        </w:tc>
        <w:tc>
          <w:tcPr>
            <w:tcW w:w="1300" w:type="dxa"/>
            <w:vAlign w:val="center"/>
          </w:tcPr>
          <w:p w:rsidR="00D44F0F" w:rsidRDefault="0080120B">
            <w:pPr>
              <w:jc w:val="center"/>
            </w:pPr>
            <w:r>
              <w:rPr>
                <w:color w:val="000000"/>
                <w:sz w:val="24"/>
              </w:rPr>
              <w:t>2015-10-07</w:t>
            </w:r>
          </w:p>
        </w:tc>
        <w:tc>
          <w:tcPr>
            <w:tcW w:w="1245" w:type="dxa"/>
            <w:vAlign w:val="center"/>
          </w:tcPr>
          <w:p w:rsidR="00D44F0F" w:rsidRDefault="0080120B">
            <w:pPr>
              <w:jc w:val="center"/>
            </w:pPr>
            <w:r>
              <w:rPr>
                <w:color w:val="000000"/>
                <w:sz w:val="24"/>
              </w:rPr>
              <w:t>16</w:t>
            </w:r>
            <w:r>
              <w:rPr>
                <w:color w:val="000000"/>
                <w:sz w:val="24"/>
              </w:rPr>
              <w:t>年</w:t>
            </w:r>
          </w:p>
        </w:tc>
        <w:tc>
          <w:tcPr>
            <w:tcW w:w="3251" w:type="dxa"/>
            <w:vAlign w:val="center"/>
          </w:tcPr>
          <w:p w:rsidR="00D44F0F" w:rsidRDefault="0080120B">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sidR="007B72F9" w:rsidRPr="00C17F71">
              <w:rPr>
                <w:color w:val="000000"/>
                <w:sz w:val="24"/>
              </w:rPr>
              <w:t>2012</w:t>
            </w:r>
            <w:r w:rsidR="007B72F9" w:rsidRPr="00C17F71">
              <w:rPr>
                <w:rFonts w:hint="eastAsia"/>
                <w:color w:val="000000"/>
                <w:sz w:val="24"/>
              </w:rPr>
              <w:t>年</w:t>
            </w:r>
            <w:r w:rsidR="007B72F9" w:rsidRPr="00C17F71">
              <w:rPr>
                <w:color w:val="000000"/>
                <w:sz w:val="24"/>
              </w:rPr>
              <w:t>6</w:t>
            </w:r>
            <w:r w:rsidR="007B72F9" w:rsidRPr="00C17F71">
              <w:rPr>
                <w:rFonts w:hint="eastAsia"/>
                <w:color w:val="000000"/>
                <w:sz w:val="24"/>
              </w:rPr>
              <w:t>月</w:t>
            </w:r>
            <w:r w:rsidR="007B72F9" w:rsidRPr="00C17F71">
              <w:rPr>
                <w:color w:val="000000"/>
                <w:sz w:val="24"/>
              </w:rPr>
              <w:t>20</w:t>
            </w:r>
            <w:r w:rsidR="007B72F9" w:rsidRPr="00C17F71">
              <w:rPr>
                <w:rFonts w:hint="eastAsia"/>
                <w:color w:val="000000"/>
                <w:sz w:val="24"/>
              </w:rPr>
              <w:t>日至</w:t>
            </w:r>
            <w:r w:rsidR="007B72F9" w:rsidRPr="00C17F71">
              <w:rPr>
                <w:color w:val="000000"/>
                <w:sz w:val="24"/>
              </w:rPr>
              <w:t>2015</w:t>
            </w:r>
            <w:r w:rsidR="007B72F9" w:rsidRPr="00C17F71">
              <w:rPr>
                <w:rFonts w:hint="eastAsia"/>
                <w:color w:val="000000"/>
                <w:sz w:val="24"/>
              </w:rPr>
              <w:t>年</w:t>
            </w:r>
            <w:r w:rsidR="007B72F9" w:rsidRPr="00C17F71">
              <w:rPr>
                <w:color w:val="000000"/>
                <w:sz w:val="24"/>
              </w:rPr>
              <w:t>6</w:t>
            </w:r>
            <w:r w:rsidR="007B72F9" w:rsidRPr="00C17F71">
              <w:rPr>
                <w:rFonts w:hint="eastAsia"/>
                <w:color w:val="000000"/>
                <w:sz w:val="24"/>
              </w:rPr>
              <w:t>月</w:t>
            </w:r>
            <w:r w:rsidR="007B72F9" w:rsidRPr="00C17F71">
              <w:rPr>
                <w:color w:val="000000"/>
                <w:sz w:val="24"/>
              </w:rPr>
              <w:t>26</w:t>
            </w:r>
            <w:r w:rsidR="007B72F9" w:rsidRPr="00C17F71">
              <w:rPr>
                <w:rFonts w:hint="eastAsia"/>
                <w:color w:val="000000"/>
                <w:sz w:val="24"/>
              </w:rPr>
              <w:t>日担任已转型的交银施罗德荣安保本混合型证券投资基金基金经理、</w:t>
            </w:r>
            <w:r w:rsidR="007B72F9" w:rsidRPr="00C17F71">
              <w:rPr>
                <w:color w:val="000000"/>
                <w:sz w:val="24"/>
              </w:rPr>
              <w:t>2013</w:t>
            </w:r>
            <w:r w:rsidR="007B72F9" w:rsidRPr="00C17F71">
              <w:rPr>
                <w:rFonts w:hint="eastAsia"/>
                <w:color w:val="000000"/>
                <w:sz w:val="24"/>
              </w:rPr>
              <w:t>年</w:t>
            </w:r>
            <w:r w:rsidR="007B72F9" w:rsidRPr="00C17F71">
              <w:rPr>
                <w:color w:val="000000"/>
                <w:sz w:val="24"/>
              </w:rPr>
              <w:t>9</w:t>
            </w:r>
            <w:r w:rsidR="007B72F9" w:rsidRPr="00C17F71">
              <w:rPr>
                <w:rFonts w:hint="eastAsia"/>
                <w:color w:val="000000"/>
                <w:sz w:val="24"/>
              </w:rPr>
              <w:t>月</w:t>
            </w:r>
            <w:r w:rsidR="007B72F9" w:rsidRPr="00C17F71">
              <w:rPr>
                <w:color w:val="000000"/>
                <w:sz w:val="24"/>
              </w:rPr>
              <w:t>4</w:t>
            </w:r>
            <w:r w:rsidR="007B72F9" w:rsidRPr="00C17F71">
              <w:rPr>
                <w:rFonts w:hint="eastAsia"/>
                <w:color w:val="000000"/>
                <w:sz w:val="24"/>
              </w:rPr>
              <w:t>日至</w:t>
            </w:r>
            <w:r w:rsidR="007B72F9" w:rsidRPr="00C17F71">
              <w:rPr>
                <w:color w:val="000000"/>
                <w:sz w:val="24"/>
              </w:rPr>
              <w:t>2014</w:t>
            </w:r>
            <w:r w:rsidR="007B72F9" w:rsidRPr="00C17F71">
              <w:rPr>
                <w:rFonts w:hint="eastAsia"/>
                <w:color w:val="000000"/>
                <w:sz w:val="24"/>
              </w:rPr>
              <w:t>年</w:t>
            </w:r>
            <w:r w:rsidR="007B72F9" w:rsidRPr="00C17F71">
              <w:rPr>
                <w:color w:val="000000"/>
                <w:sz w:val="24"/>
              </w:rPr>
              <w:t>12</w:t>
            </w:r>
            <w:r w:rsidR="007B72F9" w:rsidRPr="00C17F71">
              <w:rPr>
                <w:rFonts w:hint="eastAsia"/>
                <w:color w:val="000000"/>
                <w:sz w:val="24"/>
              </w:rPr>
              <w:t>月</w:t>
            </w:r>
            <w:r w:rsidR="007B72F9" w:rsidRPr="00C17F71">
              <w:rPr>
                <w:color w:val="000000"/>
                <w:sz w:val="24"/>
              </w:rPr>
              <w:t>18</w:t>
            </w:r>
            <w:r w:rsidR="007B72F9" w:rsidRPr="00C17F71">
              <w:rPr>
                <w:rFonts w:hint="eastAsia"/>
                <w:color w:val="000000"/>
                <w:sz w:val="24"/>
              </w:rPr>
              <w:t>日担任交银施罗德定期支付双息平衡混合型证券投资基金基金经理、</w:t>
            </w:r>
            <w:r w:rsidR="007B72F9" w:rsidRPr="00C17F71">
              <w:rPr>
                <w:color w:val="000000"/>
                <w:sz w:val="24"/>
              </w:rPr>
              <w:t>2013</w:t>
            </w:r>
            <w:r w:rsidR="007B72F9" w:rsidRPr="00C17F71">
              <w:rPr>
                <w:rFonts w:hint="eastAsia"/>
                <w:color w:val="000000"/>
                <w:sz w:val="24"/>
              </w:rPr>
              <w:t>年</w:t>
            </w:r>
            <w:r w:rsidR="007B72F9" w:rsidRPr="00C17F71">
              <w:rPr>
                <w:color w:val="000000"/>
                <w:sz w:val="24"/>
              </w:rPr>
              <w:t>4</w:t>
            </w:r>
            <w:r w:rsidR="007B72F9" w:rsidRPr="00C17F71">
              <w:rPr>
                <w:rFonts w:hint="eastAsia"/>
                <w:color w:val="000000"/>
                <w:sz w:val="24"/>
              </w:rPr>
              <w:t>月</w:t>
            </w:r>
            <w:r w:rsidR="007B72F9" w:rsidRPr="00C17F71">
              <w:rPr>
                <w:color w:val="000000"/>
                <w:sz w:val="24"/>
              </w:rPr>
              <w:t>24</w:t>
            </w:r>
            <w:r w:rsidR="007B72F9" w:rsidRPr="00C17F71">
              <w:rPr>
                <w:rFonts w:hint="eastAsia"/>
                <w:color w:val="000000"/>
                <w:sz w:val="24"/>
              </w:rPr>
              <w:t>日至</w:t>
            </w:r>
            <w:r w:rsidR="007B72F9" w:rsidRPr="00C17F71">
              <w:rPr>
                <w:color w:val="000000"/>
                <w:sz w:val="24"/>
              </w:rPr>
              <w:t>2015</w:t>
            </w:r>
            <w:r w:rsidR="007B72F9" w:rsidRPr="00C17F71">
              <w:rPr>
                <w:rFonts w:hint="eastAsia"/>
                <w:color w:val="000000"/>
                <w:sz w:val="24"/>
              </w:rPr>
              <w:t>年</w:t>
            </w:r>
            <w:r w:rsidR="007B72F9" w:rsidRPr="00C17F71">
              <w:rPr>
                <w:color w:val="000000"/>
                <w:sz w:val="24"/>
              </w:rPr>
              <w:t>10</w:t>
            </w:r>
            <w:r w:rsidR="007B72F9" w:rsidRPr="00C17F71">
              <w:rPr>
                <w:rFonts w:hint="eastAsia"/>
                <w:color w:val="000000"/>
                <w:sz w:val="24"/>
              </w:rPr>
              <w:t>月</w:t>
            </w:r>
            <w:r w:rsidR="007B72F9" w:rsidRPr="00C17F71">
              <w:rPr>
                <w:color w:val="000000"/>
                <w:sz w:val="24"/>
              </w:rPr>
              <w:t>6</w:t>
            </w:r>
            <w:r w:rsidR="007B72F9" w:rsidRPr="00C17F71">
              <w:rPr>
                <w:rFonts w:hint="eastAsia"/>
                <w:color w:val="000000"/>
                <w:sz w:val="24"/>
              </w:rPr>
              <w:t>日担任交银施罗德荣祥保本混合型证券投资基金基金经理、</w:t>
            </w:r>
            <w:r w:rsidR="007B72F9" w:rsidRPr="00C17F71">
              <w:rPr>
                <w:color w:val="000000"/>
                <w:sz w:val="24"/>
              </w:rPr>
              <w:t>2013</w:t>
            </w:r>
            <w:r w:rsidR="007B72F9" w:rsidRPr="00C17F71">
              <w:rPr>
                <w:rFonts w:hint="eastAsia"/>
                <w:color w:val="000000"/>
                <w:sz w:val="24"/>
              </w:rPr>
              <w:t>年</w:t>
            </w:r>
            <w:r w:rsidR="007B72F9" w:rsidRPr="00C17F71">
              <w:rPr>
                <w:color w:val="000000"/>
                <w:sz w:val="24"/>
              </w:rPr>
              <w:t>12</w:t>
            </w:r>
            <w:r w:rsidR="007B72F9" w:rsidRPr="00C17F71">
              <w:rPr>
                <w:rFonts w:hint="eastAsia"/>
                <w:color w:val="000000"/>
                <w:sz w:val="24"/>
              </w:rPr>
              <w:t>月</w:t>
            </w:r>
            <w:r w:rsidR="007B72F9" w:rsidRPr="00C17F71">
              <w:rPr>
                <w:color w:val="000000"/>
                <w:sz w:val="24"/>
              </w:rPr>
              <w:t>25</w:t>
            </w:r>
            <w:r w:rsidR="007B72F9" w:rsidRPr="00C17F71">
              <w:rPr>
                <w:rFonts w:hint="eastAsia"/>
                <w:color w:val="000000"/>
                <w:sz w:val="24"/>
              </w:rPr>
              <w:t>日至</w:t>
            </w:r>
            <w:r w:rsidR="007B72F9" w:rsidRPr="00C17F71">
              <w:rPr>
                <w:color w:val="000000"/>
                <w:sz w:val="24"/>
              </w:rPr>
              <w:t>2015</w:t>
            </w:r>
            <w:r w:rsidR="007B72F9" w:rsidRPr="00C17F71">
              <w:rPr>
                <w:rFonts w:hint="eastAsia"/>
                <w:color w:val="000000"/>
                <w:sz w:val="24"/>
              </w:rPr>
              <w:t>年</w:t>
            </w:r>
            <w:r w:rsidR="007B72F9" w:rsidRPr="00C17F71">
              <w:rPr>
                <w:color w:val="000000"/>
                <w:sz w:val="24"/>
              </w:rPr>
              <w:t>10</w:t>
            </w:r>
            <w:r w:rsidR="007B72F9" w:rsidRPr="00C17F71">
              <w:rPr>
                <w:rFonts w:hint="eastAsia"/>
                <w:color w:val="000000"/>
                <w:sz w:val="24"/>
              </w:rPr>
              <w:t>月</w:t>
            </w:r>
            <w:r w:rsidR="007B72F9" w:rsidRPr="00C17F71">
              <w:rPr>
                <w:color w:val="000000"/>
                <w:sz w:val="24"/>
              </w:rPr>
              <w:t>6</w:t>
            </w:r>
            <w:r w:rsidR="007B72F9" w:rsidRPr="00C17F71">
              <w:rPr>
                <w:rFonts w:hint="eastAsia"/>
                <w:color w:val="000000"/>
                <w:sz w:val="24"/>
              </w:rPr>
              <w:t>日担任交银施罗德荣泰保本混合型证券投资基金基金经理、</w:t>
            </w:r>
            <w:r w:rsidR="007B72F9" w:rsidRPr="00C17F71">
              <w:rPr>
                <w:color w:val="000000"/>
                <w:sz w:val="24"/>
              </w:rPr>
              <w:t>2014</w:t>
            </w:r>
            <w:r w:rsidR="007B72F9" w:rsidRPr="00C17F71">
              <w:rPr>
                <w:rFonts w:hint="eastAsia"/>
                <w:color w:val="000000"/>
                <w:sz w:val="24"/>
              </w:rPr>
              <w:t>年</w:t>
            </w:r>
            <w:r w:rsidR="007B72F9" w:rsidRPr="00C17F71">
              <w:rPr>
                <w:color w:val="000000"/>
                <w:sz w:val="24"/>
              </w:rPr>
              <w:t>6</w:t>
            </w:r>
            <w:r w:rsidR="007B72F9" w:rsidRPr="00C17F71">
              <w:rPr>
                <w:rFonts w:hint="eastAsia"/>
                <w:color w:val="000000"/>
                <w:sz w:val="24"/>
              </w:rPr>
              <w:t>月</w:t>
            </w:r>
            <w:r w:rsidR="007B72F9" w:rsidRPr="00C17F71">
              <w:rPr>
                <w:color w:val="000000"/>
                <w:sz w:val="24"/>
              </w:rPr>
              <w:t>3</w:t>
            </w:r>
            <w:r w:rsidR="007B72F9" w:rsidRPr="00C17F71">
              <w:rPr>
                <w:rFonts w:hint="eastAsia"/>
                <w:color w:val="000000"/>
                <w:sz w:val="24"/>
              </w:rPr>
              <w:t>日至</w:t>
            </w:r>
            <w:r w:rsidR="007B72F9" w:rsidRPr="00C17F71">
              <w:rPr>
                <w:color w:val="000000"/>
                <w:sz w:val="24"/>
              </w:rPr>
              <w:t>2015</w:t>
            </w:r>
            <w:r w:rsidR="007B72F9" w:rsidRPr="00C17F71">
              <w:rPr>
                <w:rFonts w:hint="eastAsia"/>
                <w:color w:val="000000"/>
                <w:sz w:val="24"/>
              </w:rPr>
              <w:t>年</w:t>
            </w:r>
            <w:r w:rsidR="007B72F9" w:rsidRPr="00C17F71">
              <w:rPr>
                <w:color w:val="000000"/>
                <w:sz w:val="24"/>
              </w:rPr>
              <w:t>10</w:t>
            </w:r>
            <w:r w:rsidR="007B72F9" w:rsidRPr="00C17F71">
              <w:rPr>
                <w:rFonts w:hint="eastAsia"/>
                <w:color w:val="000000"/>
                <w:sz w:val="24"/>
              </w:rPr>
              <w:t>月</w:t>
            </w:r>
            <w:r w:rsidR="007B72F9" w:rsidRPr="00C17F71">
              <w:rPr>
                <w:color w:val="000000"/>
                <w:sz w:val="24"/>
              </w:rPr>
              <w:t>6</w:t>
            </w:r>
            <w:r w:rsidR="007B72F9" w:rsidRPr="00C17F71">
              <w:rPr>
                <w:rFonts w:hint="eastAsia"/>
                <w:color w:val="000000"/>
                <w:sz w:val="24"/>
              </w:rPr>
              <w:t>日担任交银施罗德周期回报灵活配置混合型证券投资基金基金经理、</w:t>
            </w:r>
            <w:r w:rsidR="007B72F9" w:rsidRPr="00C17F71">
              <w:rPr>
                <w:color w:val="000000"/>
                <w:sz w:val="24"/>
              </w:rPr>
              <w:t>2014</w:t>
            </w:r>
            <w:r w:rsidR="007B72F9" w:rsidRPr="00C17F71">
              <w:rPr>
                <w:rFonts w:hint="eastAsia"/>
                <w:color w:val="000000"/>
                <w:sz w:val="24"/>
              </w:rPr>
              <w:t>年</w:t>
            </w:r>
            <w:r w:rsidR="007B72F9" w:rsidRPr="00C17F71">
              <w:rPr>
                <w:color w:val="000000"/>
                <w:sz w:val="24"/>
              </w:rPr>
              <w:t>8</w:t>
            </w:r>
            <w:r w:rsidR="007B72F9" w:rsidRPr="00C17F71">
              <w:rPr>
                <w:rFonts w:hint="eastAsia"/>
                <w:color w:val="000000"/>
                <w:sz w:val="24"/>
              </w:rPr>
              <w:t>月</w:t>
            </w:r>
            <w:r w:rsidR="007B72F9" w:rsidRPr="00C17F71">
              <w:rPr>
                <w:color w:val="000000"/>
                <w:sz w:val="24"/>
              </w:rPr>
              <w:t>4</w:t>
            </w:r>
            <w:r w:rsidR="007B72F9" w:rsidRPr="00C17F71">
              <w:rPr>
                <w:rFonts w:hint="eastAsia"/>
                <w:color w:val="000000"/>
                <w:sz w:val="24"/>
              </w:rPr>
              <w:t>日至</w:t>
            </w:r>
            <w:r w:rsidR="007B72F9" w:rsidRPr="00C17F71">
              <w:rPr>
                <w:color w:val="000000"/>
                <w:sz w:val="24"/>
              </w:rPr>
              <w:t>2015</w:t>
            </w:r>
            <w:r w:rsidR="007B72F9" w:rsidRPr="00C17F71">
              <w:rPr>
                <w:rFonts w:hint="eastAsia"/>
                <w:color w:val="000000"/>
                <w:sz w:val="24"/>
              </w:rPr>
              <w:t>年</w:t>
            </w:r>
            <w:r w:rsidR="007B72F9" w:rsidRPr="00C17F71">
              <w:rPr>
                <w:color w:val="000000"/>
                <w:sz w:val="24"/>
              </w:rPr>
              <w:t>10</w:t>
            </w:r>
            <w:r w:rsidR="007B72F9" w:rsidRPr="00C17F71">
              <w:rPr>
                <w:rFonts w:hint="eastAsia"/>
                <w:color w:val="000000"/>
                <w:sz w:val="24"/>
              </w:rPr>
              <w:t>月</w:t>
            </w:r>
            <w:r w:rsidR="007B72F9" w:rsidRPr="00C17F71">
              <w:rPr>
                <w:color w:val="000000"/>
                <w:sz w:val="24"/>
              </w:rPr>
              <w:t>6</w:t>
            </w:r>
            <w:r w:rsidR="007B72F9" w:rsidRPr="00C17F71">
              <w:rPr>
                <w:rFonts w:hint="eastAsia"/>
                <w:color w:val="000000"/>
                <w:sz w:val="24"/>
              </w:rPr>
              <w:t>日担任交银施罗德双利债券证券投资基金基金经理、</w:t>
            </w:r>
            <w:r w:rsidR="007B72F9" w:rsidRPr="00C17F71">
              <w:rPr>
                <w:color w:val="000000"/>
                <w:sz w:val="24"/>
              </w:rPr>
              <w:t>2015</w:t>
            </w:r>
            <w:r w:rsidR="007B72F9" w:rsidRPr="00C17F71">
              <w:rPr>
                <w:rFonts w:hint="eastAsia"/>
                <w:color w:val="000000"/>
                <w:sz w:val="24"/>
              </w:rPr>
              <w:t>年</w:t>
            </w:r>
            <w:r w:rsidR="007B72F9" w:rsidRPr="00C17F71">
              <w:rPr>
                <w:color w:val="000000"/>
                <w:sz w:val="24"/>
              </w:rPr>
              <w:t>5</w:t>
            </w:r>
            <w:r w:rsidR="007B72F9" w:rsidRPr="00C17F71">
              <w:rPr>
                <w:rFonts w:hint="eastAsia"/>
                <w:color w:val="000000"/>
                <w:sz w:val="24"/>
              </w:rPr>
              <w:t>月</w:t>
            </w:r>
            <w:r w:rsidR="007B72F9" w:rsidRPr="00C17F71">
              <w:rPr>
                <w:color w:val="000000"/>
                <w:sz w:val="24"/>
              </w:rPr>
              <w:t>15</w:t>
            </w:r>
            <w:r w:rsidR="007B72F9" w:rsidRPr="00C17F71">
              <w:rPr>
                <w:rFonts w:hint="eastAsia"/>
                <w:color w:val="000000"/>
                <w:sz w:val="24"/>
              </w:rPr>
              <w:t>日至</w:t>
            </w:r>
            <w:r w:rsidR="007B72F9" w:rsidRPr="00C17F71">
              <w:rPr>
                <w:color w:val="000000"/>
                <w:sz w:val="24"/>
              </w:rPr>
              <w:t>2015</w:t>
            </w:r>
            <w:r w:rsidR="007B72F9" w:rsidRPr="00C17F71">
              <w:rPr>
                <w:rFonts w:hint="eastAsia"/>
                <w:color w:val="000000"/>
                <w:sz w:val="24"/>
              </w:rPr>
              <w:t>年</w:t>
            </w:r>
            <w:r w:rsidR="007B72F9" w:rsidRPr="00C17F71">
              <w:rPr>
                <w:color w:val="000000"/>
                <w:sz w:val="24"/>
              </w:rPr>
              <w:t>10</w:t>
            </w:r>
            <w:r w:rsidR="007B72F9" w:rsidRPr="00C17F71">
              <w:rPr>
                <w:rFonts w:hint="eastAsia"/>
                <w:color w:val="000000"/>
                <w:sz w:val="24"/>
              </w:rPr>
              <w:t>月</w:t>
            </w:r>
            <w:r w:rsidR="007B72F9" w:rsidRPr="00C17F71">
              <w:rPr>
                <w:color w:val="000000"/>
                <w:sz w:val="24"/>
              </w:rPr>
              <w:t>6</w:t>
            </w:r>
            <w:r w:rsidR="007B72F9" w:rsidRPr="00C17F71">
              <w:rPr>
                <w:rFonts w:hint="eastAsia"/>
                <w:color w:val="000000"/>
                <w:sz w:val="24"/>
              </w:rPr>
              <w:t>日担任交银施罗德新回报灵活配置混合型证券投资基金基金经理、</w:t>
            </w:r>
            <w:r w:rsidR="007B72F9" w:rsidRPr="00C17F71">
              <w:rPr>
                <w:color w:val="000000"/>
                <w:sz w:val="24"/>
              </w:rPr>
              <w:t>2015</w:t>
            </w:r>
            <w:r w:rsidR="007B72F9" w:rsidRPr="00C17F71">
              <w:rPr>
                <w:rFonts w:hint="eastAsia"/>
                <w:color w:val="000000"/>
                <w:sz w:val="24"/>
              </w:rPr>
              <w:t>年</w:t>
            </w:r>
            <w:r w:rsidR="007B72F9" w:rsidRPr="00C17F71">
              <w:rPr>
                <w:color w:val="000000"/>
                <w:sz w:val="24"/>
              </w:rPr>
              <w:t>5</w:t>
            </w:r>
            <w:r w:rsidR="007B72F9" w:rsidRPr="00C17F71">
              <w:rPr>
                <w:rFonts w:hint="eastAsia"/>
                <w:color w:val="000000"/>
                <w:sz w:val="24"/>
              </w:rPr>
              <w:t>月</w:t>
            </w:r>
            <w:r w:rsidR="007B72F9" w:rsidRPr="00C17F71">
              <w:rPr>
                <w:color w:val="000000"/>
                <w:sz w:val="24"/>
              </w:rPr>
              <w:t>29</w:t>
            </w:r>
            <w:r w:rsidR="007B72F9" w:rsidRPr="00C17F71">
              <w:rPr>
                <w:rFonts w:hint="eastAsia"/>
                <w:color w:val="000000"/>
                <w:sz w:val="24"/>
              </w:rPr>
              <w:t>日至</w:t>
            </w:r>
            <w:r w:rsidR="007B72F9" w:rsidRPr="00C17F71">
              <w:rPr>
                <w:color w:val="000000"/>
                <w:sz w:val="24"/>
              </w:rPr>
              <w:t>2015</w:t>
            </w:r>
            <w:r w:rsidR="007B72F9" w:rsidRPr="00C17F71">
              <w:rPr>
                <w:rFonts w:hint="eastAsia"/>
                <w:color w:val="000000"/>
                <w:sz w:val="24"/>
              </w:rPr>
              <w:t>年</w:t>
            </w:r>
            <w:r w:rsidR="007B72F9" w:rsidRPr="00C17F71">
              <w:rPr>
                <w:color w:val="000000"/>
                <w:sz w:val="24"/>
              </w:rPr>
              <w:t>10</w:t>
            </w:r>
            <w:r w:rsidR="007B72F9" w:rsidRPr="00C17F71">
              <w:rPr>
                <w:rFonts w:hint="eastAsia"/>
                <w:color w:val="000000"/>
                <w:sz w:val="24"/>
              </w:rPr>
              <w:t>月</w:t>
            </w:r>
            <w:r w:rsidR="007B72F9" w:rsidRPr="00C17F71">
              <w:rPr>
                <w:color w:val="000000"/>
                <w:sz w:val="24"/>
              </w:rPr>
              <w:t>6</w:t>
            </w:r>
            <w:r w:rsidR="007B72F9" w:rsidRPr="00C17F71">
              <w:rPr>
                <w:rFonts w:hint="eastAsia"/>
                <w:color w:val="000000"/>
                <w:sz w:val="24"/>
              </w:rPr>
              <w:t>日担任交银施罗德荣和保本混合型证券投资基金基金经理、</w:t>
            </w:r>
            <w:r w:rsidR="007B72F9" w:rsidRPr="00C17F71">
              <w:rPr>
                <w:color w:val="000000"/>
                <w:sz w:val="24"/>
              </w:rPr>
              <w:t>2015</w:t>
            </w:r>
            <w:r w:rsidR="007B72F9" w:rsidRPr="00C17F71">
              <w:rPr>
                <w:rFonts w:hint="eastAsia"/>
                <w:color w:val="000000"/>
                <w:sz w:val="24"/>
              </w:rPr>
              <w:t>年</w:t>
            </w:r>
            <w:r w:rsidR="007B72F9" w:rsidRPr="00C17F71">
              <w:rPr>
                <w:color w:val="000000"/>
                <w:sz w:val="24"/>
              </w:rPr>
              <w:t>6</w:t>
            </w:r>
            <w:r w:rsidR="007B72F9" w:rsidRPr="00C17F71">
              <w:rPr>
                <w:rFonts w:hint="eastAsia"/>
                <w:color w:val="000000"/>
                <w:sz w:val="24"/>
              </w:rPr>
              <w:t>月</w:t>
            </w:r>
            <w:r w:rsidR="007B72F9" w:rsidRPr="00C17F71">
              <w:rPr>
                <w:color w:val="000000"/>
                <w:sz w:val="24"/>
              </w:rPr>
              <w:t>2</w:t>
            </w:r>
            <w:r w:rsidR="007B72F9" w:rsidRPr="00C17F71">
              <w:rPr>
                <w:rFonts w:hint="eastAsia"/>
                <w:color w:val="000000"/>
                <w:sz w:val="24"/>
              </w:rPr>
              <w:t>日至</w:t>
            </w:r>
            <w:r w:rsidR="007B72F9" w:rsidRPr="00C17F71">
              <w:rPr>
                <w:color w:val="000000"/>
                <w:sz w:val="24"/>
              </w:rPr>
              <w:t>2015</w:t>
            </w:r>
            <w:r w:rsidR="007B72F9" w:rsidRPr="00C17F71">
              <w:rPr>
                <w:rFonts w:hint="eastAsia"/>
                <w:color w:val="000000"/>
                <w:sz w:val="24"/>
              </w:rPr>
              <w:t>年</w:t>
            </w:r>
            <w:r w:rsidR="007B72F9" w:rsidRPr="00C17F71">
              <w:rPr>
                <w:color w:val="000000"/>
                <w:sz w:val="24"/>
              </w:rPr>
              <w:t>10</w:t>
            </w:r>
            <w:r w:rsidR="007B72F9" w:rsidRPr="00C17F71">
              <w:rPr>
                <w:rFonts w:hint="eastAsia"/>
                <w:color w:val="000000"/>
                <w:sz w:val="24"/>
              </w:rPr>
              <w:t>月</w:t>
            </w:r>
            <w:r w:rsidR="007B72F9" w:rsidRPr="00C17F71">
              <w:rPr>
                <w:color w:val="000000"/>
                <w:sz w:val="24"/>
              </w:rPr>
              <w:t>6</w:t>
            </w:r>
            <w:r w:rsidR="007B72F9" w:rsidRPr="00C17F71">
              <w:rPr>
                <w:rFonts w:hint="eastAsia"/>
                <w:color w:val="000000"/>
                <w:sz w:val="24"/>
              </w:rPr>
              <w:t>日担任交银施罗德多策略回报灵活配置混合型证券投资基金的基金经理、</w:t>
            </w:r>
            <w:r w:rsidR="007B72F9" w:rsidRPr="00C17F71">
              <w:rPr>
                <w:color w:val="000000"/>
                <w:sz w:val="24"/>
              </w:rPr>
              <w:t>2015</w:t>
            </w:r>
            <w:r w:rsidR="007B72F9" w:rsidRPr="00C17F71">
              <w:rPr>
                <w:rFonts w:hint="eastAsia"/>
                <w:color w:val="000000"/>
                <w:sz w:val="24"/>
              </w:rPr>
              <w:t>年</w:t>
            </w:r>
            <w:r w:rsidR="007B72F9" w:rsidRPr="00C17F71">
              <w:rPr>
                <w:color w:val="000000"/>
                <w:sz w:val="24"/>
              </w:rPr>
              <w:t>6</w:t>
            </w:r>
            <w:r w:rsidR="007B72F9" w:rsidRPr="00C17F71">
              <w:rPr>
                <w:rFonts w:hint="eastAsia"/>
                <w:color w:val="000000"/>
                <w:sz w:val="24"/>
              </w:rPr>
              <w:t>月</w:t>
            </w:r>
            <w:r w:rsidR="007B72F9" w:rsidRPr="00C17F71">
              <w:rPr>
                <w:color w:val="000000"/>
                <w:sz w:val="24"/>
              </w:rPr>
              <w:t>27</w:t>
            </w:r>
            <w:r w:rsidR="007B72F9" w:rsidRPr="00C17F71">
              <w:rPr>
                <w:rFonts w:hint="eastAsia"/>
                <w:color w:val="000000"/>
                <w:sz w:val="24"/>
              </w:rPr>
              <w:t>日至</w:t>
            </w:r>
            <w:r w:rsidR="007B72F9" w:rsidRPr="00C17F71">
              <w:rPr>
                <w:color w:val="000000"/>
                <w:sz w:val="24"/>
              </w:rPr>
              <w:t>2015</w:t>
            </w:r>
            <w:r w:rsidR="007B72F9" w:rsidRPr="00C17F71">
              <w:rPr>
                <w:rFonts w:hint="eastAsia"/>
                <w:color w:val="000000"/>
                <w:sz w:val="24"/>
              </w:rPr>
              <w:t>年</w:t>
            </w:r>
            <w:r w:rsidR="007B72F9" w:rsidRPr="00C17F71">
              <w:rPr>
                <w:color w:val="000000"/>
                <w:sz w:val="24"/>
              </w:rPr>
              <w:t>10</w:t>
            </w:r>
            <w:r w:rsidR="007B72F9" w:rsidRPr="00C17F71">
              <w:rPr>
                <w:rFonts w:hint="eastAsia"/>
                <w:color w:val="000000"/>
                <w:sz w:val="24"/>
              </w:rPr>
              <w:t>月</w:t>
            </w:r>
            <w:r w:rsidR="007B72F9" w:rsidRPr="00C17F71">
              <w:rPr>
                <w:color w:val="000000"/>
                <w:sz w:val="24"/>
              </w:rPr>
              <w:t>6</w:t>
            </w:r>
            <w:r w:rsidR="007B72F9" w:rsidRPr="00C17F71">
              <w:rPr>
                <w:rFonts w:hint="eastAsia"/>
                <w:color w:val="000000"/>
                <w:sz w:val="24"/>
              </w:rPr>
              <w:t>日担任交银施罗德策略回报灵活配置混合型证券投资基金基金经理。</w:t>
            </w:r>
          </w:p>
        </w:tc>
      </w:tr>
      <w:tr w:rsidR="00D44F0F">
        <w:trPr>
          <w:jc w:val="center"/>
        </w:trPr>
        <w:tc>
          <w:tcPr>
            <w:tcW w:w="946" w:type="dxa"/>
            <w:vAlign w:val="center"/>
          </w:tcPr>
          <w:p w:rsidR="00D44F0F" w:rsidRDefault="0080120B">
            <w:pPr>
              <w:jc w:val="center"/>
            </w:pPr>
            <w:r>
              <w:rPr>
                <w:color w:val="000000"/>
                <w:sz w:val="24"/>
              </w:rPr>
              <w:t>李娜</w:t>
            </w:r>
          </w:p>
        </w:tc>
        <w:tc>
          <w:tcPr>
            <w:tcW w:w="924" w:type="dxa"/>
            <w:vAlign w:val="center"/>
          </w:tcPr>
          <w:p w:rsidR="00D44F0F" w:rsidRDefault="0080120B">
            <w:pPr>
              <w:jc w:val="center"/>
            </w:pPr>
            <w:r>
              <w:rPr>
                <w:color w:val="000000"/>
                <w:sz w:val="24"/>
              </w:rPr>
              <w:t>交银周期回报灵活配置混合、交银新回报灵活配置混合、交银多策略回报灵活配置混合的基金经理</w:t>
            </w:r>
          </w:p>
        </w:tc>
        <w:tc>
          <w:tcPr>
            <w:tcW w:w="1202" w:type="dxa"/>
            <w:vAlign w:val="center"/>
          </w:tcPr>
          <w:p w:rsidR="00D44F0F" w:rsidRDefault="0080120B">
            <w:pPr>
              <w:jc w:val="center"/>
            </w:pPr>
            <w:r>
              <w:rPr>
                <w:color w:val="000000"/>
                <w:sz w:val="24"/>
              </w:rPr>
              <w:t>2015-08-04</w:t>
            </w:r>
          </w:p>
        </w:tc>
        <w:tc>
          <w:tcPr>
            <w:tcW w:w="1300" w:type="dxa"/>
            <w:vAlign w:val="center"/>
          </w:tcPr>
          <w:p w:rsidR="00D44F0F" w:rsidRDefault="0080120B">
            <w:pPr>
              <w:jc w:val="center"/>
            </w:pPr>
            <w:r>
              <w:rPr>
                <w:color w:val="000000"/>
                <w:sz w:val="24"/>
              </w:rPr>
              <w:t>-</w:t>
            </w:r>
          </w:p>
        </w:tc>
        <w:tc>
          <w:tcPr>
            <w:tcW w:w="1245" w:type="dxa"/>
            <w:vAlign w:val="center"/>
          </w:tcPr>
          <w:p w:rsidR="00D44F0F" w:rsidRDefault="0080120B">
            <w:pPr>
              <w:jc w:val="center"/>
            </w:pPr>
            <w:r>
              <w:rPr>
                <w:color w:val="000000"/>
                <w:sz w:val="24"/>
              </w:rPr>
              <w:t>5</w:t>
            </w:r>
            <w:r>
              <w:rPr>
                <w:color w:val="000000"/>
                <w:sz w:val="24"/>
              </w:rPr>
              <w:t>年</w:t>
            </w:r>
          </w:p>
        </w:tc>
        <w:tc>
          <w:tcPr>
            <w:tcW w:w="3251" w:type="dxa"/>
            <w:vAlign w:val="center"/>
          </w:tcPr>
          <w:p w:rsidR="00D44F0F" w:rsidRDefault="0080120B">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D44F0F" w:rsidRDefault="0080120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、本基金基金经理项廷锋先生于</w:t>
      </w:r>
      <w:r>
        <w:rPr>
          <w:color w:val="000000"/>
          <w:sz w:val="24"/>
        </w:rPr>
        <w:t>2015</w:t>
      </w:r>
      <w:r>
        <w:rPr>
          <w:color w:val="000000"/>
          <w:sz w:val="24"/>
        </w:rPr>
        <w:t>年</w:t>
      </w:r>
      <w:r>
        <w:rPr>
          <w:color w:val="000000"/>
          <w:sz w:val="24"/>
        </w:rPr>
        <w:t>10</w:t>
      </w:r>
      <w:r>
        <w:rPr>
          <w:color w:val="000000"/>
          <w:sz w:val="24"/>
        </w:rPr>
        <w:t>月</w:t>
      </w:r>
      <w:r>
        <w:rPr>
          <w:color w:val="000000"/>
          <w:sz w:val="24"/>
        </w:rPr>
        <w:t>7</w:t>
      </w:r>
      <w:r>
        <w:rPr>
          <w:color w:val="000000"/>
          <w:sz w:val="24"/>
        </w:rPr>
        <w:t>日因病去世，经本公司研究决定，本基金由李娜女士继续管理。</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 xml:space="preserve">   2</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D44F0F" w:rsidRDefault="0080120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44F0F" w:rsidRDefault="0080120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44F0F" w:rsidRDefault="0080120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D44F0F" w:rsidRDefault="0080120B">
      <w:pPr>
        <w:spacing w:before="29" w:line="288" w:lineRule="auto"/>
        <w:ind w:firstLineChars="200" w:firstLine="480"/>
        <w:rPr>
          <w:color w:val="000000"/>
          <w:sz w:val="24"/>
        </w:rPr>
      </w:pPr>
      <w:r>
        <w:rPr>
          <w:color w:val="000000"/>
          <w:sz w:val="24"/>
        </w:rPr>
        <w:t>本报告期内，工业增长运行疲弱，</w:t>
      </w:r>
      <w:r>
        <w:rPr>
          <w:color w:val="000000"/>
          <w:sz w:val="24"/>
        </w:rPr>
        <w:t>CPI</w:t>
      </w:r>
      <w:r>
        <w:rPr>
          <w:color w:val="000000"/>
          <w:sz w:val="24"/>
        </w:rPr>
        <w:t>在</w:t>
      </w:r>
      <w:r>
        <w:rPr>
          <w:color w:val="000000"/>
          <w:sz w:val="24"/>
        </w:rPr>
        <w:t>2%</w:t>
      </w:r>
      <w:r>
        <w:rPr>
          <w:color w:val="000000"/>
          <w:sz w:val="24"/>
        </w:rPr>
        <w:t>之下持续低位运行，基本面运行继续寻底，在</w:t>
      </w:r>
      <w:r>
        <w:rPr>
          <w:color w:val="000000"/>
          <w:sz w:val="24"/>
        </w:rPr>
        <w:t>“</w:t>
      </w:r>
      <w:r>
        <w:rPr>
          <w:color w:val="000000"/>
          <w:sz w:val="24"/>
        </w:rPr>
        <w:t>三期叠加</w:t>
      </w:r>
      <w:r>
        <w:rPr>
          <w:color w:val="000000"/>
          <w:sz w:val="24"/>
        </w:rPr>
        <w:t>”</w:t>
      </w:r>
      <w:r>
        <w:rPr>
          <w:color w:val="000000"/>
          <w:sz w:val="24"/>
        </w:rPr>
        <w:t>的大背景下逐渐开始新旧经济增长动力的切换。与此相对应，政策基调维持</w:t>
      </w:r>
      <w:r>
        <w:rPr>
          <w:color w:val="000000"/>
          <w:sz w:val="24"/>
        </w:rPr>
        <w:t>“</w:t>
      </w:r>
      <w:r>
        <w:rPr>
          <w:color w:val="000000"/>
          <w:sz w:val="24"/>
        </w:rPr>
        <w:t>稳增长</w:t>
      </w:r>
      <w:r>
        <w:rPr>
          <w:color w:val="000000"/>
          <w:sz w:val="24"/>
        </w:rPr>
        <w:t>”</w:t>
      </w:r>
      <w:r>
        <w:rPr>
          <w:color w:val="000000"/>
          <w:sz w:val="24"/>
        </w:rPr>
        <w:t>与</w:t>
      </w:r>
      <w:r>
        <w:rPr>
          <w:color w:val="000000"/>
          <w:sz w:val="24"/>
        </w:rPr>
        <w:t>“</w:t>
      </w:r>
      <w:r>
        <w:rPr>
          <w:color w:val="000000"/>
          <w:sz w:val="24"/>
        </w:rPr>
        <w:t>促转型</w:t>
      </w:r>
      <w:r>
        <w:rPr>
          <w:color w:val="000000"/>
          <w:sz w:val="24"/>
        </w:rPr>
        <w:t>”</w:t>
      </w:r>
      <w:r>
        <w:rPr>
          <w:color w:val="000000"/>
          <w:sz w:val="24"/>
        </w:rPr>
        <w:t>并重，一方面货币政策和财政政策维持发力，托底经济；另一方面明确提出供给侧改革战略，去产能去杠杆落实加速，市场在高收益类资产稀缺的背景下经历了股票的反弹和债券收益率的持续下行。报告期内，上证综指和创业板指分别上涨了</w:t>
      </w:r>
      <w:r>
        <w:rPr>
          <w:color w:val="000000"/>
          <w:sz w:val="24"/>
        </w:rPr>
        <w:t>15.93%</w:t>
      </w:r>
      <w:r>
        <w:rPr>
          <w:color w:val="000000"/>
          <w:sz w:val="24"/>
        </w:rPr>
        <w:t>和</w:t>
      </w:r>
      <w:r>
        <w:rPr>
          <w:color w:val="000000"/>
          <w:sz w:val="24"/>
        </w:rPr>
        <w:t>30.32%</w:t>
      </w:r>
      <w:r>
        <w:rPr>
          <w:color w:val="000000"/>
          <w:sz w:val="24"/>
        </w:rPr>
        <w:t>，</w:t>
      </w:r>
      <w:r>
        <w:rPr>
          <w:color w:val="000000"/>
          <w:sz w:val="24"/>
        </w:rPr>
        <w:t>10</w:t>
      </w:r>
      <w:r>
        <w:rPr>
          <w:color w:val="000000"/>
          <w:sz w:val="24"/>
        </w:rPr>
        <w:t>年国债收益率大幅下行</w:t>
      </w:r>
      <w:r>
        <w:rPr>
          <w:color w:val="000000"/>
          <w:sz w:val="24"/>
        </w:rPr>
        <w:t>42bp</w:t>
      </w:r>
      <w:r>
        <w:rPr>
          <w:color w:val="000000"/>
          <w:sz w:val="24"/>
        </w:rPr>
        <w:t>到</w:t>
      </w:r>
      <w:r>
        <w:rPr>
          <w:color w:val="000000"/>
          <w:sz w:val="24"/>
        </w:rPr>
        <w:t>2.82%</w:t>
      </w:r>
      <w:r>
        <w:rPr>
          <w:color w:val="000000"/>
          <w:sz w:val="24"/>
        </w:rPr>
        <w:t>，</w:t>
      </w:r>
      <w:r>
        <w:rPr>
          <w:color w:val="000000"/>
          <w:sz w:val="24"/>
        </w:rPr>
        <w:t>10</w:t>
      </w:r>
      <w:r>
        <w:rPr>
          <w:color w:val="000000"/>
          <w:sz w:val="24"/>
        </w:rPr>
        <w:t>年国开收益率也下行</w:t>
      </w:r>
      <w:r>
        <w:rPr>
          <w:color w:val="000000"/>
          <w:sz w:val="24"/>
        </w:rPr>
        <w:t>57bp</w:t>
      </w:r>
      <w:r>
        <w:rPr>
          <w:color w:val="000000"/>
          <w:sz w:val="24"/>
        </w:rPr>
        <w:t>到</w:t>
      </w:r>
      <w:r>
        <w:rPr>
          <w:color w:val="000000"/>
          <w:sz w:val="24"/>
        </w:rPr>
        <w:t>3.13%</w:t>
      </w:r>
      <w:r>
        <w:rPr>
          <w:color w:val="000000"/>
          <w:sz w:val="24"/>
        </w:rPr>
        <w:t>。</w:t>
      </w:r>
    </w:p>
    <w:p w:rsidR="00D44F0F" w:rsidRDefault="0080120B">
      <w:pPr>
        <w:spacing w:before="29" w:line="288" w:lineRule="auto"/>
        <w:ind w:firstLineChars="200" w:firstLine="480"/>
        <w:rPr>
          <w:color w:val="000000"/>
          <w:sz w:val="24"/>
        </w:rPr>
      </w:pPr>
      <w:r>
        <w:rPr>
          <w:color w:val="000000"/>
          <w:sz w:val="24"/>
        </w:rPr>
        <w:t>策略层面，本基金继续关注债券市场牛市投资机会，进行久期操作，重点参与利率债波段机会。</w:t>
      </w:r>
      <w:r>
        <w:rPr>
          <w:color w:val="000000"/>
          <w:sz w:val="24"/>
        </w:rPr>
        <w:t>IPO</w:t>
      </w:r>
      <w:r>
        <w:rPr>
          <w:color w:val="000000"/>
          <w:sz w:val="24"/>
        </w:rPr>
        <w:t>重启后，重新参与一级市场投资，同时也关注权益、转债市场的机会，力争为持有人赚取回报。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2016</w:t>
      </w:r>
      <w:r w:rsidRPr="007F52FA">
        <w:rPr>
          <w:color w:val="000000"/>
          <w:sz w:val="24"/>
        </w:rPr>
        <w:t>年一季度，预计经济增长企稳回升仍然依赖政策路径，通胀超预期加速上行的概率不大，基本面内生下行压力不减。股票方面，</w:t>
      </w:r>
      <w:r w:rsidRPr="007F52FA">
        <w:rPr>
          <w:color w:val="000000"/>
          <w:sz w:val="24"/>
        </w:rPr>
        <w:t>“</w:t>
      </w:r>
      <w:r w:rsidRPr="007F52FA">
        <w:rPr>
          <w:color w:val="000000"/>
          <w:sz w:val="24"/>
        </w:rPr>
        <w:t>资产荒</w:t>
      </w:r>
      <w:r w:rsidRPr="007F52FA">
        <w:rPr>
          <w:color w:val="000000"/>
          <w:sz w:val="24"/>
        </w:rPr>
        <w:t>”</w:t>
      </w:r>
      <w:r w:rsidRPr="007F52FA">
        <w:rPr>
          <w:color w:val="000000"/>
          <w:sz w:val="24"/>
        </w:rPr>
        <w:t>格局下无需过于悲观，但市场仍面临美联储加息带来的外围风险、去产能去杠杆、股东减持解禁等诸多挑战，需要保持灵活、审慎。同时，注册制有望平稳推进，继续关注一级市场投资机会。债券市场收益率处于长期震荡下行的格局中，利率债性价比仍具有相当吸引力，但在供给侧改革有望加大力度的背景下，信用风险值得重点关注。</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w:t>
      </w:r>
      <w:r w:rsidRPr="007F52FA">
        <w:rPr>
          <w:color w:val="000000"/>
          <w:sz w:val="24"/>
        </w:rPr>
        <w:t>A</w:t>
      </w:r>
      <w:r w:rsidRPr="007F52FA">
        <w:rPr>
          <w:color w:val="000000"/>
          <w:sz w:val="24"/>
        </w:rPr>
        <w:t>份额净值为</w:t>
      </w:r>
      <w:r w:rsidRPr="007F52FA">
        <w:rPr>
          <w:color w:val="000000"/>
          <w:sz w:val="24"/>
        </w:rPr>
        <w:t>1.163</w:t>
      </w:r>
      <w:r w:rsidRPr="007F52FA">
        <w:rPr>
          <w:color w:val="000000"/>
          <w:sz w:val="24"/>
        </w:rPr>
        <w:t>元，本报告期份额净值增长率为</w:t>
      </w:r>
      <w:r w:rsidRPr="007F52FA">
        <w:rPr>
          <w:color w:val="000000"/>
          <w:sz w:val="24"/>
        </w:rPr>
        <w:t>3.19%</w:t>
      </w:r>
      <w:r w:rsidRPr="007F52FA">
        <w:rPr>
          <w:color w:val="000000"/>
          <w:sz w:val="24"/>
        </w:rPr>
        <w:t>，同期业绩比较基准增长率为</w:t>
      </w:r>
      <w:r w:rsidRPr="007F52FA">
        <w:rPr>
          <w:color w:val="000000"/>
          <w:sz w:val="24"/>
        </w:rPr>
        <w:t>9.14%</w:t>
      </w:r>
      <w:r w:rsidRPr="007F52FA">
        <w:rPr>
          <w:color w:val="000000"/>
          <w:sz w:val="24"/>
        </w:rPr>
        <w:t>；本基金</w:t>
      </w:r>
      <w:r w:rsidRPr="007F52FA">
        <w:rPr>
          <w:color w:val="000000"/>
          <w:sz w:val="24"/>
        </w:rPr>
        <w:t>C</w:t>
      </w:r>
      <w:r w:rsidRPr="007F52FA">
        <w:rPr>
          <w:color w:val="000000"/>
          <w:sz w:val="24"/>
        </w:rPr>
        <w:t>份额净值为</w:t>
      </w:r>
      <w:r w:rsidRPr="007F52FA">
        <w:rPr>
          <w:color w:val="000000"/>
          <w:sz w:val="24"/>
        </w:rPr>
        <w:t>1.154</w:t>
      </w:r>
      <w:r w:rsidRPr="007F52FA">
        <w:rPr>
          <w:color w:val="000000"/>
          <w:sz w:val="24"/>
        </w:rPr>
        <w:t>元，本报告期份额净值增长率为</w:t>
      </w:r>
      <w:r w:rsidRPr="007F52FA">
        <w:rPr>
          <w:color w:val="000000"/>
          <w:sz w:val="24"/>
        </w:rPr>
        <w:t>0.70%</w:t>
      </w:r>
      <w:r w:rsidRPr="007F52FA">
        <w:rPr>
          <w:color w:val="000000"/>
          <w:sz w:val="24"/>
        </w:rPr>
        <w:t>，同期业绩比较基准增长率为</w:t>
      </w:r>
      <w:r w:rsidRPr="007F52FA">
        <w:rPr>
          <w:color w:val="000000"/>
          <w:sz w:val="24"/>
        </w:rPr>
        <w:t>1.05%</w:t>
      </w:r>
      <w:r w:rsidRPr="007F52FA">
        <w:rPr>
          <w:color w:val="000000"/>
          <w:sz w:val="24"/>
        </w:rPr>
        <w:t>。</w:t>
      </w: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146,224,711.85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3.70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146,224,711.85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3.70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2,187,088,003.00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55.38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2,187,088,003.00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55.38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1,521,654,112.48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38.53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13,981,991.61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0.35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80,076,246.83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2.03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3,949,025,065.77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130,269,855.07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3.30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1,571,551.95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222,304.44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8,290,408.18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5,165,400.00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109,392.21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595,800.00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146,224,711.85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3.71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D44F0F">
        <w:trPr>
          <w:jc w:val="center"/>
        </w:trPr>
        <w:tc>
          <w:tcPr>
            <w:tcW w:w="850" w:type="dxa"/>
            <w:vAlign w:val="center"/>
          </w:tcPr>
          <w:p w:rsidR="00D44F0F" w:rsidRDefault="0080120B">
            <w:pPr>
              <w:jc w:val="center"/>
            </w:pPr>
            <w:r>
              <w:rPr>
                <w:color w:val="000000"/>
                <w:sz w:val="24"/>
              </w:rPr>
              <w:t>1</w:t>
            </w:r>
          </w:p>
        </w:tc>
        <w:tc>
          <w:tcPr>
            <w:tcW w:w="1327" w:type="dxa"/>
            <w:vAlign w:val="center"/>
          </w:tcPr>
          <w:p w:rsidR="00D44F0F" w:rsidRDefault="0080120B">
            <w:pPr>
              <w:jc w:val="center"/>
            </w:pPr>
            <w:r>
              <w:rPr>
                <w:color w:val="000000"/>
                <w:sz w:val="24"/>
              </w:rPr>
              <w:t>002749</w:t>
            </w:r>
          </w:p>
        </w:tc>
        <w:tc>
          <w:tcPr>
            <w:tcW w:w="1769" w:type="dxa"/>
            <w:vAlign w:val="center"/>
          </w:tcPr>
          <w:p w:rsidR="00D44F0F" w:rsidRDefault="0080120B">
            <w:pPr>
              <w:jc w:val="center"/>
            </w:pPr>
            <w:r>
              <w:rPr>
                <w:color w:val="000000"/>
                <w:sz w:val="24"/>
              </w:rPr>
              <w:t>国光股份</w:t>
            </w:r>
          </w:p>
        </w:tc>
        <w:tc>
          <w:tcPr>
            <w:tcW w:w="1327" w:type="dxa"/>
            <w:vAlign w:val="center"/>
          </w:tcPr>
          <w:p w:rsidR="00D44F0F" w:rsidRDefault="0080120B">
            <w:pPr>
              <w:jc w:val="right"/>
            </w:pPr>
            <w:r>
              <w:rPr>
                <w:color w:val="000000"/>
                <w:sz w:val="24"/>
              </w:rPr>
              <w:t>644,004</w:t>
            </w:r>
          </w:p>
        </w:tc>
        <w:tc>
          <w:tcPr>
            <w:tcW w:w="1915" w:type="dxa"/>
            <w:vAlign w:val="center"/>
          </w:tcPr>
          <w:p w:rsidR="00D44F0F" w:rsidRDefault="0080120B">
            <w:pPr>
              <w:jc w:val="right"/>
            </w:pPr>
            <w:r>
              <w:rPr>
                <w:color w:val="000000"/>
                <w:sz w:val="24"/>
              </w:rPr>
              <w:t>64,529,200.80</w:t>
            </w:r>
          </w:p>
        </w:tc>
        <w:tc>
          <w:tcPr>
            <w:tcW w:w="1680" w:type="dxa"/>
            <w:vAlign w:val="center"/>
          </w:tcPr>
          <w:p w:rsidR="00D44F0F" w:rsidRDefault="0080120B">
            <w:pPr>
              <w:jc w:val="right"/>
            </w:pPr>
            <w:r>
              <w:rPr>
                <w:color w:val="000000"/>
                <w:sz w:val="24"/>
              </w:rPr>
              <w:t>1.64</w:t>
            </w:r>
          </w:p>
        </w:tc>
      </w:tr>
      <w:tr w:rsidR="00D44F0F">
        <w:trPr>
          <w:jc w:val="center"/>
        </w:trPr>
        <w:tc>
          <w:tcPr>
            <w:tcW w:w="850" w:type="dxa"/>
            <w:vAlign w:val="center"/>
          </w:tcPr>
          <w:p w:rsidR="00D44F0F" w:rsidRDefault="0080120B">
            <w:pPr>
              <w:jc w:val="center"/>
            </w:pPr>
            <w:r>
              <w:rPr>
                <w:color w:val="000000"/>
                <w:sz w:val="24"/>
              </w:rPr>
              <w:t>2</w:t>
            </w:r>
          </w:p>
        </w:tc>
        <w:tc>
          <w:tcPr>
            <w:tcW w:w="1327" w:type="dxa"/>
            <w:vAlign w:val="center"/>
          </w:tcPr>
          <w:p w:rsidR="00D44F0F" w:rsidRDefault="0080120B">
            <w:pPr>
              <w:jc w:val="center"/>
            </w:pPr>
            <w:r>
              <w:rPr>
                <w:color w:val="000000"/>
                <w:sz w:val="24"/>
              </w:rPr>
              <w:t>300463</w:t>
            </w:r>
          </w:p>
        </w:tc>
        <w:tc>
          <w:tcPr>
            <w:tcW w:w="1769" w:type="dxa"/>
            <w:vAlign w:val="center"/>
          </w:tcPr>
          <w:p w:rsidR="00D44F0F" w:rsidRDefault="0080120B">
            <w:pPr>
              <w:jc w:val="center"/>
            </w:pPr>
            <w:r>
              <w:rPr>
                <w:color w:val="000000"/>
                <w:sz w:val="24"/>
              </w:rPr>
              <w:t>迈克生物</w:t>
            </w:r>
          </w:p>
        </w:tc>
        <w:tc>
          <w:tcPr>
            <w:tcW w:w="1327" w:type="dxa"/>
            <w:vAlign w:val="center"/>
          </w:tcPr>
          <w:p w:rsidR="00D44F0F" w:rsidRDefault="0080120B">
            <w:pPr>
              <w:jc w:val="right"/>
            </w:pPr>
            <w:r>
              <w:rPr>
                <w:color w:val="000000"/>
                <w:sz w:val="24"/>
              </w:rPr>
              <w:t>233,333</w:t>
            </w:r>
          </w:p>
        </w:tc>
        <w:tc>
          <w:tcPr>
            <w:tcW w:w="1915" w:type="dxa"/>
            <w:vAlign w:val="center"/>
          </w:tcPr>
          <w:p w:rsidR="00D44F0F" w:rsidRDefault="0080120B">
            <w:pPr>
              <w:jc w:val="right"/>
            </w:pPr>
            <w:r>
              <w:rPr>
                <w:color w:val="000000"/>
                <w:sz w:val="24"/>
              </w:rPr>
              <w:t>27,390,960.87</w:t>
            </w:r>
          </w:p>
        </w:tc>
        <w:tc>
          <w:tcPr>
            <w:tcW w:w="1680" w:type="dxa"/>
            <w:vAlign w:val="center"/>
          </w:tcPr>
          <w:p w:rsidR="00D44F0F" w:rsidRDefault="0080120B">
            <w:pPr>
              <w:jc w:val="right"/>
            </w:pPr>
            <w:r>
              <w:rPr>
                <w:color w:val="000000"/>
                <w:sz w:val="24"/>
              </w:rPr>
              <w:t>0.69</w:t>
            </w:r>
          </w:p>
        </w:tc>
      </w:tr>
      <w:tr w:rsidR="00D44F0F">
        <w:trPr>
          <w:jc w:val="center"/>
        </w:trPr>
        <w:tc>
          <w:tcPr>
            <w:tcW w:w="850" w:type="dxa"/>
            <w:vAlign w:val="center"/>
          </w:tcPr>
          <w:p w:rsidR="00D44F0F" w:rsidRDefault="0080120B">
            <w:pPr>
              <w:jc w:val="center"/>
            </w:pPr>
            <w:r>
              <w:rPr>
                <w:color w:val="000000"/>
                <w:sz w:val="24"/>
              </w:rPr>
              <w:t>3</w:t>
            </w:r>
          </w:p>
        </w:tc>
        <w:tc>
          <w:tcPr>
            <w:tcW w:w="1327" w:type="dxa"/>
            <w:vAlign w:val="center"/>
          </w:tcPr>
          <w:p w:rsidR="00D44F0F" w:rsidRDefault="0080120B">
            <w:pPr>
              <w:jc w:val="center"/>
            </w:pPr>
            <w:r>
              <w:rPr>
                <w:color w:val="000000"/>
                <w:sz w:val="24"/>
              </w:rPr>
              <w:t>300443</w:t>
            </w:r>
          </w:p>
        </w:tc>
        <w:tc>
          <w:tcPr>
            <w:tcW w:w="1769" w:type="dxa"/>
            <w:vAlign w:val="center"/>
          </w:tcPr>
          <w:p w:rsidR="00D44F0F" w:rsidRDefault="0080120B">
            <w:pPr>
              <w:jc w:val="center"/>
            </w:pPr>
            <w:r>
              <w:rPr>
                <w:color w:val="000000"/>
                <w:sz w:val="24"/>
              </w:rPr>
              <w:t>金雷风电</w:t>
            </w:r>
          </w:p>
        </w:tc>
        <w:tc>
          <w:tcPr>
            <w:tcW w:w="1327" w:type="dxa"/>
            <w:vAlign w:val="center"/>
          </w:tcPr>
          <w:p w:rsidR="00D44F0F" w:rsidRDefault="0080120B">
            <w:pPr>
              <w:jc w:val="right"/>
            </w:pPr>
            <w:r>
              <w:rPr>
                <w:color w:val="000000"/>
                <w:sz w:val="24"/>
              </w:rPr>
              <w:t>65,566</w:t>
            </w:r>
          </w:p>
        </w:tc>
        <w:tc>
          <w:tcPr>
            <w:tcW w:w="1915" w:type="dxa"/>
            <w:vAlign w:val="center"/>
          </w:tcPr>
          <w:p w:rsidR="00D44F0F" w:rsidRDefault="0080120B">
            <w:pPr>
              <w:jc w:val="right"/>
            </w:pPr>
            <w:r>
              <w:rPr>
                <w:color w:val="000000"/>
                <w:sz w:val="24"/>
              </w:rPr>
              <w:t>12,675,219.12</w:t>
            </w:r>
          </w:p>
        </w:tc>
        <w:tc>
          <w:tcPr>
            <w:tcW w:w="1680" w:type="dxa"/>
            <w:vAlign w:val="center"/>
          </w:tcPr>
          <w:p w:rsidR="00D44F0F" w:rsidRDefault="0080120B">
            <w:pPr>
              <w:jc w:val="right"/>
            </w:pPr>
            <w:r>
              <w:rPr>
                <w:color w:val="000000"/>
                <w:sz w:val="24"/>
              </w:rPr>
              <w:t>0.32</w:t>
            </w:r>
          </w:p>
        </w:tc>
      </w:tr>
      <w:tr w:rsidR="00D44F0F">
        <w:trPr>
          <w:jc w:val="center"/>
        </w:trPr>
        <w:tc>
          <w:tcPr>
            <w:tcW w:w="850" w:type="dxa"/>
            <w:vAlign w:val="center"/>
          </w:tcPr>
          <w:p w:rsidR="00D44F0F" w:rsidRDefault="0080120B">
            <w:pPr>
              <w:jc w:val="center"/>
            </w:pPr>
            <w:r>
              <w:rPr>
                <w:color w:val="000000"/>
                <w:sz w:val="24"/>
              </w:rPr>
              <w:t>4</w:t>
            </w:r>
          </w:p>
        </w:tc>
        <w:tc>
          <w:tcPr>
            <w:tcW w:w="1327" w:type="dxa"/>
            <w:vAlign w:val="center"/>
          </w:tcPr>
          <w:p w:rsidR="00D44F0F" w:rsidRDefault="0080120B">
            <w:pPr>
              <w:jc w:val="center"/>
            </w:pPr>
            <w:r>
              <w:rPr>
                <w:color w:val="000000"/>
                <w:sz w:val="24"/>
              </w:rPr>
              <w:t>300436</w:t>
            </w:r>
          </w:p>
        </w:tc>
        <w:tc>
          <w:tcPr>
            <w:tcW w:w="1769" w:type="dxa"/>
            <w:vAlign w:val="center"/>
          </w:tcPr>
          <w:p w:rsidR="00D44F0F" w:rsidRDefault="0080120B">
            <w:pPr>
              <w:jc w:val="center"/>
            </w:pPr>
            <w:r>
              <w:rPr>
                <w:color w:val="000000"/>
                <w:sz w:val="24"/>
              </w:rPr>
              <w:t>广生堂</w:t>
            </w:r>
          </w:p>
        </w:tc>
        <w:tc>
          <w:tcPr>
            <w:tcW w:w="1327" w:type="dxa"/>
            <w:vAlign w:val="center"/>
          </w:tcPr>
          <w:p w:rsidR="00D44F0F" w:rsidRDefault="0080120B">
            <w:pPr>
              <w:jc w:val="right"/>
            </w:pPr>
            <w:r>
              <w:rPr>
                <w:color w:val="000000"/>
                <w:sz w:val="24"/>
              </w:rPr>
              <w:t>94,594</w:t>
            </w:r>
          </w:p>
        </w:tc>
        <w:tc>
          <w:tcPr>
            <w:tcW w:w="1915" w:type="dxa"/>
            <w:vAlign w:val="center"/>
          </w:tcPr>
          <w:p w:rsidR="00D44F0F" w:rsidRDefault="0080120B">
            <w:pPr>
              <w:jc w:val="right"/>
            </w:pPr>
            <w:r>
              <w:rPr>
                <w:color w:val="000000"/>
                <w:sz w:val="24"/>
              </w:rPr>
              <w:t>7,891,977.42</w:t>
            </w:r>
          </w:p>
        </w:tc>
        <w:tc>
          <w:tcPr>
            <w:tcW w:w="1680" w:type="dxa"/>
            <w:vAlign w:val="center"/>
          </w:tcPr>
          <w:p w:rsidR="00D44F0F" w:rsidRDefault="0080120B">
            <w:pPr>
              <w:jc w:val="right"/>
            </w:pPr>
            <w:r>
              <w:rPr>
                <w:color w:val="000000"/>
                <w:sz w:val="24"/>
              </w:rPr>
              <w:t>0.20</w:t>
            </w:r>
          </w:p>
        </w:tc>
      </w:tr>
      <w:tr w:rsidR="00D44F0F">
        <w:trPr>
          <w:jc w:val="center"/>
        </w:trPr>
        <w:tc>
          <w:tcPr>
            <w:tcW w:w="850" w:type="dxa"/>
            <w:vAlign w:val="center"/>
          </w:tcPr>
          <w:p w:rsidR="00D44F0F" w:rsidRDefault="0080120B">
            <w:pPr>
              <w:jc w:val="center"/>
            </w:pPr>
            <w:r>
              <w:rPr>
                <w:color w:val="000000"/>
                <w:sz w:val="24"/>
              </w:rPr>
              <w:t>5</w:t>
            </w:r>
          </w:p>
        </w:tc>
        <w:tc>
          <w:tcPr>
            <w:tcW w:w="1327" w:type="dxa"/>
            <w:vAlign w:val="center"/>
          </w:tcPr>
          <w:p w:rsidR="00D44F0F" w:rsidRDefault="0080120B">
            <w:pPr>
              <w:jc w:val="center"/>
            </w:pPr>
            <w:r>
              <w:rPr>
                <w:color w:val="000000"/>
                <w:sz w:val="24"/>
              </w:rPr>
              <w:t>300488</w:t>
            </w:r>
          </w:p>
        </w:tc>
        <w:tc>
          <w:tcPr>
            <w:tcW w:w="1769" w:type="dxa"/>
            <w:vAlign w:val="center"/>
          </w:tcPr>
          <w:p w:rsidR="00D44F0F" w:rsidRDefault="0080120B">
            <w:pPr>
              <w:jc w:val="center"/>
            </w:pPr>
            <w:r>
              <w:rPr>
                <w:color w:val="000000"/>
                <w:sz w:val="24"/>
              </w:rPr>
              <w:t>恒锋工具</w:t>
            </w:r>
          </w:p>
        </w:tc>
        <w:tc>
          <w:tcPr>
            <w:tcW w:w="1327" w:type="dxa"/>
            <w:vAlign w:val="center"/>
          </w:tcPr>
          <w:p w:rsidR="00D44F0F" w:rsidRDefault="0080120B">
            <w:pPr>
              <w:jc w:val="right"/>
            </w:pPr>
            <w:r>
              <w:rPr>
                <w:color w:val="000000"/>
                <w:sz w:val="24"/>
              </w:rPr>
              <w:t>71,341</w:t>
            </w:r>
          </w:p>
        </w:tc>
        <w:tc>
          <w:tcPr>
            <w:tcW w:w="1915" w:type="dxa"/>
            <w:vAlign w:val="center"/>
          </w:tcPr>
          <w:p w:rsidR="00D44F0F" w:rsidRDefault="0080120B">
            <w:pPr>
              <w:jc w:val="right"/>
            </w:pPr>
            <w:r>
              <w:rPr>
                <w:color w:val="000000"/>
                <w:sz w:val="24"/>
              </w:rPr>
              <w:t>6,335,080.80</w:t>
            </w:r>
          </w:p>
        </w:tc>
        <w:tc>
          <w:tcPr>
            <w:tcW w:w="1680" w:type="dxa"/>
            <w:vAlign w:val="center"/>
          </w:tcPr>
          <w:p w:rsidR="00D44F0F" w:rsidRDefault="0080120B">
            <w:pPr>
              <w:jc w:val="right"/>
            </w:pPr>
            <w:r>
              <w:rPr>
                <w:color w:val="000000"/>
                <w:sz w:val="24"/>
              </w:rPr>
              <w:t>0.16</w:t>
            </w:r>
          </w:p>
        </w:tc>
      </w:tr>
      <w:tr w:rsidR="00D44F0F">
        <w:trPr>
          <w:jc w:val="center"/>
        </w:trPr>
        <w:tc>
          <w:tcPr>
            <w:tcW w:w="850" w:type="dxa"/>
            <w:vAlign w:val="center"/>
          </w:tcPr>
          <w:p w:rsidR="00D44F0F" w:rsidRDefault="0080120B">
            <w:pPr>
              <w:jc w:val="center"/>
            </w:pPr>
            <w:r>
              <w:rPr>
                <w:color w:val="000000"/>
                <w:sz w:val="24"/>
              </w:rPr>
              <w:t>6</w:t>
            </w:r>
          </w:p>
        </w:tc>
        <w:tc>
          <w:tcPr>
            <w:tcW w:w="1327" w:type="dxa"/>
            <w:vAlign w:val="center"/>
          </w:tcPr>
          <w:p w:rsidR="00D44F0F" w:rsidRDefault="0080120B">
            <w:pPr>
              <w:jc w:val="center"/>
            </w:pPr>
            <w:r>
              <w:rPr>
                <w:color w:val="000000"/>
                <w:sz w:val="24"/>
              </w:rPr>
              <w:t>600276</w:t>
            </w:r>
          </w:p>
        </w:tc>
        <w:tc>
          <w:tcPr>
            <w:tcW w:w="1769" w:type="dxa"/>
            <w:vAlign w:val="center"/>
          </w:tcPr>
          <w:p w:rsidR="00D44F0F" w:rsidRDefault="0080120B">
            <w:pPr>
              <w:jc w:val="center"/>
            </w:pPr>
            <w:r>
              <w:rPr>
                <w:color w:val="000000"/>
                <w:sz w:val="24"/>
              </w:rPr>
              <w:t>恒瑞医药</w:t>
            </w:r>
          </w:p>
        </w:tc>
        <w:tc>
          <w:tcPr>
            <w:tcW w:w="1327" w:type="dxa"/>
            <w:vAlign w:val="center"/>
          </w:tcPr>
          <w:p w:rsidR="00D44F0F" w:rsidRDefault="0080120B">
            <w:pPr>
              <w:jc w:val="right"/>
            </w:pPr>
            <w:r>
              <w:rPr>
                <w:color w:val="000000"/>
                <w:sz w:val="24"/>
              </w:rPr>
              <w:t>80,000</w:t>
            </w:r>
          </w:p>
        </w:tc>
        <w:tc>
          <w:tcPr>
            <w:tcW w:w="1915" w:type="dxa"/>
            <w:vAlign w:val="center"/>
          </w:tcPr>
          <w:p w:rsidR="00D44F0F" w:rsidRDefault="0080120B">
            <w:pPr>
              <w:jc w:val="right"/>
            </w:pPr>
            <w:r>
              <w:rPr>
                <w:color w:val="000000"/>
                <w:sz w:val="24"/>
              </w:rPr>
              <w:t>3,929,600.00</w:t>
            </w:r>
          </w:p>
        </w:tc>
        <w:tc>
          <w:tcPr>
            <w:tcW w:w="1680" w:type="dxa"/>
            <w:vAlign w:val="center"/>
          </w:tcPr>
          <w:p w:rsidR="00D44F0F" w:rsidRDefault="0080120B">
            <w:pPr>
              <w:jc w:val="right"/>
            </w:pPr>
            <w:r>
              <w:rPr>
                <w:color w:val="000000"/>
                <w:sz w:val="24"/>
              </w:rPr>
              <w:t>0.10</w:t>
            </w:r>
          </w:p>
        </w:tc>
      </w:tr>
      <w:tr w:rsidR="00D44F0F">
        <w:trPr>
          <w:jc w:val="center"/>
        </w:trPr>
        <w:tc>
          <w:tcPr>
            <w:tcW w:w="850" w:type="dxa"/>
            <w:vAlign w:val="center"/>
          </w:tcPr>
          <w:p w:rsidR="00D44F0F" w:rsidRDefault="0080120B">
            <w:pPr>
              <w:jc w:val="center"/>
            </w:pPr>
            <w:r>
              <w:rPr>
                <w:color w:val="000000"/>
                <w:sz w:val="24"/>
              </w:rPr>
              <w:t>7</w:t>
            </w:r>
          </w:p>
        </w:tc>
        <w:tc>
          <w:tcPr>
            <w:tcW w:w="1327" w:type="dxa"/>
            <w:vAlign w:val="center"/>
          </w:tcPr>
          <w:p w:rsidR="00D44F0F" w:rsidRDefault="0080120B">
            <w:pPr>
              <w:jc w:val="center"/>
            </w:pPr>
            <w:r>
              <w:rPr>
                <w:color w:val="000000"/>
                <w:sz w:val="24"/>
              </w:rPr>
              <w:t>601166</w:t>
            </w:r>
          </w:p>
        </w:tc>
        <w:tc>
          <w:tcPr>
            <w:tcW w:w="1769" w:type="dxa"/>
            <w:vAlign w:val="center"/>
          </w:tcPr>
          <w:p w:rsidR="00D44F0F" w:rsidRDefault="0080120B">
            <w:pPr>
              <w:jc w:val="center"/>
            </w:pPr>
            <w:r>
              <w:rPr>
                <w:color w:val="000000"/>
                <w:sz w:val="24"/>
              </w:rPr>
              <w:t>兴业银行</w:t>
            </w:r>
          </w:p>
        </w:tc>
        <w:tc>
          <w:tcPr>
            <w:tcW w:w="1327" w:type="dxa"/>
            <w:vAlign w:val="center"/>
          </w:tcPr>
          <w:p w:rsidR="00D44F0F" w:rsidRDefault="0080120B">
            <w:pPr>
              <w:jc w:val="right"/>
            </w:pPr>
            <w:r>
              <w:rPr>
                <w:color w:val="000000"/>
                <w:sz w:val="24"/>
              </w:rPr>
              <w:t>200,000</w:t>
            </w:r>
          </w:p>
        </w:tc>
        <w:tc>
          <w:tcPr>
            <w:tcW w:w="1915" w:type="dxa"/>
            <w:vAlign w:val="center"/>
          </w:tcPr>
          <w:p w:rsidR="00D44F0F" w:rsidRDefault="0080120B">
            <w:pPr>
              <w:jc w:val="right"/>
            </w:pPr>
            <w:r>
              <w:rPr>
                <w:color w:val="000000"/>
                <w:sz w:val="24"/>
              </w:rPr>
              <w:t>3,414,000.00</w:t>
            </w:r>
          </w:p>
        </w:tc>
        <w:tc>
          <w:tcPr>
            <w:tcW w:w="1680" w:type="dxa"/>
            <w:vAlign w:val="center"/>
          </w:tcPr>
          <w:p w:rsidR="00D44F0F" w:rsidRDefault="0080120B">
            <w:pPr>
              <w:jc w:val="right"/>
            </w:pPr>
            <w:r>
              <w:rPr>
                <w:color w:val="000000"/>
                <w:sz w:val="24"/>
              </w:rPr>
              <w:t>0.09</w:t>
            </w:r>
          </w:p>
        </w:tc>
      </w:tr>
      <w:tr w:rsidR="00D44F0F">
        <w:trPr>
          <w:jc w:val="center"/>
        </w:trPr>
        <w:tc>
          <w:tcPr>
            <w:tcW w:w="850" w:type="dxa"/>
            <w:vAlign w:val="center"/>
          </w:tcPr>
          <w:p w:rsidR="00D44F0F" w:rsidRDefault="0080120B">
            <w:pPr>
              <w:jc w:val="center"/>
            </w:pPr>
            <w:r>
              <w:rPr>
                <w:color w:val="000000"/>
                <w:sz w:val="24"/>
              </w:rPr>
              <w:t>8</w:t>
            </w:r>
          </w:p>
        </w:tc>
        <w:tc>
          <w:tcPr>
            <w:tcW w:w="1327" w:type="dxa"/>
            <w:vAlign w:val="center"/>
          </w:tcPr>
          <w:p w:rsidR="00D44F0F" w:rsidRDefault="0080120B">
            <w:pPr>
              <w:jc w:val="center"/>
            </w:pPr>
            <w:r>
              <w:rPr>
                <w:color w:val="000000"/>
                <w:sz w:val="24"/>
              </w:rPr>
              <w:t>600654</w:t>
            </w:r>
          </w:p>
        </w:tc>
        <w:tc>
          <w:tcPr>
            <w:tcW w:w="1769" w:type="dxa"/>
            <w:vAlign w:val="center"/>
          </w:tcPr>
          <w:p w:rsidR="00D44F0F" w:rsidRDefault="0080120B">
            <w:pPr>
              <w:jc w:val="center"/>
            </w:pPr>
            <w:r>
              <w:rPr>
                <w:color w:val="000000"/>
                <w:sz w:val="24"/>
              </w:rPr>
              <w:t>中安消</w:t>
            </w:r>
          </w:p>
        </w:tc>
        <w:tc>
          <w:tcPr>
            <w:tcW w:w="1327" w:type="dxa"/>
            <w:vAlign w:val="center"/>
          </w:tcPr>
          <w:p w:rsidR="00D44F0F" w:rsidRDefault="0080120B">
            <w:pPr>
              <w:jc w:val="right"/>
            </w:pPr>
            <w:r>
              <w:rPr>
                <w:color w:val="000000"/>
                <w:sz w:val="24"/>
              </w:rPr>
              <w:t>100,000</w:t>
            </w:r>
          </w:p>
        </w:tc>
        <w:tc>
          <w:tcPr>
            <w:tcW w:w="1915" w:type="dxa"/>
            <w:vAlign w:val="center"/>
          </w:tcPr>
          <w:p w:rsidR="00D44F0F" w:rsidRDefault="0080120B">
            <w:pPr>
              <w:jc w:val="right"/>
            </w:pPr>
            <w:r>
              <w:rPr>
                <w:color w:val="000000"/>
                <w:sz w:val="24"/>
              </w:rPr>
              <w:t>2,884,000.00</w:t>
            </w:r>
          </w:p>
        </w:tc>
        <w:tc>
          <w:tcPr>
            <w:tcW w:w="1680" w:type="dxa"/>
            <w:vAlign w:val="center"/>
          </w:tcPr>
          <w:p w:rsidR="00D44F0F" w:rsidRDefault="0080120B">
            <w:pPr>
              <w:jc w:val="right"/>
            </w:pPr>
            <w:r>
              <w:rPr>
                <w:color w:val="000000"/>
                <w:sz w:val="24"/>
              </w:rPr>
              <w:t>0.07</w:t>
            </w:r>
          </w:p>
        </w:tc>
      </w:tr>
      <w:tr w:rsidR="00D44F0F">
        <w:trPr>
          <w:jc w:val="center"/>
        </w:trPr>
        <w:tc>
          <w:tcPr>
            <w:tcW w:w="850" w:type="dxa"/>
            <w:vAlign w:val="center"/>
          </w:tcPr>
          <w:p w:rsidR="00D44F0F" w:rsidRDefault="0080120B">
            <w:pPr>
              <w:jc w:val="center"/>
            </w:pPr>
            <w:r>
              <w:rPr>
                <w:color w:val="000000"/>
                <w:sz w:val="24"/>
              </w:rPr>
              <w:t>9</w:t>
            </w:r>
          </w:p>
        </w:tc>
        <w:tc>
          <w:tcPr>
            <w:tcW w:w="1327" w:type="dxa"/>
            <w:vAlign w:val="center"/>
          </w:tcPr>
          <w:p w:rsidR="00D44F0F" w:rsidRDefault="0080120B">
            <w:pPr>
              <w:jc w:val="center"/>
            </w:pPr>
            <w:r>
              <w:rPr>
                <w:color w:val="000000"/>
                <w:sz w:val="24"/>
              </w:rPr>
              <w:t>002368</w:t>
            </w:r>
          </w:p>
        </w:tc>
        <w:tc>
          <w:tcPr>
            <w:tcW w:w="1769" w:type="dxa"/>
            <w:vAlign w:val="center"/>
          </w:tcPr>
          <w:p w:rsidR="00D44F0F" w:rsidRDefault="0080120B">
            <w:pPr>
              <w:jc w:val="center"/>
            </w:pPr>
            <w:r>
              <w:rPr>
                <w:color w:val="000000"/>
                <w:sz w:val="24"/>
              </w:rPr>
              <w:t>太极股份</w:t>
            </w:r>
          </w:p>
        </w:tc>
        <w:tc>
          <w:tcPr>
            <w:tcW w:w="1327" w:type="dxa"/>
            <w:vAlign w:val="center"/>
          </w:tcPr>
          <w:p w:rsidR="00D44F0F" w:rsidRDefault="0080120B">
            <w:pPr>
              <w:jc w:val="right"/>
            </w:pPr>
            <w:r>
              <w:rPr>
                <w:color w:val="000000"/>
                <w:sz w:val="24"/>
              </w:rPr>
              <w:t>42,000</w:t>
            </w:r>
          </w:p>
        </w:tc>
        <w:tc>
          <w:tcPr>
            <w:tcW w:w="1915" w:type="dxa"/>
            <w:vAlign w:val="center"/>
          </w:tcPr>
          <w:p w:rsidR="00D44F0F" w:rsidRDefault="0080120B">
            <w:pPr>
              <w:jc w:val="right"/>
            </w:pPr>
            <w:r>
              <w:rPr>
                <w:color w:val="000000"/>
                <w:sz w:val="24"/>
              </w:rPr>
              <w:t>2,818,200.00</w:t>
            </w:r>
          </w:p>
        </w:tc>
        <w:tc>
          <w:tcPr>
            <w:tcW w:w="1680" w:type="dxa"/>
            <w:vAlign w:val="center"/>
          </w:tcPr>
          <w:p w:rsidR="00D44F0F" w:rsidRDefault="0080120B">
            <w:pPr>
              <w:jc w:val="right"/>
            </w:pPr>
            <w:r>
              <w:rPr>
                <w:color w:val="000000"/>
                <w:sz w:val="24"/>
              </w:rPr>
              <w:t>0.07</w:t>
            </w:r>
          </w:p>
        </w:tc>
      </w:tr>
      <w:tr w:rsidR="00D44F0F">
        <w:trPr>
          <w:jc w:val="center"/>
        </w:trPr>
        <w:tc>
          <w:tcPr>
            <w:tcW w:w="850" w:type="dxa"/>
            <w:vAlign w:val="center"/>
          </w:tcPr>
          <w:p w:rsidR="00D44F0F" w:rsidRDefault="0080120B">
            <w:pPr>
              <w:jc w:val="center"/>
            </w:pPr>
            <w:r>
              <w:rPr>
                <w:color w:val="000000"/>
                <w:sz w:val="24"/>
              </w:rPr>
              <w:t>10</w:t>
            </w:r>
          </w:p>
        </w:tc>
        <w:tc>
          <w:tcPr>
            <w:tcW w:w="1327" w:type="dxa"/>
            <w:vAlign w:val="center"/>
          </w:tcPr>
          <w:p w:rsidR="00D44F0F" w:rsidRDefault="0080120B">
            <w:pPr>
              <w:jc w:val="center"/>
            </w:pPr>
            <w:r>
              <w:rPr>
                <w:color w:val="000000"/>
                <w:sz w:val="24"/>
              </w:rPr>
              <w:t>300011</w:t>
            </w:r>
          </w:p>
        </w:tc>
        <w:tc>
          <w:tcPr>
            <w:tcW w:w="1769" w:type="dxa"/>
            <w:vAlign w:val="center"/>
          </w:tcPr>
          <w:p w:rsidR="00D44F0F" w:rsidRDefault="0080120B">
            <w:pPr>
              <w:jc w:val="center"/>
            </w:pPr>
            <w:r>
              <w:rPr>
                <w:color w:val="000000"/>
                <w:sz w:val="24"/>
              </w:rPr>
              <w:t>鼎汉技术</w:t>
            </w:r>
          </w:p>
        </w:tc>
        <w:tc>
          <w:tcPr>
            <w:tcW w:w="1327" w:type="dxa"/>
            <w:vAlign w:val="center"/>
          </w:tcPr>
          <w:p w:rsidR="00D44F0F" w:rsidRDefault="0080120B">
            <w:pPr>
              <w:jc w:val="right"/>
            </w:pPr>
            <w:r>
              <w:rPr>
                <w:color w:val="000000"/>
                <w:sz w:val="24"/>
              </w:rPr>
              <w:t>60,000</w:t>
            </w:r>
          </w:p>
        </w:tc>
        <w:tc>
          <w:tcPr>
            <w:tcW w:w="1915" w:type="dxa"/>
            <w:vAlign w:val="center"/>
          </w:tcPr>
          <w:p w:rsidR="00D44F0F" w:rsidRDefault="0080120B">
            <w:pPr>
              <w:jc w:val="right"/>
            </w:pPr>
            <w:r>
              <w:rPr>
                <w:color w:val="000000"/>
                <w:sz w:val="24"/>
              </w:rPr>
              <w:t>1,788,000.00</w:t>
            </w:r>
          </w:p>
        </w:tc>
        <w:tc>
          <w:tcPr>
            <w:tcW w:w="1680" w:type="dxa"/>
            <w:vAlign w:val="center"/>
          </w:tcPr>
          <w:p w:rsidR="00D44F0F" w:rsidRDefault="0080120B">
            <w:pPr>
              <w:jc w:val="right"/>
            </w:pPr>
            <w:r>
              <w:rPr>
                <w:color w:val="000000"/>
                <w:sz w:val="24"/>
              </w:rPr>
              <w:t>0.05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98,290,000.00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412,908,000.00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10.47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412,908,000.00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10.47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88,396,003.00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1,314,086,000.00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33.32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272,756,000.00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6.92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652,000.00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0.02</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2,187,088,003.00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55.45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44F0F">
        <w:trPr>
          <w:jc w:val="center"/>
        </w:trPr>
        <w:tc>
          <w:tcPr>
            <w:tcW w:w="1075" w:type="dxa"/>
            <w:vAlign w:val="center"/>
          </w:tcPr>
          <w:p w:rsidR="00D44F0F" w:rsidRDefault="0080120B">
            <w:pPr>
              <w:jc w:val="center"/>
            </w:pPr>
            <w:r>
              <w:rPr>
                <w:color w:val="000000"/>
                <w:sz w:val="24"/>
              </w:rPr>
              <w:t>1</w:t>
            </w:r>
          </w:p>
        </w:tc>
        <w:tc>
          <w:tcPr>
            <w:tcW w:w="1533" w:type="dxa"/>
            <w:vAlign w:val="center"/>
          </w:tcPr>
          <w:p w:rsidR="00D44F0F" w:rsidRDefault="0080120B">
            <w:pPr>
              <w:jc w:val="center"/>
            </w:pPr>
            <w:r>
              <w:rPr>
                <w:color w:val="000000"/>
                <w:sz w:val="24"/>
              </w:rPr>
              <w:t>150419</w:t>
            </w:r>
          </w:p>
        </w:tc>
        <w:tc>
          <w:tcPr>
            <w:tcW w:w="1533" w:type="dxa"/>
            <w:vAlign w:val="center"/>
          </w:tcPr>
          <w:p w:rsidR="00D44F0F" w:rsidRDefault="0080120B">
            <w:pPr>
              <w:jc w:val="center"/>
            </w:pPr>
            <w:r>
              <w:rPr>
                <w:color w:val="000000"/>
                <w:sz w:val="24"/>
              </w:rPr>
              <w:t>15</w:t>
            </w:r>
            <w:r>
              <w:rPr>
                <w:color w:val="000000"/>
                <w:sz w:val="24"/>
              </w:rPr>
              <w:t>农发</w:t>
            </w:r>
            <w:r>
              <w:rPr>
                <w:color w:val="000000"/>
                <w:sz w:val="24"/>
              </w:rPr>
              <w:t>19</w:t>
            </w:r>
          </w:p>
        </w:tc>
        <w:tc>
          <w:tcPr>
            <w:tcW w:w="1394" w:type="dxa"/>
            <w:vAlign w:val="center"/>
          </w:tcPr>
          <w:p w:rsidR="00D44F0F" w:rsidRDefault="0080120B">
            <w:pPr>
              <w:jc w:val="right"/>
            </w:pPr>
            <w:r>
              <w:rPr>
                <w:color w:val="000000"/>
                <w:sz w:val="24"/>
              </w:rPr>
              <w:t>1,400,000</w:t>
            </w:r>
          </w:p>
        </w:tc>
        <w:tc>
          <w:tcPr>
            <w:tcW w:w="1944" w:type="dxa"/>
            <w:vAlign w:val="center"/>
          </w:tcPr>
          <w:p w:rsidR="00D44F0F" w:rsidRDefault="0080120B">
            <w:pPr>
              <w:jc w:val="right"/>
            </w:pPr>
            <w:r>
              <w:rPr>
                <w:color w:val="000000"/>
                <w:sz w:val="24"/>
              </w:rPr>
              <w:t>140,266,000.00</w:t>
            </w:r>
          </w:p>
        </w:tc>
        <w:tc>
          <w:tcPr>
            <w:tcW w:w="1389" w:type="dxa"/>
            <w:vAlign w:val="center"/>
          </w:tcPr>
          <w:p w:rsidR="00D44F0F" w:rsidRDefault="0080120B">
            <w:pPr>
              <w:jc w:val="right"/>
            </w:pPr>
            <w:r>
              <w:rPr>
                <w:color w:val="000000"/>
                <w:sz w:val="24"/>
              </w:rPr>
              <w:t>3.56</w:t>
            </w:r>
          </w:p>
        </w:tc>
      </w:tr>
      <w:tr w:rsidR="00D44F0F">
        <w:trPr>
          <w:jc w:val="center"/>
        </w:trPr>
        <w:tc>
          <w:tcPr>
            <w:tcW w:w="1075" w:type="dxa"/>
            <w:vAlign w:val="center"/>
          </w:tcPr>
          <w:p w:rsidR="00D44F0F" w:rsidRDefault="0080120B">
            <w:pPr>
              <w:jc w:val="center"/>
            </w:pPr>
            <w:r>
              <w:rPr>
                <w:color w:val="000000"/>
                <w:sz w:val="24"/>
              </w:rPr>
              <w:t>2</w:t>
            </w:r>
          </w:p>
        </w:tc>
        <w:tc>
          <w:tcPr>
            <w:tcW w:w="1533" w:type="dxa"/>
            <w:vAlign w:val="center"/>
          </w:tcPr>
          <w:p w:rsidR="00D44F0F" w:rsidRDefault="0080120B">
            <w:pPr>
              <w:jc w:val="center"/>
            </w:pPr>
            <w:r>
              <w:rPr>
                <w:color w:val="000000"/>
                <w:sz w:val="24"/>
              </w:rPr>
              <w:t>150210</w:t>
            </w:r>
          </w:p>
        </w:tc>
        <w:tc>
          <w:tcPr>
            <w:tcW w:w="1533" w:type="dxa"/>
            <w:vAlign w:val="center"/>
          </w:tcPr>
          <w:p w:rsidR="00D44F0F" w:rsidRDefault="0080120B">
            <w:pPr>
              <w:jc w:val="center"/>
            </w:pPr>
            <w:r>
              <w:rPr>
                <w:color w:val="000000"/>
                <w:sz w:val="24"/>
              </w:rPr>
              <w:t>15</w:t>
            </w:r>
            <w:r>
              <w:rPr>
                <w:color w:val="000000"/>
                <w:sz w:val="24"/>
              </w:rPr>
              <w:t>国开</w:t>
            </w:r>
            <w:r>
              <w:rPr>
                <w:color w:val="000000"/>
                <w:sz w:val="24"/>
              </w:rPr>
              <w:t>10</w:t>
            </w:r>
          </w:p>
        </w:tc>
        <w:tc>
          <w:tcPr>
            <w:tcW w:w="1394" w:type="dxa"/>
            <w:vAlign w:val="center"/>
          </w:tcPr>
          <w:p w:rsidR="00D44F0F" w:rsidRDefault="0080120B">
            <w:pPr>
              <w:jc w:val="right"/>
            </w:pPr>
            <w:r>
              <w:rPr>
                <w:color w:val="000000"/>
                <w:sz w:val="24"/>
              </w:rPr>
              <w:t>1,000,000</w:t>
            </w:r>
          </w:p>
        </w:tc>
        <w:tc>
          <w:tcPr>
            <w:tcW w:w="1944" w:type="dxa"/>
            <w:vAlign w:val="center"/>
          </w:tcPr>
          <w:p w:rsidR="00D44F0F" w:rsidRDefault="0080120B">
            <w:pPr>
              <w:jc w:val="right"/>
            </w:pPr>
            <w:r>
              <w:rPr>
                <w:color w:val="000000"/>
                <w:sz w:val="24"/>
              </w:rPr>
              <w:t>108,360,000.00</w:t>
            </w:r>
          </w:p>
        </w:tc>
        <w:tc>
          <w:tcPr>
            <w:tcW w:w="1389" w:type="dxa"/>
            <w:vAlign w:val="center"/>
          </w:tcPr>
          <w:p w:rsidR="00D44F0F" w:rsidRDefault="0080120B">
            <w:pPr>
              <w:jc w:val="right"/>
            </w:pPr>
            <w:r>
              <w:rPr>
                <w:color w:val="000000"/>
                <w:sz w:val="24"/>
              </w:rPr>
              <w:t>2.75</w:t>
            </w:r>
          </w:p>
        </w:tc>
      </w:tr>
      <w:tr w:rsidR="00D44F0F">
        <w:trPr>
          <w:jc w:val="center"/>
        </w:trPr>
        <w:tc>
          <w:tcPr>
            <w:tcW w:w="1075" w:type="dxa"/>
            <w:vAlign w:val="center"/>
          </w:tcPr>
          <w:p w:rsidR="00D44F0F" w:rsidRDefault="0080120B">
            <w:pPr>
              <w:jc w:val="center"/>
            </w:pPr>
            <w:r>
              <w:rPr>
                <w:color w:val="000000"/>
                <w:sz w:val="24"/>
              </w:rPr>
              <w:t>3</w:t>
            </w:r>
          </w:p>
        </w:tc>
        <w:tc>
          <w:tcPr>
            <w:tcW w:w="1533" w:type="dxa"/>
            <w:vAlign w:val="center"/>
          </w:tcPr>
          <w:p w:rsidR="00D44F0F" w:rsidRDefault="0080120B">
            <w:pPr>
              <w:jc w:val="center"/>
            </w:pPr>
            <w:r>
              <w:rPr>
                <w:color w:val="000000"/>
                <w:sz w:val="24"/>
              </w:rPr>
              <w:t>150213</w:t>
            </w:r>
          </w:p>
        </w:tc>
        <w:tc>
          <w:tcPr>
            <w:tcW w:w="1533" w:type="dxa"/>
            <w:vAlign w:val="center"/>
          </w:tcPr>
          <w:p w:rsidR="00D44F0F" w:rsidRDefault="0080120B">
            <w:pPr>
              <w:jc w:val="center"/>
            </w:pPr>
            <w:r>
              <w:rPr>
                <w:color w:val="000000"/>
                <w:sz w:val="24"/>
              </w:rPr>
              <w:t>15</w:t>
            </w:r>
            <w:r>
              <w:rPr>
                <w:color w:val="000000"/>
                <w:sz w:val="24"/>
              </w:rPr>
              <w:t>国开</w:t>
            </w:r>
            <w:r>
              <w:rPr>
                <w:color w:val="000000"/>
                <w:sz w:val="24"/>
              </w:rPr>
              <w:t>13</w:t>
            </w:r>
          </w:p>
        </w:tc>
        <w:tc>
          <w:tcPr>
            <w:tcW w:w="1394" w:type="dxa"/>
            <w:vAlign w:val="center"/>
          </w:tcPr>
          <w:p w:rsidR="00D44F0F" w:rsidRDefault="0080120B">
            <w:pPr>
              <w:jc w:val="right"/>
            </w:pPr>
            <w:r>
              <w:rPr>
                <w:color w:val="000000"/>
                <w:sz w:val="24"/>
              </w:rPr>
              <w:t>1,000,000</w:t>
            </w:r>
          </w:p>
        </w:tc>
        <w:tc>
          <w:tcPr>
            <w:tcW w:w="1944" w:type="dxa"/>
            <w:vAlign w:val="center"/>
          </w:tcPr>
          <w:p w:rsidR="00D44F0F" w:rsidRDefault="0080120B">
            <w:pPr>
              <w:jc w:val="right"/>
            </w:pPr>
            <w:r>
              <w:rPr>
                <w:color w:val="000000"/>
                <w:sz w:val="24"/>
              </w:rPr>
              <w:t>104,210,000.00</w:t>
            </w:r>
          </w:p>
        </w:tc>
        <w:tc>
          <w:tcPr>
            <w:tcW w:w="1389" w:type="dxa"/>
            <w:vAlign w:val="center"/>
          </w:tcPr>
          <w:p w:rsidR="00D44F0F" w:rsidRDefault="0080120B">
            <w:pPr>
              <w:jc w:val="right"/>
            </w:pPr>
            <w:r>
              <w:rPr>
                <w:color w:val="000000"/>
                <w:sz w:val="24"/>
              </w:rPr>
              <w:t>2.64</w:t>
            </w:r>
          </w:p>
        </w:tc>
      </w:tr>
      <w:tr w:rsidR="00D44F0F">
        <w:trPr>
          <w:jc w:val="center"/>
        </w:trPr>
        <w:tc>
          <w:tcPr>
            <w:tcW w:w="1075" w:type="dxa"/>
            <w:vAlign w:val="center"/>
          </w:tcPr>
          <w:p w:rsidR="00D44F0F" w:rsidRDefault="0080120B">
            <w:pPr>
              <w:jc w:val="center"/>
            </w:pPr>
            <w:r>
              <w:rPr>
                <w:color w:val="000000"/>
                <w:sz w:val="24"/>
              </w:rPr>
              <w:t>4</w:t>
            </w:r>
          </w:p>
        </w:tc>
        <w:tc>
          <w:tcPr>
            <w:tcW w:w="1533" w:type="dxa"/>
            <w:vAlign w:val="center"/>
          </w:tcPr>
          <w:p w:rsidR="00D44F0F" w:rsidRDefault="0080120B">
            <w:pPr>
              <w:jc w:val="center"/>
            </w:pPr>
            <w:r>
              <w:rPr>
                <w:color w:val="000000"/>
                <w:sz w:val="24"/>
              </w:rPr>
              <w:t>1382282</w:t>
            </w:r>
          </w:p>
        </w:tc>
        <w:tc>
          <w:tcPr>
            <w:tcW w:w="1533" w:type="dxa"/>
            <w:vAlign w:val="center"/>
          </w:tcPr>
          <w:p w:rsidR="00D44F0F" w:rsidRDefault="0080120B">
            <w:pPr>
              <w:jc w:val="center"/>
            </w:pPr>
            <w:r>
              <w:rPr>
                <w:color w:val="000000"/>
                <w:sz w:val="24"/>
              </w:rPr>
              <w:t>13</w:t>
            </w:r>
            <w:r>
              <w:rPr>
                <w:color w:val="000000"/>
                <w:sz w:val="24"/>
              </w:rPr>
              <w:t>铁道</w:t>
            </w:r>
            <w:r>
              <w:rPr>
                <w:color w:val="000000"/>
                <w:sz w:val="24"/>
              </w:rPr>
              <w:t>MTN1</w:t>
            </w:r>
          </w:p>
        </w:tc>
        <w:tc>
          <w:tcPr>
            <w:tcW w:w="1394" w:type="dxa"/>
            <w:vAlign w:val="center"/>
          </w:tcPr>
          <w:p w:rsidR="00D44F0F" w:rsidRDefault="0080120B">
            <w:pPr>
              <w:jc w:val="right"/>
            </w:pPr>
            <w:r>
              <w:rPr>
                <w:color w:val="000000"/>
                <w:sz w:val="24"/>
              </w:rPr>
              <w:t>1,000,000</w:t>
            </w:r>
          </w:p>
        </w:tc>
        <w:tc>
          <w:tcPr>
            <w:tcW w:w="1944" w:type="dxa"/>
            <w:vAlign w:val="center"/>
          </w:tcPr>
          <w:p w:rsidR="00D44F0F" w:rsidRDefault="0080120B">
            <w:pPr>
              <w:jc w:val="right"/>
            </w:pPr>
            <w:r>
              <w:rPr>
                <w:color w:val="000000"/>
                <w:sz w:val="24"/>
              </w:rPr>
              <w:t>104,180,000.00</w:t>
            </w:r>
          </w:p>
        </w:tc>
        <w:tc>
          <w:tcPr>
            <w:tcW w:w="1389" w:type="dxa"/>
            <w:vAlign w:val="center"/>
          </w:tcPr>
          <w:p w:rsidR="00D44F0F" w:rsidRDefault="0080120B">
            <w:pPr>
              <w:jc w:val="right"/>
            </w:pPr>
            <w:r>
              <w:rPr>
                <w:color w:val="000000"/>
                <w:sz w:val="24"/>
              </w:rPr>
              <w:t>2.64</w:t>
            </w:r>
          </w:p>
        </w:tc>
      </w:tr>
      <w:tr w:rsidR="00D44F0F">
        <w:trPr>
          <w:jc w:val="center"/>
        </w:trPr>
        <w:tc>
          <w:tcPr>
            <w:tcW w:w="1075" w:type="dxa"/>
            <w:vAlign w:val="center"/>
          </w:tcPr>
          <w:p w:rsidR="00D44F0F" w:rsidRDefault="0080120B">
            <w:pPr>
              <w:jc w:val="center"/>
            </w:pPr>
            <w:r>
              <w:rPr>
                <w:color w:val="000000"/>
                <w:sz w:val="24"/>
              </w:rPr>
              <w:t>5</w:t>
            </w:r>
          </w:p>
        </w:tc>
        <w:tc>
          <w:tcPr>
            <w:tcW w:w="1533" w:type="dxa"/>
            <w:vAlign w:val="center"/>
          </w:tcPr>
          <w:p w:rsidR="00D44F0F" w:rsidRDefault="0080120B">
            <w:pPr>
              <w:jc w:val="center"/>
            </w:pPr>
            <w:r>
              <w:rPr>
                <w:color w:val="000000"/>
                <w:sz w:val="24"/>
              </w:rPr>
              <w:t>011573007</w:t>
            </w:r>
          </w:p>
        </w:tc>
        <w:tc>
          <w:tcPr>
            <w:tcW w:w="1533" w:type="dxa"/>
            <w:vAlign w:val="center"/>
          </w:tcPr>
          <w:p w:rsidR="00D44F0F" w:rsidRDefault="0080120B">
            <w:pPr>
              <w:jc w:val="center"/>
            </w:pPr>
            <w:r>
              <w:rPr>
                <w:color w:val="000000"/>
                <w:sz w:val="24"/>
              </w:rPr>
              <w:t>15</w:t>
            </w:r>
            <w:r>
              <w:rPr>
                <w:color w:val="000000"/>
                <w:sz w:val="24"/>
              </w:rPr>
              <w:t>鲁高速</w:t>
            </w:r>
            <w:r>
              <w:rPr>
                <w:color w:val="000000"/>
                <w:sz w:val="24"/>
              </w:rPr>
              <w:t>SCP007</w:t>
            </w:r>
          </w:p>
        </w:tc>
        <w:tc>
          <w:tcPr>
            <w:tcW w:w="1394" w:type="dxa"/>
            <w:vAlign w:val="center"/>
          </w:tcPr>
          <w:p w:rsidR="00D44F0F" w:rsidRDefault="0080120B">
            <w:pPr>
              <w:jc w:val="right"/>
            </w:pPr>
            <w:r>
              <w:rPr>
                <w:color w:val="000000"/>
                <w:sz w:val="24"/>
              </w:rPr>
              <w:t>1,000,000</w:t>
            </w:r>
          </w:p>
        </w:tc>
        <w:tc>
          <w:tcPr>
            <w:tcW w:w="1944" w:type="dxa"/>
            <w:vAlign w:val="center"/>
          </w:tcPr>
          <w:p w:rsidR="00D44F0F" w:rsidRDefault="0080120B">
            <w:pPr>
              <w:jc w:val="right"/>
            </w:pPr>
            <w:r>
              <w:rPr>
                <w:color w:val="000000"/>
                <w:sz w:val="24"/>
              </w:rPr>
              <w:t>100,350,000.00</w:t>
            </w:r>
          </w:p>
        </w:tc>
        <w:tc>
          <w:tcPr>
            <w:tcW w:w="1389" w:type="dxa"/>
            <w:vAlign w:val="center"/>
          </w:tcPr>
          <w:p w:rsidR="00D44F0F" w:rsidRDefault="0080120B">
            <w:pPr>
              <w:jc w:val="right"/>
            </w:pPr>
            <w:r>
              <w:rPr>
                <w:color w:val="000000"/>
                <w:sz w:val="24"/>
              </w:rPr>
              <w:t>2.54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613,084.94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53,152,993.75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26,310,168.14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80,076,246.83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Default="00B26404" w:rsidP="007C14DF">
      <w:pPr>
        <w:autoSpaceDE w:val="0"/>
        <w:autoSpaceDN w:val="0"/>
        <w:adjustRightInd w:val="0"/>
        <w:spacing w:before="29" w:line="288" w:lineRule="auto"/>
        <w:jc w:val="left"/>
        <w:rPr>
          <w:rFonts w:eastAsiaTheme="minorEastAsia"/>
          <w:sz w:val="24"/>
        </w:rPr>
      </w:pPr>
      <w:r w:rsidRPr="00B26404">
        <w:rPr>
          <w:rFonts w:eastAsiaTheme="minorEastAsia" w:hint="eastAsia"/>
          <w:sz w:val="24"/>
        </w:rPr>
        <w:t>本基金本报告期末未持有处于转股期的可转换债券。</w:t>
      </w:r>
    </w:p>
    <w:p w:rsidR="00B26404" w:rsidRPr="00B26404" w:rsidRDefault="00B26404"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253DC2">
        <w:trPr>
          <w:jc w:val="center"/>
        </w:trPr>
        <w:tc>
          <w:tcPr>
            <w:tcW w:w="112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56"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80"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72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42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162A07">
        <w:trPr>
          <w:jc w:val="center"/>
        </w:trPr>
        <w:tc>
          <w:tcPr>
            <w:tcW w:w="1129" w:type="dxa"/>
            <w:vAlign w:val="center"/>
          </w:tcPr>
          <w:p w:rsidR="00162A07" w:rsidRDefault="00162A07" w:rsidP="00162A07">
            <w:pPr>
              <w:jc w:val="center"/>
              <w:rPr>
                <w:rFonts w:eastAsiaTheme="minorEastAsia"/>
                <w:color w:val="000000"/>
                <w:sz w:val="24"/>
              </w:rPr>
            </w:pPr>
            <w:r>
              <w:rPr>
                <w:color w:val="000000"/>
                <w:sz w:val="24"/>
              </w:rPr>
              <w:t>1</w:t>
            </w:r>
          </w:p>
        </w:tc>
        <w:tc>
          <w:tcPr>
            <w:tcW w:w="1356" w:type="dxa"/>
            <w:vAlign w:val="center"/>
          </w:tcPr>
          <w:p w:rsidR="00162A07" w:rsidRDefault="00162A07" w:rsidP="00162A07">
            <w:pPr>
              <w:jc w:val="center"/>
              <w:rPr>
                <w:rFonts w:eastAsiaTheme="minorEastAsia"/>
                <w:color w:val="000000"/>
                <w:sz w:val="24"/>
              </w:rPr>
            </w:pPr>
            <w:r>
              <w:rPr>
                <w:color w:val="000000"/>
                <w:sz w:val="24"/>
              </w:rPr>
              <w:t>300488</w:t>
            </w:r>
          </w:p>
        </w:tc>
        <w:tc>
          <w:tcPr>
            <w:tcW w:w="1355" w:type="dxa"/>
            <w:vAlign w:val="center"/>
          </w:tcPr>
          <w:p w:rsidR="00162A07" w:rsidRDefault="00162A07" w:rsidP="00162A07">
            <w:pPr>
              <w:jc w:val="center"/>
              <w:rPr>
                <w:rFonts w:eastAsiaTheme="minorEastAsia"/>
                <w:color w:val="000000"/>
                <w:sz w:val="24"/>
              </w:rPr>
            </w:pPr>
            <w:r>
              <w:rPr>
                <w:rFonts w:ascii="宋体" w:hAnsi="宋体" w:hint="eastAsia"/>
                <w:color w:val="000000"/>
                <w:sz w:val="24"/>
              </w:rPr>
              <w:t>恒锋工具</w:t>
            </w:r>
          </w:p>
        </w:tc>
        <w:tc>
          <w:tcPr>
            <w:tcW w:w="1880" w:type="dxa"/>
            <w:vAlign w:val="center"/>
          </w:tcPr>
          <w:p w:rsidR="00162A07" w:rsidRDefault="00162A07" w:rsidP="00162A07">
            <w:pPr>
              <w:jc w:val="right"/>
              <w:rPr>
                <w:rFonts w:eastAsiaTheme="minorEastAsia"/>
                <w:color w:val="000000"/>
                <w:sz w:val="24"/>
              </w:rPr>
            </w:pPr>
            <w:r>
              <w:rPr>
                <w:color w:val="000000"/>
                <w:sz w:val="24"/>
              </w:rPr>
              <w:t>6,335,080.80</w:t>
            </w:r>
          </w:p>
        </w:tc>
        <w:tc>
          <w:tcPr>
            <w:tcW w:w="1724" w:type="dxa"/>
            <w:vAlign w:val="center"/>
          </w:tcPr>
          <w:p w:rsidR="00162A07" w:rsidRDefault="00162A07" w:rsidP="00162A07">
            <w:pPr>
              <w:jc w:val="right"/>
              <w:rPr>
                <w:rFonts w:eastAsiaTheme="minorEastAsia"/>
                <w:color w:val="000000"/>
                <w:sz w:val="24"/>
              </w:rPr>
            </w:pPr>
            <w:r>
              <w:rPr>
                <w:color w:val="000000"/>
                <w:sz w:val="24"/>
              </w:rPr>
              <w:t>0.16</w:t>
            </w:r>
          </w:p>
        </w:tc>
        <w:tc>
          <w:tcPr>
            <w:tcW w:w="1424" w:type="dxa"/>
            <w:vAlign w:val="center"/>
          </w:tcPr>
          <w:p w:rsidR="00162A07" w:rsidRDefault="00162A07" w:rsidP="00162A07">
            <w:pPr>
              <w:jc w:val="right"/>
              <w:rPr>
                <w:rFonts w:eastAsiaTheme="minorEastAsia"/>
                <w:color w:val="000000"/>
                <w:sz w:val="24"/>
              </w:rPr>
            </w:pPr>
            <w:r>
              <w:rPr>
                <w:rFonts w:ascii="宋体" w:hAnsi="宋体" w:hint="eastAsia"/>
                <w:color w:val="000000"/>
                <w:sz w:val="24"/>
              </w:rPr>
              <w:t>限售股</w:t>
            </w:r>
          </w:p>
        </w:tc>
      </w:tr>
      <w:tr w:rsidR="00D44F0F">
        <w:trPr>
          <w:jc w:val="center"/>
        </w:trPr>
        <w:tc>
          <w:tcPr>
            <w:tcW w:w="1129" w:type="dxa"/>
            <w:vAlign w:val="center"/>
          </w:tcPr>
          <w:p w:rsidR="00D44F0F" w:rsidRDefault="0080120B">
            <w:pPr>
              <w:jc w:val="center"/>
            </w:pPr>
            <w:r>
              <w:rPr>
                <w:rFonts w:eastAsiaTheme="minorEastAsia"/>
                <w:color w:val="000000"/>
                <w:sz w:val="24"/>
              </w:rPr>
              <w:t>2</w:t>
            </w:r>
          </w:p>
        </w:tc>
        <w:tc>
          <w:tcPr>
            <w:tcW w:w="1356" w:type="dxa"/>
            <w:vAlign w:val="center"/>
          </w:tcPr>
          <w:p w:rsidR="00D44F0F" w:rsidRDefault="0080120B">
            <w:pPr>
              <w:jc w:val="center"/>
            </w:pPr>
            <w:r>
              <w:rPr>
                <w:rFonts w:eastAsiaTheme="minorEastAsia"/>
                <w:color w:val="000000"/>
                <w:sz w:val="24"/>
              </w:rPr>
              <w:t>600654</w:t>
            </w:r>
          </w:p>
        </w:tc>
        <w:tc>
          <w:tcPr>
            <w:tcW w:w="1355" w:type="dxa"/>
            <w:vAlign w:val="center"/>
          </w:tcPr>
          <w:p w:rsidR="00D44F0F" w:rsidRDefault="0080120B">
            <w:pPr>
              <w:jc w:val="center"/>
            </w:pPr>
            <w:r>
              <w:rPr>
                <w:rFonts w:eastAsiaTheme="minorEastAsia"/>
                <w:color w:val="000000"/>
                <w:sz w:val="24"/>
              </w:rPr>
              <w:t>中安消</w:t>
            </w:r>
          </w:p>
        </w:tc>
        <w:tc>
          <w:tcPr>
            <w:tcW w:w="1880" w:type="dxa"/>
            <w:vAlign w:val="center"/>
          </w:tcPr>
          <w:p w:rsidR="00D44F0F" w:rsidRDefault="0080120B">
            <w:pPr>
              <w:jc w:val="right"/>
            </w:pPr>
            <w:r>
              <w:rPr>
                <w:rFonts w:eastAsiaTheme="minorEastAsia"/>
                <w:color w:val="000000"/>
                <w:sz w:val="24"/>
              </w:rPr>
              <w:t>2,884,000.00</w:t>
            </w:r>
          </w:p>
        </w:tc>
        <w:tc>
          <w:tcPr>
            <w:tcW w:w="1724" w:type="dxa"/>
            <w:vAlign w:val="center"/>
          </w:tcPr>
          <w:p w:rsidR="00D44F0F" w:rsidRDefault="0080120B">
            <w:pPr>
              <w:jc w:val="right"/>
            </w:pPr>
            <w:r>
              <w:rPr>
                <w:rFonts w:eastAsiaTheme="minorEastAsia"/>
                <w:color w:val="000000"/>
                <w:sz w:val="24"/>
              </w:rPr>
              <w:t>0.07</w:t>
            </w:r>
          </w:p>
        </w:tc>
        <w:tc>
          <w:tcPr>
            <w:tcW w:w="1424" w:type="dxa"/>
            <w:vAlign w:val="center"/>
          </w:tcPr>
          <w:p w:rsidR="00D44F0F" w:rsidRDefault="0080120B">
            <w:pPr>
              <w:jc w:val="right"/>
            </w:pPr>
            <w:r>
              <w:rPr>
                <w:rFonts w:eastAsiaTheme="minorEastAsia"/>
                <w:color w:val="000000"/>
                <w:sz w:val="24"/>
              </w:rPr>
              <w:t>重大事项</w:t>
            </w:r>
          </w:p>
        </w:tc>
      </w:tr>
      <w:tr w:rsidR="00162A07">
        <w:trPr>
          <w:jc w:val="center"/>
        </w:trPr>
        <w:tc>
          <w:tcPr>
            <w:tcW w:w="1129" w:type="dxa"/>
            <w:vAlign w:val="center"/>
          </w:tcPr>
          <w:p w:rsidR="00162A07" w:rsidRDefault="00162A07" w:rsidP="00162A07">
            <w:pPr>
              <w:jc w:val="center"/>
              <w:rPr>
                <w:rFonts w:eastAsiaTheme="minorEastAsia"/>
                <w:color w:val="000000"/>
                <w:sz w:val="24"/>
              </w:rPr>
            </w:pPr>
            <w:r>
              <w:rPr>
                <w:rFonts w:eastAsiaTheme="minorEastAsia"/>
                <w:color w:val="000000"/>
                <w:sz w:val="24"/>
              </w:rPr>
              <w:t>3</w:t>
            </w:r>
          </w:p>
        </w:tc>
        <w:tc>
          <w:tcPr>
            <w:tcW w:w="1356" w:type="dxa"/>
            <w:vAlign w:val="center"/>
          </w:tcPr>
          <w:p w:rsidR="00162A07" w:rsidRDefault="00162A07" w:rsidP="00162A07">
            <w:pPr>
              <w:jc w:val="center"/>
              <w:rPr>
                <w:rFonts w:eastAsiaTheme="minorEastAsia"/>
                <w:color w:val="000000"/>
                <w:sz w:val="24"/>
              </w:rPr>
            </w:pPr>
            <w:r>
              <w:rPr>
                <w:rFonts w:eastAsiaTheme="minorEastAsia"/>
                <w:color w:val="000000"/>
                <w:sz w:val="24"/>
              </w:rPr>
              <w:t>300011</w:t>
            </w:r>
          </w:p>
        </w:tc>
        <w:tc>
          <w:tcPr>
            <w:tcW w:w="1355" w:type="dxa"/>
            <w:vAlign w:val="center"/>
          </w:tcPr>
          <w:p w:rsidR="00162A07" w:rsidRDefault="00162A07" w:rsidP="00162A07">
            <w:pPr>
              <w:jc w:val="center"/>
              <w:rPr>
                <w:rFonts w:eastAsiaTheme="minorEastAsia"/>
                <w:color w:val="000000"/>
                <w:sz w:val="24"/>
              </w:rPr>
            </w:pPr>
            <w:r>
              <w:rPr>
                <w:rFonts w:eastAsiaTheme="minorEastAsia"/>
                <w:color w:val="000000"/>
                <w:sz w:val="24"/>
              </w:rPr>
              <w:t>鼎汉技术</w:t>
            </w:r>
          </w:p>
        </w:tc>
        <w:tc>
          <w:tcPr>
            <w:tcW w:w="1880" w:type="dxa"/>
            <w:vAlign w:val="center"/>
          </w:tcPr>
          <w:p w:rsidR="00162A07" w:rsidRDefault="00162A07" w:rsidP="00162A07">
            <w:pPr>
              <w:jc w:val="right"/>
              <w:rPr>
                <w:rFonts w:eastAsiaTheme="minorEastAsia"/>
                <w:color w:val="000000"/>
                <w:sz w:val="24"/>
              </w:rPr>
            </w:pPr>
            <w:r>
              <w:rPr>
                <w:rFonts w:eastAsiaTheme="minorEastAsia"/>
                <w:color w:val="000000"/>
                <w:sz w:val="24"/>
              </w:rPr>
              <w:t>1,788,000.00</w:t>
            </w:r>
          </w:p>
        </w:tc>
        <w:tc>
          <w:tcPr>
            <w:tcW w:w="1724" w:type="dxa"/>
            <w:vAlign w:val="center"/>
          </w:tcPr>
          <w:p w:rsidR="00162A07" w:rsidRDefault="00162A07" w:rsidP="00162A07">
            <w:pPr>
              <w:jc w:val="right"/>
              <w:rPr>
                <w:rFonts w:eastAsiaTheme="minorEastAsia"/>
                <w:color w:val="000000"/>
                <w:sz w:val="24"/>
              </w:rPr>
            </w:pPr>
            <w:r>
              <w:rPr>
                <w:rFonts w:eastAsiaTheme="minorEastAsia"/>
                <w:color w:val="000000"/>
                <w:sz w:val="24"/>
              </w:rPr>
              <w:t>0.05</w:t>
            </w:r>
          </w:p>
        </w:tc>
        <w:tc>
          <w:tcPr>
            <w:tcW w:w="1424" w:type="dxa"/>
            <w:vAlign w:val="center"/>
          </w:tcPr>
          <w:p w:rsidR="00162A07" w:rsidRDefault="00162A07" w:rsidP="00162A07">
            <w:pPr>
              <w:jc w:val="right"/>
              <w:rPr>
                <w:rFonts w:eastAsiaTheme="minorEastAsia"/>
                <w:color w:val="000000"/>
                <w:sz w:val="24"/>
              </w:rPr>
            </w:pPr>
            <w:r>
              <w:rPr>
                <w:rFonts w:eastAsiaTheme="minor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2,921,313,338.85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6,574,051.38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821,326,760.19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334,931,919.55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17,344,290.66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2,592,955,470.68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803,982,469.53</w:t>
            </w:r>
          </w:p>
        </w:tc>
      </w:tr>
    </w:tbl>
    <w:p w:rsidR="00D44F0F" w:rsidRDefault="0080120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FB3C94" w:rsidRPr="007F52FA" w:rsidRDefault="00FB3C94"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D13A01" w:rsidRPr="007F52FA">
        <w:rPr>
          <w:rFonts w:eastAsiaTheme="minorEastAsia"/>
          <w:color w:val="000000"/>
          <w:kern w:val="0"/>
          <w:sz w:val="24"/>
          <w:szCs w:val="24"/>
        </w:rPr>
        <w:t>8</w:t>
      </w:r>
      <w:r w:rsidR="006D249E" w:rsidRPr="007F52FA">
        <w:rPr>
          <w:rFonts w:eastAsiaTheme="minorEastAsia"/>
          <w:color w:val="000000"/>
          <w:kern w:val="0"/>
          <w:sz w:val="24"/>
          <w:szCs w:val="24"/>
        </w:rPr>
        <w:t xml:space="preserve"> </w:t>
      </w:r>
      <w:r w:rsidRPr="007F52FA">
        <w:rPr>
          <w:rFonts w:eastAsiaTheme="minorEastAsia"/>
          <w:color w:val="000000"/>
          <w:kern w:val="0"/>
          <w:sz w:val="24"/>
          <w:szCs w:val="24"/>
        </w:rPr>
        <w:t>影响投资者决策的其他重要信息</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根据《中华人民共和国证券投资基金法》、《公开募集证券投资基金运作管理办法》和本基金基金合同的有关规定，经与基金托管人中国农业银行股份有限公司协商一致并报中国证券监督管理委员会备案，本基金管理人自</w:t>
      </w:r>
      <w:r w:rsidRPr="007F52FA">
        <w:rPr>
          <w:rFonts w:eastAsiaTheme="minorEastAsia"/>
          <w:color w:val="000000"/>
          <w:sz w:val="24"/>
        </w:rPr>
        <w:t xml:space="preserve">2015 </w:t>
      </w:r>
      <w:r w:rsidRPr="007F52FA">
        <w:rPr>
          <w:rFonts w:eastAsiaTheme="minorEastAsia"/>
          <w:color w:val="000000"/>
          <w:sz w:val="24"/>
        </w:rPr>
        <w:t>年</w:t>
      </w:r>
      <w:r w:rsidRPr="007F52FA">
        <w:rPr>
          <w:rFonts w:eastAsiaTheme="minorEastAsia"/>
          <w:color w:val="000000"/>
          <w:sz w:val="24"/>
        </w:rPr>
        <w:t>11</w:t>
      </w:r>
      <w:r w:rsidRPr="007F52FA">
        <w:rPr>
          <w:rFonts w:eastAsiaTheme="minorEastAsia"/>
          <w:color w:val="000000"/>
          <w:sz w:val="24"/>
        </w:rPr>
        <w:t>月</w:t>
      </w:r>
      <w:r w:rsidRPr="007F52FA">
        <w:rPr>
          <w:rFonts w:eastAsiaTheme="minorEastAsia"/>
          <w:color w:val="000000"/>
          <w:sz w:val="24"/>
        </w:rPr>
        <w:t>19</w:t>
      </w:r>
      <w:r w:rsidRPr="007F52FA">
        <w:rPr>
          <w:rFonts w:eastAsiaTheme="minorEastAsia"/>
          <w:color w:val="000000"/>
          <w:sz w:val="24"/>
        </w:rPr>
        <w:t>日起对本基金增加收取销售服务费的</w:t>
      </w:r>
      <w:r w:rsidRPr="007F52FA">
        <w:rPr>
          <w:rFonts w:eastAsiaTheme="minorEastAsia"/>
          <w:color w:val="000000"/>
          <w:sz w:val="24"/>
        </w:rPr>
        <w:t xml:space="preserve">C </w:t>
      </w:r>
      <w:r w:rsidRPr="007F52FA">
        <w:rPr>
          <w:rFonts w:eastAsiaTheme="minorEastAsia"/>
          <w:color w:val="000000"/>
          <w:sz w:val="24"/>
        </w:rPr>
        <w:t>类份额，并对本基金的基金合同、托管协议作相应修改。本次修改对基金份额持有人利益无实质性不利影响，可不经基金份额持有人大会表决。详情请见本基金管理人于</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11</w:t>
      </w:r>
      <w:r w:rsidRPr="007F52FA">
        <w:rPr>
          <w:rFonts w:eastAsiaTheme="minorEastAsia"/>
          <w:color w:val="000000"/>
          <w:sz w:val="24"/>
        </w:rPr>
        <w:t>月</w:t>
      </w:r>
      <w:r w:rsidRPr="007F52FA">
        <w:rPr>
          <w:rFonts w:eastAsiaTheme="minorEastAsia"/>
          <w:color w:val="000000"/>
          <w:sz w:val="24"/>
        </w:rPr>
        <w:t>18</w:t>
      </w:r>
      <w:r w:rsidRPr="007F52FA">
        <w:rPr>
          <w:rFonts w:eastAsiaTheme="minorEastAsia"/>
          <w:color w:val="000000"/>
          <w:sz w:val="24"/>
        </w:rPr>
        <w:t>日发布的《交银施罗德基金管理有限公司关于交银施罗德周期回报灵活配置混合型证券投资基金增加</w:t>
      </w:r>
      <w:r w:rsidRPr="007F52FA">
        <w:rPr>
          <w:rFonts w:eastAsiaTheme="minorEastAsia"/>
          <w:color w:val="000000"/>
          <w:sz w:val="24"/>
        </w:rPr>
        <w:t>C</w:t>
      </w:r>
      <w:r w:rsidRPr="007F52FA">
        <w:rPr>
          <w:rFonts w:eastAsiaTheme="minorEastAsia"/>
          <w:color w:val="000000"/>
          <w:sz w:val="24"/>
        </w:rPr>
        <w:t>类份额并修改基金合同、托管协议的公告》。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D44F0F" w:rsidRDefault="0080120B">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、中国证监会核准交银施罗德周期回报灵活配置混合型证券投资基金募集的文件；</w:t>
      </w:r>
      <w:r>
        <w:rPr>
          <w:rFonts w:eastAsiaTheme="minorEastAsia"/>
          <w:color w:val="000000"/>
          <w:sz w:val="24"/>
        </w:rPr>
        <w:t xml:space="preserve"> </w:t>
      </w:r>
    </w:p>
    <w:p w:rsidR="00D44F0F" w:rsidRDefault="0080120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、《交银施罗德周期回报灵活配置混合型证券投资基金基金合同》；</w:t>
      </w:r>
    </w:p>
    <w:p w:rsidR="00D44F0F" w:rsidRDefault="0080120B">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、《交银施罗德周期回报灵活配置混合型证券投资基金招募说明书》；</w:t>
      </w:r>
    </w:p>
    <w:p w:rsidR="00D44F0F" w:rsidRDefault="0080120B">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、《交银施罗德周期回报灵活配置混合型证券投资基金托管协议》；</w:t>
      </w:r>
    </w:p>
    <w:p w:rsidR="00D44F0F" w:rsidRDefault="0080120B">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、关于申请募集交银施罗德周期回报灵活配置混合型证券投资基金之法律意见书；</w:t>
      </w:r>
    </w:p>
    <w:p w:rsidR="00D44F0F" w:rsidRDefault="0080120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p>
    <w:p w:rsidR="00D44F0F" w:rsidRDefault="0080120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、报告期内交银施罗德周期回报灵活配置混合型证券投资基金在指定报刊上各项公告的原稿。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D44F0F" w:rsidRDefault="0080120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3"/>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133" w:rsidRDefault="00A64133">
      <w:r>
        <w:separator/>
      </w:r>
    </w:p>
  </w:endnote>
  <w:endnote w:type="continuationSeparator" w:id="0">
    <w:p w:rsidR="00A64133" w:rsidRDefault="00A64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5E0C49">
      <w:rPr>
        <w:noProof/>
        <w:kern w:val="0"/>
        <w:szCs w:val="21"/>
      </w:rPr>
      <w:t>2</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5E0C49">
      <w:rPr>
        <w:noProof/>
        <w:kern w:val="0"/>
        <w:szCs w:val="21"/>
      </w:rPr>
      <w:t>14</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133" w:rsidRDefault="00A64133">
      <w:r>
        <w:separator/>
      </w:r>
    </w:p>
  </w:footnote>
  <w:footnote w:type="continuationSeparator" w:id="0">
    <w:p w:rsidR="00A64133" w:rsidRDefault="00A64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5E0C49"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20A"/>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2A07"/>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DC2"/>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0C49"/>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269EF"/>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B72F9"/>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9E0"/>
    <w:rsid w:val="007E2A84"/>
    <w:rsid w:val="007E2BA4"/>
    <w:rsid w:val="007E46A3"/>
    <w:rsid w:val="007E5ECB"/>
    <w:rsid w:val="007E6BA3"/>
    <w:rsid w:val="007F063D"/>
    <w:rsid w:val="007F0D73"/>
    <w:rsid w:val="007F32F6"/>
    <w:rsid w:val="007F432A"/>
    <w:rsid w:val="007F50FB"/>
    <w:rsid w:val="007F52FA"/>
    <w:rsid w:val="007F63AA"/>
    <w:rsid w:val="008006B7"/>
    <w:rsid w:val="0080120B"/>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4133"/>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404"/>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17F71"/>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330"/>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6BA8"/>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4F0F"/>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33D1"/>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6C3"/>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C20"/>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6C4D143E-B77B-4525-B4D5-6DEA0405D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583296734">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14ECD.FBB6F9F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DB464-F41A-4BC6-B3BA-5247EF503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204</TotalTime>
  <Pages>14</Pages>
  <Words>1315</Words>
  <Characters>7501</Characters>
  <Application>Microsoft Office Word</Application>
  <DocSecurity>0</DocSecurity>
  <Lines>62</Lines>
  <Paragraphs>17</Paragraphs>
  <ScaleCrop>false</ScaleCrop>
  <Company>TRT. Ltd. Co.</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377</cp:revision>
  <cp:lastPrinted>2007-07-19T00:46:00Z</cp:lastPrinted>
  <dcterms:created xsi:type="dcterms:W3CDTF">2014-01-17T06:19:00Z</dcterms:created>
  <dcterms:modified xsi:type="dcterms:W3CDTF">2016-01-19T09:13:00Z</dcterms:modified>
</cp:coreProperties>
</file>