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26519" w:rsidRDefault="00B9564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26519" w:rsidRDefault="00B95642">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26519" w:rsidRDefault="00B9564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26519" w:rsidRDefault="00B9564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26519" w:rsidRDefault="00B9564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234,968,034.19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95642" w:rsidRPr="00414345" w:rsidTr="00B9564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95642" w:rsidRPr="00414345" w:rsidTr="00B956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29,132,244.51</w:t>
            </w:r>
          </w:p>
        </w:tc>
      </w:tr>
      <w:tr w:rsidR="00B95642" w:rsidRPr="00414345" w:rsidTr="00B956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87,165,237.36</w:t>
            </w:r>
          </w:p>
        </w:tc>
      </w:tr>
      <w:tr w:rsidR="00B95642" w:rsidRPr="00414345" w:rsidTr="00B956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0.3496</w:t>
            </w:r>
          </w:p>
        </w:tc>
      </w:tr>
      <w:tr w:rsidR="00B95642" w:rsidRPr="00414345" w:rsidTr="00B956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423,968,428.48</w:t>
            </w:r>
          </w:p>
        </w:tc>
      </w:tr>
      <w:tr w:rsidR="00B95642" w:rsidRPr="00414345" w:rsidTr="00B9564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1.804</w:t>
            </w:r>
          </w:p>
        </w:tc>
      </w:tr>
    </w:tbl>
    <w:p w:rsidR="00F26519" w:rsidRDefault="00B9564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26519">
        <w:trPr>
          <w:jc w:val="center"/>
        </w:trPr>
        <w:tc>
          <w:tcPr>
            <w:tcW w:w="1701" w:type="dxa"/>
            <w:vAlign w:val="center"/>
          </w:tcPr>
          <w:p w:rsidR="00F26519" w:rsidRDefault="00B95642">
            <w:pPr>
              <w:jc w:val="left"/>
            </w:pPr>
            <w:r>
              <w:rPr>
                <w:color w:val="000000"/>
                <w:sz w:val="24"/>
                <w:szCs w:val="24"/>
              </w:rPr>
              <w:t>过去三个月</w:t>
            </w:r>
          </w:p>
        </w:tc>
        <w:tc>
          <w:tcPr>
            <w:tcW w:w="1045" w:type="dxa"/>
            <w:vAlign w:val="center"/>
          </w:tcPr>
          <w:p w:rsidR="00F26519" w:rsidRDefault="00B95642">
            <w:pPr>
              <w:jc w:val="center"/>
            </w:pPr>
            <w:r>
              <w:rPr>
                <w:color w:val="000000"/>
                <w:sz w:val="24"/>
                <w:szCs w:val="24"/>
              </w:rPr>
              <w:t>23.39%</w:t>
            </w:r>
          </w:p>
        </w:tc>
        <w:tc>
          <w:tcPr>
            <w:tcW w:w="1344" w:type="dxa"/>
            <w:vAlign w:val="center"/>
          </w:tcPr>
          <w:p w:rsidR="00F26519" w:rsidRDefault="00B95642">
            <w:pPr>
              <w:jc w:val="center"/>
            </w:pPr>
            <w:r>
              <w:rPr>
                <w:color w:val="000000"/>
                <w:sz w:val="24"/>
                <w:szCs w:val="24"/>
              </w:rPr>
              <w:t>1.91%</w:t>
            </w:r>
          </w:p>
        </w:tc>
        <w:tc>
          <w:tcPr>
            <w:tcW w:w="1194" w:type="dxa"/>
            <w:vAlign w:val="center"/>
          </w:tcPr>
          <w:p w:rsidR="00F26519" w:rsidRDefault="00B95642">
            <w:pPr>
              <w:jc w:val="center"/>
            </w:pPr>
            <w:r>
              <w:rPr>
                <w:color w:val="000000"/>
                <w:sz w:val="24"/>
                <w:szCs w:val="24"/>
              </w:rPr>
              <w:t>15.97%</w:t>
            </w:r>
          </w:p>
        </w:tc>
        <w:tc>
          <w:tcPr>
            <w:tcW w:w="1492" w:type="dxa"/>
            <w:vAlign w:val="center"/>
          </w:tcPr>
          <w:p w:rsidR="00F26519" w:rsidRDefault="00B95642">
            <w:pPr>
              <w:jc w:val="center"/>
            </w:pPr>
            <w:r>
              <w:rPr>
                <w:color w:val="000000"/>
                <w:sz w:val="24"/>
                <w:szCs w:val="24"/>
              </w:rPr>
              <w:t>1.46%</w:t>
            </w:r>
          </w:p>
        </w:tc>
        <w:tc>
          <w:tcPr>
            <w:tcW w:w="1194" w:type="dxa"/>
            <w:vAlign w:val="center"/>
          </w:tcPr>
          <w:p w:rsidR="00F26519" w:rsidRDefault="00B95642">
            <w:pPr>
              <w:jc w:val="center"/>
            </w:pPr>
            <w:r>
              <w:rPr>
                <w:color w:val="000000"/>
                <w:sz w:val="24"/>
                <w:szCs w:val="24"/>
              </w:rPr>
              <w:t>7.42%</w:t>
            </w:r>
          </w:p>
        </w:tc>
        <w:tc>
          <w:tcPr>
            <w:tcW w:w="898" w:type="dxa"/>
            <w:vAlign w:val="center"/>
          </w:tcPr>
          <w:p w:rsidR="00F26519" w:rsidRDefault="00B95642">
            <w:pPr>
              <w:jc w:val="center"/>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00C90078">
        <w:rPr>
          <w:color w:val="000000"/>
          <w:sz w:val="24"/>
          <w:szCs w:val="24"/>
        </w:rPr>
        <w:t>3.2.2</w:t>
      </w:r>
      <w:r w:rsidR="00C90078">
        <w:rPr>
          <w:rFonts w:ascii="宋体" w:hAnsi="宋体" w:hint="eastAsia"/>
          <w:color w:val="000000"/>
          <w:sz w:val="24"/>
          <w:szCs w:val="24"/>
        </w:rPr>
        <w:t>同。</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26519">
        <w:trPr>
          <w:jc w:val="center"/>
        </w:trPr>
        <w:tc>
          <w:tcPr>
            <w:tcW w:w="846" w:type="dxa"/>
            <w:vAlign w:val="center"/>
          </w:tcPr>
          <w:p w:rsidR="00F26519" w:rsidRDefault="00B95642">
            <w:pPr>
              <w:jc w:val="center"/>
            </w:pPr>
            <w:r>
              <w:rPr>
                <w:color w:val="000000"/>
                <w:sz w:val="24"/>
                <w:szCs w:val="24"/>
              </w:rPr>
              <w:t>王崇</w:t>
            </w:r>
          </w:p>
        </w:tc>
        <w:tc>
          <w:tcPr>
            <w:tcW w:w="845" w:type="dxa"/>
            <w:vAlign w:val="center"/>
          </w:tcPr>
          <w:p w:rsidR="00F26519" w:rsidRDefault="00B95642">
            <w:pPr>
              <w:jc w:val="center"/>
            </w:pPr>
            <w:r>
              <w:rPr>
                <w:color w:val="000000"/>
                <w:sz w:val="24"/>
                <w:szCs w:val="24"/>
              </w:rPr>
              <w:t>交银新成长混合的基金经理</w:t>
            </w:r>
          </w:p>
        </w:tc>
        <w:tc>
          <w:tcPr>
            <w:tcW w:w="1549" w:type="dxa"/>
            <w:vAlign w:val="center"/>
          </w:tcPr>
          <w:p w:rsidR="00F26519" w:rsidRDefault="00B95642">
            <w:pPr>
              <w:jc w:val="center"/>
            </w:pPr>
            <w:r>
              <w:rPr>
                <w:color w:val="000000"/>
                <w:sz w:val="24"/>
                <w:szCs w:val="24"/>
              </w:rPr>
              <w:t>2014-10-22</w:t>
            </w:r>
          </w:p>
        </w:tc>
        <w:tc>
          <w:tcPr>
            <w:tcW w:w="1548" w:type="dxa"/>
            <w:vAlign w:val="center"/>
          </w:tcPr>
          <w:p w:rsidR="00F26519" w:rsidRDefault="00B95642">
            <w:pPr>
              <w:jc w:val="center"/>
            </w:pPr>
            <w:r>
              <w:rPr>
                <w:color w:val="000000"/>
                <w:sz w:val="24"/>
                <w:szCs w:val="24"/>
              </w:rPr>
              <w:t>-</w:t>
            </w:r>
          </w:p>
        </w:tc>
        <w:tc>
          <w:tcPr>
            <w:tcW w:w="1407" w:type="dxa"/>
            <w:vAlign w:val="center"/>
          </w:tcPr>
          <w:p w:rsidR="00F26519" w:rsidRDefault="00B95642">
            <w:pPr>
              <w:jc w:val="center"/>
            </w:pPr>
            <w:r>
              <w:rPr>
                <w:color w:val="000000"/>
                <w:sz w:val="24"/>
                <w:szCs w:val="24"/>
              </w:rPr>
              <w:t>7</w:t>
            </w:r>
            <w:r>
              <w:rPr>
                <w:color w:val="000000"/>
                <w:sz w:val="24"/>
                <w:szCs w:val="24"/>
              </w:rPr>
              <w:t>年</w:t>
            </w:r>
          </w:p>
        </w:tc>
        <w:tc>
          <w:tcPr>
            <w:tcW w:w="2673" w:type="dxa"/>
            <w:vAlign w:val="center"/>
          </w:tcPr>
          <w:p w:rsidR="00F26519" w:rsidRDefault="00B95642">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26519" w:rsidRDefault="00B9564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26519" w:rsidRDefault="00B9564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26519" w:rsidRDefault="00B9564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26519" w:rsidRDefault="00B95642">
      <w:pPr>
        <w:spacing w:before="29" w:line="288" w:lineRule="auto"/>
        <w:ind w:firstLineChars="200" w:firstLine="480"/>
        <w:rPr>
          <w:color w:val="000000"/>
          <w:sz w:val="24"/>
          <w:szCs w:val="24"/>
        </w:rPr>
      </w:pPr>
      <w:r>
        <w:rPr>
          <w:color w:val="000000"/>
          <w:sz w:val="24"/>
          <w:szCs w:val="24"/>
        </w:rPr>
        <w:t>2015</w:t>
      </w:r>
      <w:r>
        <w:rPr>
          <w:color w:val="000000"/>
          <w:sz w:val="24"/>
          <w:szCs w:val="24"/>
        </w:rPr>
        <w:t>年四季度，中国经济整体仍旧处于探底过程中，房地产投资和企业投资低迷，利率继续走低，虽然海外美联储首次加息影响国内货币政策进一步宽松空间，但总体流动性处于宽松状态。市场在三季度大幅调整后，</w:t>
      </w:r>
      <w:r>
        <w:rPr>
          <w:color w:val="000000"/>
          <w:sz w:val="24"/>
          <w:szCs w:val="24"/>
        </w:rPr>
        <w:t>9</w:t>
      </w:r>
      <w:r>
        <w:rPr>
          <w:color w:val="000000"/>
          <w:sz w:val="24"/>
          <w:szCs w:val="24"/>
        </w:rPr>
        <w:t>月份见底回升，四季度延续反弹，其中以新兴产业标的居多的创业板、中小板指数跑赢传统行业标的居多的主板指数。</w:t>
      </w:r>
    </w:p>
    <w:p w:rsidR="00F26519" w:rsidRDefault="00B95642">
      <w:pPr>
        <w:spacing w:before="29" w:line="288" w:lineRule="auto"/>
        <w:ind w:firstLineChars="200" w:firstLine="480"/>
        <w:rPr>
          <w:color w:val="000000"/>
          <w:sz w:val="24"/>
          <w:szCs w:val="24"/>
        </w:rPr>
      </w:pPr>
      <w:r>
        <w:rPr>
          <w:color w:val="000000"/>
          <w:sz w:val="24"/>
          <w:szCs w:val="24"/>
        </w:rPr>
        <w:t>本基金四季度采取稳健的投资策略，组合仓位提高到</w:t>
      </w:r>
      <w:r>
        <w:rPr>
          <w:color w:val="000000"/>
          <w:sz w:val="24"/>
          <w:szCs w:val="24"/>
        </w:rPr>
        <w:t>80%-85%</w:t>
      </w:r>
      <w:r>
        <w:rPr>
          <w:color w:val="000000"/>
          <w:sz w:val="24"/>
          <w:szCs w:val="24"/>
        </w:rPr>
        <w:t>左右。在行业配置和个股选择方面，降低</w:t>
      </w:r>
      <w:r>
        <w:rPr>
          <w:color w:val="000000"/>
          <w:sz w:val="24"/>
          <w:szCs w:val="24"/>
        </w:rPr>
        <w:t>TMT</w:t>
      </w:r>
      <w:r>
        <w:rPr>
          <w:color w:val="000000"/>
          <w:sz w:val="24"/>
          <w:szCs w:val="24"/>
        </w:rPr>
        <w:t>板块的投资权重，增加了环保、医疗服务、建材、机械行业的配置比重以及国企改革个股。从四季度全程来看效果一般，计算机、传媒板块四季度延续强势，增配的环保、医药、建材板块表现欠佳。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我们持谨慎乐观的态度，一方面海外美联储持续加息预期和国内房地产价格的上涨使得国内货币政策进一步宽松的空间有限，放松的边际效果也在下降；另一方面，实体投资低迷，利率维持较低水平，股市投资或许仍旧是国内居民较好的大类资产配置选择。本基金后续关注老龄化需求、环保、国企改革投资机会。标的选择上规避贴标签式的热门新兴产业趋势投资小市值标的，选择行业景气良好、公司基本面有新变化、估值相对合理的公司股票投资，努力为持有人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B95642" w:rsidP="00C15CAC">
      <w:pPr>
        <w:spacing w:before="29" w:line="288" w:lineRule="auto"/>
        <w:ind w:firstLineChars="200" w:firstLine="480"/>
        <w:rPr>
          <w:color w:val="000000"/>
          <w:sz w:val="24"/>
          <w:szCs w:val="24"/>
        </w:rPr>
      </w:pPr>
      <w:r w:rsidRPr="00B95642">
        <w:rPr>
          <w:rFonts w:hint="eastAsia"/>
          <w:color w:val="000000"/>
          <w:sz w:val="24"/>
          <w:szCs w:val="24"/>
        </w:rPr>
        <w:t>截至</w:t>
      </w:r>
      <w:r w:rsidRPr="00B95642">
        <w:rPr>
          <w:rFonts w:hint="eastAsia"/>
          <w:color w:val="000000"/>
          <w:sz w:val="24"/>
          <w:szCs w:val="24"/>
        </w:rPr>
        <w:t>2015</w:t>
      </w:r>
      <w:r w:rsidRPr="00B95642">
        <w:rPr>
          <w:rFonts w:hint="eastAsia"/>
          <w:color w:val="000000"/>
          <w:sz w:val="24"/>
          <w:szCs w:val="24"/>
        </w:rPr>
        <w:t>年</w:t>
      </w:r>
      <w:r w:rsidRPr="00B95642">
        <w:rPr>
          <w:rFonts w:hint="eastAsia"/>
          <w:color w:val="000000"/>
          <w:sz w:val="24"/>
          <w:szCs w:val="24"/>
        </w:rPr>
        <w:t>12</w:t>
      </w:r>
      <w:r w:rsidRPr="00B95642">
        <w:rPr>
          <w:rFonts w:hint="eastAsia"/>
          <w:color w:val="000000"/>
          <w:sz w:val="24"/>
          <w:szCs w:val="24"/>
        </w:rPr>
        <w:t>月</w:t>
      </w:r>
      <w:r w:rsidRPr="00B95642">
        <w:rPr>
          <w:rFonts w:hint="eastAsia"/>
          <w:color w:val="000000"/>
          <w:sz w:val="24"/>
          <w:szCs w:val="24"/>
        </w:rPr>
        <w:t>31</w:t>
      </w:r>
      <w:r w:rsidRPr="00B95642">
        <w:rPr>
          <w:rFonts w:hint="eastAsia"/>
          <w:color w:val="000000"/>
          <w:sz w:val="24"/>
          <w:szCs w:val="24"/>
        </w:rPr>
        <w:t>日，本基金份额净值为</w:t>
      </w:r>
      <w:r w:rsidRPr="00B95642">
        <w:rPr>
          <w:rFonts w:hint="eastAsia"/>
          <w:color w:val="000000"/>
          <w:sz w:val="24"/>
          <w:szCs w:val="24"/>
        </w:rPr>
        <w:t>1.804</w:t>
      </w:r>
      <w:r w:rsidRPr="00B95642">
        <w:rPr>
          <w:rFonts w:hint="eastAsia"/>
          <w:color w:val="000000"/>
          <w:sz w:val="24"/>
          <w:szCs w:val="24"/>
        </w:rPr>
        <w:t>元，本报告期份额净值增长率为</w:t>
      </w:r>
      <w:r w:rsidRPr="00B95642">
        <w:rPr>
          <w:rFonts w:hint="eastAsia"/>
          <w:color w:val="000000"/>
          <w:sz w:val="24"/>
          <w:szCs w:val="24"/>
        </w:rPr>
        <w:t>23.39%</w:t>
      </w:r>
      <w:r w:rsidRPr="00B95642">
        <w:rPr>
          <w:rFonts w:hint="eastAsia"/>
          <w:color w:val="000000"/>
          <w:sz w:val="24"/>
          <w:szCs w:val="24"/>
        </w:rPr>
        <w:t>，同期业绩比较基准增长率为</w:t>
      </w:r>
      <w:r w:rsidRPr="00B95642">
        <w:rPr>
          <w:rFonts w:hint="eastAsia"/>
          <w:color w:val="000000"/>
          <w:sz w:val="24"/>
          <w:szCs w:val="24"/>
        </w:rPr>
        <w:t>15.97%</w:t>
      </w:r>
      <w:r w:rsidRPr="00B95642">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D0E01" w:rsidRDefault="004D0E01" w:rsidP="00421CD2">
      <w:pPr>
        <w:spacing w:before="29" w:line="288" w:lineRule="auto"/>
        <w:ind w:firstLineChars="200" w:firstLine="480"/>
        <w:rPr>
          <w:rFonts w:hint="eastAsia"/>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354,201,398.93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354,201,398.93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20,048,000.00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20,048,000.00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48,077,945.77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4,499,970.03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426,827,314.73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233,938,260.06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19,447,432.50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29,464,516.77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44,122,725.25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18,274,163.61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8,951,488.00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2,812.74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354,201,398.93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83.54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26519">
        <w:trPr>
          <w:jc w:val="center"/>
        </w:trPr>
        <w:tc>
          <w:tcPr>
            <w:tcW w:w="855" w:type="dxa"/>
            <w:vAlign w:val="center"/>
          </w:tcPr>
          <w:p w:rsidR="00F26519" w:rsidRDefault="00B95642">
            <w:pPr>
              <w:jc w:val="center"/>
            </w:pPr>
            <w:r>
              <w:rPr>
                <w:color w:val="000000"/>
                <w:sz w:val="24"/>
                <w:szCs w:val="24"/>
              </w:rPr>
              <w:t>1</w:t>
            </w:r>
          </w:p>
        </w:tc>
        <w:tc>
          <w:tcPr>
            <w:tcW w:w="1334" w:type="dxa"/>
            <w:vAlign w:val="center"/>
          </w:tcPr>
          <w:p w:rsidR="00F26519" w:rsidRDefault="00B95642">
            <w:pPr>
              <w:jc w:val="center"/>
            </w:pPr>
            <w:r>
              <w:rPr>
                <w:color w:val="000000"/>
                <w:sz w:val="24"/>
                <w:szCs w:val="24"/>
              </w:rPr>
              <w:t>300161</w:t>
            </w:r>
          </w:p>
        </w:tc>
        <w:tc>
          <w:tcPr>
            <w:tcW w:w="1777" w:type="dxa"/>
            <w:vAlign w:val="center"/>
          </w:tcPr>
          <w:p w:rsidR="00F26519" w:rsidRDefault="00B95642">
            <w:pPr>
              <w:jc w:val="center"/>
            </w:pPr>
            <w:r>
              <w:rPr>
                <w:color w:val="000000"/>
                <w:sz w:val="24"/>
                <w:szCs w:val="24"/>
              </w:rPr>
              <w:t>华中数控</w:t>
            </w:r>
          </w:p>
        </w:tc>
        <w:tc>
          <w:tcPr>
            <w:tcW w:w="1334" w:type="dxa"/>
            <w:vAlign w:val="center"/>
          </w:tcPr>
          <w:p w:rsidR="00F26519" w:rsidRDefault="00B95642">
            <w:pPr>
              <w:jc w:val="right"/>
            </w:pPr>
            <w:r>
              <w:rPr>
                <w:color w:val="000000"/>
                <w:sz w:val="24"/>
                <w:szCs w:val="24"/>
              </w:rPr>
              <w:t>635,090</w:t>
            </w:r>
          </w:p>
        </w:tc>
        <w:tc>
          <w:tcPr>
            <w:tcW w:w="1924" w:type="dxa"/>
            <w:vAlign w:val="center"/>
          </w:tcPr>
          <w:p w:rsidR="00F26519" w:rsidRDefault="00B95642">
            <w:pPr>
              <w:jc w:val="right"/>
            </w:pPr>
            <w:r>
              <w:rPr>
                <w:color w:val="000000"/>
                <w:sz w:val="24"/>
                <w:szCs w:val="24"/>
              </w:rPr>
              <w:t>23,320,504.80</w:t>
            </w:r>
          </w:p>
        </w:tc>
        <w:tc>
          <w:tcPr>
            <w:tcW w:w="1644" w:type="dxa"/>
            <w:vAlign w:val="center"/>
          </w:tcPr>
          <w:p w:rsidR="00F26519" w:rsidRDefault="00B95642">
            <w:pPr>
              <w:jc w:val="right"/>
            </w:pPr>
            <w:r>
              <w:rPr>
                <w:color w:val="000000"/>
                <w:sz w:val="24"/>
                <w:szCs w:val="24"/>
              </w:rPr>
              <w:t>5.50</w:t>
            </w:r>
          </w:p>
        </w:tc>
      </w:tr>
      <w:tr w:rsidR="00F26519">
        <w:trPr>
          <w:jc w:val="center"/>
        </w:trPr>
        <w:tc>
          <w:tcPr>
            <w:tcW w:w="855" w:type="dxa"/>
            <w:vAlign w:val="center"/>
          </w:tcPr>
          <w:p w:rsidR="00F26519" w:rsidRDefault="00B95642">
            <w:pPr>
              <w:jc w:val="center"/>
            </w:pPr>
            <w:r>
              <w:rPr>
                <w:color w:val="000000"/>
                <w:sz w:val="24"/>
                <w:szCs w:val="24"/>
              </w:rPr>
              <w:t>2</w:t>
            </w:r>
          </w:p>
        </w:tc>
        <w:tc>
          <w:tcPr>
            <w:tcW w:w="1334" w:type="dxa"/>
            <w:vAlign w:val="center"/>
          </w:tcPr>
          <w:p w:rsidR="00F26519" w:rsidRDefault="00B95642">
            <w:pPr>
              <w:jc w:val="center"/>
            </w:pPr>
            <w:r>
              <w:rPr>
                <w:color w:val="000000"/>
                <w:sz w:val="24"/>
                <w:szCs w:val="24"/>
              </w:rPr>
              <w:t>300017</w:t>
            </w:r>
          </w:p>
        </w:tc>
        <w:tc>
          <w:tcPr>
            <w:tcW w:w="1777" w:type="dxa"/>
            <w:vAlign w:val="center"/>
          </w:tcPr>
          <w:p w:rsidR="00F26519" w:rsidRDefault="00B95642">
            <w:pPr>
              <w:jc w:val="center"/>
            </w:pPr>
            <w:r>
              <w:rPr>
                <w:color w:val="000000"/>
                <w:sz w:val="24"/>
                <w:szCs w:val="24"/>
              </w:rPr>
              <w:t>网宿科技</w:t>
            </w:r>
          </w:p>
        </w:tc>
        <w:tc>
          <w:tcPr>
            <w:tcW w:w="1334" w:type="dxa"/>
            <w:vAlign w:val="center"/>
          </w:tcPr>
          <w:p w:rsidR="00F26519" w:rsidRDefault="00B95642">
            <w:pPr>
              <w:jc w:val="right"/>
            </w:pPr>
            <w:r>
              <w:rPr>
                <w:color w:val="000000"/>
                <w:sz w:val="24"/>
                <w:szCs w:val="24"/>
              </w:rPr>
              <w:t>365,707</w:t>
            </w:r>
          </w:p>
        </w:tc>
        <w:tc>
          <w:tcPr>
            <w:tcW w:w="1924" w:type="dxa"/>
            <w:vAlign w:val="center"/>
          </w:tcPr>
          <w:p w:rsidR="00F26519" w:rsidRDefault="00B95642">
            <w:pPr>
              <w:jc w:val="right"/>
            </w:pPr>
            <w:r>
              <w:rPr>
                <w:color w:val="000000"/>
                <w:sz w:val="24"/>
                <w:szCs w:val="24"/>
              </w:rPr>
              <w:t>21,938,762.93</w:t>
            </w:r>
          </w:p>
        </w:tc>
        <w:tc>
          <w:tcPr>
            <w:tcW w:w="1644" w:type="dxa"/>
            <w:vAlign w:val="center"/>
          </w:tcPr>
          <w:p w:rsidR="00F26519" w:rsidRDefault="00B95642">
            <w:pPr>
              <w:jc w:val="right"/>
            </w:pPr>
            <w:r>
              <w:rPr>
                <w:color w:val="000000"/>
                <w:sz w:val="24"/>
                <w:szCs w:val="24"/>
              </w:rPr>
              <w:t>5.17</w:t>
            </w:r>
          </w:p>
        </w:tc>
      </w:tr>
      <w:tr w:rsidR="00F26519">
        <w:trPr>
          <w:jc w:val="center"/>
        </w:trPr>
        <w:tc>
          <w:tcPr>
            <w:tcW w:w="855" w:type="dxa"/>
            <w:vAlign w:val="center"/>
          </w:tcPr>
          <w:p w:rsidR="00F26519" w:rsidRDefault="00B95642">
            <w:pPr>
              <w:jc w:val="center"/>
            </w:pPr>
            <w:r>
              <w:rPr>
                <w:color w:val="000000"/>
                <w:sz w:val="24"/>
                <w:szCs w:val="24"/>
              </w:rPr>
              <w:t>3</w:t>
            </w:r>
          </w:p>
        </w:tc>
        <w:tc>
          <w:tcPr>
            <w:tcW w:w="1334" w:type="dxa"/>
            <w:vAlign w:val="center"/>
          </w:tcPr>
          <w:p w:rsidR="00F26519" w:rsidRDefault="00B95642">
            <w:pPr>
              <w:jc w:val="center"/>
            </w:pPr>
            <w:r>
              <w:rPr>
                <w:color w:val="000000"/>
                <w:sz w:val="24"/>
                <w:szCs w:val="24"/>
              </w:rPr>
              <w:t>002727</w:t>
            </w:r>
          </w:p>
        </w:tc>
        <w:tc>
          <w:tcPr>
            <w:tcW w:w="1777" w:type="dxa"/>
            <w:vAlign w:val="center"/>
          </w:tcPr>
          <w:p w:rsidR="00F26519" w:rsidRDefault="00B95642">
            <w:pPr>
              <w:jc w:val="center"/>
            </w:pPr>
            <w:r>
              <w:rPr>
                <w:color w:val="000000"/>
                <w:sz w:val="24"/>
                <w:szCs w:val="24"/>
              </w:rPr>
              <w:t>一心堂</w:t>
            </w:r>
          </w:p>
        </w:tc>
        <w:tc>
          <w:tcPr>
            <w:tcW w:w="1334" w:type="dxa"/>
            <w:vAlign w:val="center"/>
          </w:tcPr>
          <w:p w:rsidR="00F26519" w:rsidRDefault="00B95642">
            <w:pPr>
              <w:jc w:val="right"/>
            </w:pPr>
            <w:r>
              <w:rPr>
                <w:color w:val="000000"/>
                <w:sz w:val="24"/>
                <w:szCs w:val="24"/>
              </w:rPr>
              <w:t>377,049</w:t>
            </w:r>
          </w:p>
        </w:tc>
        <w:tc>
          <w:tcPr>
            <w:tcW w:w="1924" w:type="dxa"/>
            <w:vAlign w:val="center"/>
          </w:tcPr>
          <w:p w:rsidR="00F26519" w:rsidRDefault="00B95642">
            <w:pPr>
              <w:jc w:val="right"/>
            </w:pPr>
            <w:r>
              <w:rPr>
                <w:color w:val="000000"/>
                <w:sz w:val="24"/>
                <w:szCs w:val="24"/>
              </w:rPr>
              <w:t>21,804,743.67</w:t>
            </w:r>
          </w:p>
        </w:tc>
        <w:tc>
          <w:tcPr>
            <w:tcW w:w="1644" w:type="dxa"/>
            <w:vAlign w:val="center"/>
          </w:tcPr>
          <w:p w:rsidR="00F26519" w:rsidRDefault="00B95642">
            <w:pPr>
              <w:jc w:val="right"/>
            </w:pPr>
            <w:r>
              <w:rPr>
                <w:color w:val="000000"/>
                <w:sz w:val="24"/>
                <w:szCs w:val="24"/>
              </w:rPr>
              <w:t>5.14</w:t>
            </w:r>
          </w:p>
        </w:tc>
      </w:tr>
      <w:tr w:rsidR="00F26519">
        <w:trPr>
          <w:jc w:val="center"/>
        </w:trPr>
        <w:tc>
          <w:tcPr>
            <w:tcW w:w="855" w:type="dxa"/>
            <w:vAlign w:val="center"/>
          </w:tcPr>
          <w:p w:rsidR="00F26519" w:rsidRDefault="00B95642">
            <w:pPr>
              <w:jc w:val="center"/>
            </w:pPr>
            <w:r>
              <w:rPr>
                <w:color w:val="000000"/>
                <w:sz w:val="24"/>
                <w:szCs w:val="24"/>
              </w:rPr>
              <w:t>4</w:t>
            </w:r>
          </w:p>
        </w:tc>
        <w:tc>
          <w:tcPr>
            <w:tcW w:w="1334" w:type="dxa"/>
            <w:vAlign w:val="center"/>
          </w:tcPr>
          <w:p w:rsidR="00F26519" w:rsidRDefault="00B95642">
            <w:pPr>
              <w:jc w:val="center"/>
            </w:pPr>
            <w:r>
              <w:rPr>
                <w:color w:val="000000"/>
                <w:sz w:val="24"/>
                <w:szCs w:val="24"/>
              </w:rPr>
              <w:t>002450</w:t>
            </w:r>
          </w:p>
        </w:tc>
        <w:tc>
          <w:tcPr>
            <w:tcW w:w="1777" w:type="dxa"/>
            <w:vAlign w:val="center"/>
          </w:tcPr>
          <w:p w:rsidR="00F26519" w:rsidRDefault="00B95642">
            <w:pPr>
              <w:jc w:val="center"/>
            </w:pPr>
            <w:r>
              <w:rPr>
                <w:color w:val="000000"/>
                <w:sz w:val="24"/>
                <w:szCs w:val="24"/>
              </w:rPr>
              <w:t>康得新</w:t>
            </w:r>
          </w:p>
        </w:tc>
        <w:tc>
          <w:tcPr>
            <w:tcW w:w="1334" w:type="dxa"/>
            <w:vAlign w:val="center"/>
          </w:tcPr>
          <w:p w:rsidR="00F26519" w:rsidRDefault="00B95642">
            <w:pPr>
              <w:jc w:val="right"/>
            </w:pPr>
            <w:r>
              <w:rPr>
                <w:color w:val="000000"/>
                <w:sz w:val="24"/>
                <w:szCs w:val="24"/>
              </w:rPr>
              <w:t>559,139</w:t>
            </w:r>
          </w:p>
        </w:tc>
        <w:tc>
          <w:tcPr>
            <w:tcW w:w="1924" w:type="dxa"/>
            <w:vAlign w:val="center"/>
          </w:tcPr>
          <w:p w:rsidR="00F26519" w:rsidRDefault="00B95642">
            <w:pPr>
              <w:jc w:val="right"/>
            </w:pPr>
            <w:r>
              <w:rPr>
                <w:color w:val="000000"/>
                <w:sz w:val="24"/>
                <w:szCs w:val="24"/>
              </w:rPr>
              <w:t>21,303,195.90</w:t>
            </w:r>
          </w:p>
        </w:tc>
        <w:tc>
          <w:tcPr>
            <w:tcW w:w="1644" w:type="dxa"/>
            <w:vAlign w:val="center"/>
          </w:tcPr>
          <w:p w:rsidR="00F26519" w:rsidRDefault="00B95642">
            <w:pPr>
              <w:jc w:val="right"/>
            </w:pPr>
            <w:r>
              <w:rPr>
                <w:color w:val="000000"/>
                <w:sz w:val="24"/>
                <w:szCs w:val="24"/>
              </w:rPr>
              <w:t>5.02</w:t>
            </w:r>
          </w:p>
        </w:tc>
      </w:tr>
      <w:tr w:rsidR="00F26519">
        <w:trPr>
          <w:jc w:val="center"/>
        </w:trPr>
        <w:tc>
          <w:tcPr>
            <w:tcW w:w="855" w:type="dxa"/>
            <w:vAlign w:val="center"/>
          </w:tcPr>
          <w:p w:rsidR="00F26519" w:rsidRDefault="00B95642">
            <w:pPr>
              <w:jc w:val="center"/>
            </w:pPr>
            <w:r>
              <w:rPr>
                <w:color w:val="000000"/>
                <w:sz w:val="24"/>
                <w:szCs w:val="24"/>
              </w:rPr>
              <w:t>5</w:t>
            </w:r>
          </w:p>
        </w:tc>
        <w:tc>
          <w:tcPr>
            <w:tcW w:w="1334" w:type="dxa"/>
            <w:vAlign w:val="center"/>
          </w:tcPr>
          <w:p w:rsidR="00F26519" w:rsidRDefault="00B95642">
            <w:pPr>
              <w:jc w:val="center"/>
            </w:pPr>
            <w:r>
              <w:rPr>
                <w:color w:val="000000"/>
                <w:sz w:val="24"/>
                <w:szCs w:val="24"/>
              </w:rPr>
              <w:t>300262</w:t>
            </w:r>
          </w:p>
        </w:tc>
        <w:tc>
          <w:tcPr>
            <w:tcW w:w="1777" w:type="dxa"/>
            <w:vAlign w:val="center"/>
          </w:tcPr>
          <w:p w:rsidR="00F26519" w:rsidRDefault="00B95642">
            <w:pPr>
              <w:jc w:val="center"/>
            </w:pPr>
            <w:r>
              <w:rPr>
                <w:color w:val="000000"/>
                <w:sz w:val="24"/>
                <w:szCs w:val="24"/>
              </w:rPr>
              <w:t>巴安水务</w:t>
            </w:r>
          </w:p>
        </w:tc>
        <w:tc>
          <w:tcPr>
            <w:tcW w:w="1334" w:type="dxa"/>
            <w:vAlign w:val="center"/>
          </w:tcPr>
          <w:p w:rsidR="00F26519" w:rsidRDefault="00B95642">
            <w:pPr>
              <w:jc w:val="right"/>
            </w:pPr>
            <w:r>
              <w:rPr>
                <w:color w:val="000000"/>
                <w:sz w:val="24"/>
                <w:szCs w:val="24"/>
              </w:rPr>
              <w:t>1,047,250</w:t>
            </w:r>
          </w:p>
        </w:tc>
        <w:tc>
          <w:tcPr>
            <w:tcW w:w="1924" w:type="dxa"/>
            <w:vAlign w:val="center"/>
          </w:tcPr>
          <w:p w:rsidR="00F26519" w:rsidRDefault="00B95642">
            <w:pPr>
              <w:jc w:val="right"/>
            </w:pPr>
            <w:r>
              <w:rPr>
                <w:color w:val="000000"/>
                <w:sz w:val="24"/>
                <w:szCs w:val="24"/>
              </w:rPr>
              <w:t>19,447,432.50</w:t>
            </w:r>
          </w:p>
        </w:tc>
        <w:tc>
          <w:tcPr>
            <w:tcW w:w="1644" w:type="dxa"/>
            <w:vAlign w:val="center"/>
          </w:tcPr>
          <w:p w:rsidR="00F26519" w:rsidRDefault="00B95642">
            <w:pPr>
              <w:jc w:val="right"/>
            </w:pPr>
            <w:r>
              <w:rPr>
                <w:color w:val="000000"/>
                <w:sz w:val="24"/>
                <w:szCs w:val="24"/>
              </w:rPr>
              <w:t>4.59</w:t>
            </w:r>
          </w:p>
        </w:tc>
      </w:tr>
      <w:tr w:rsidR="00F26519">
        <w:trPr>
          <w:jc w:val="center"/>
        </w:trPr>
        <w:tc>
          <w:tcPr>
            <w:tcW w:w="855" w:type="dxa"/>
            <w:vAlign w:val="center"/>
          </w:tcPr>
          <w:p w:rsidR="00F26519" w:rsidRDefault="00B95642">
            <w:pPr>
              <w:jc w:val="center"/>
            </w:pPr>
            <w:r>
              <w:rPr>
                <w:color w:val="000000"/>
                <w:sz w:val="24"/>
                <w:szCs w:val="24"/>
              </w:rPr>
              <w:t>6</w:t>
            </w:r>
          </w:p>
        </w:tc>
        <w:tc>
          <w:tcPr>
            <w:tcW w:w="1334" w:type="dxa"/>
            <w:vAlign w:val="center"/>
          </w:tcPr>
          <w:p w:rsidR="00F26519" w:rsidRDefault="00B95642">
            <w:pPr>
              <w:jc w:val="center"/>
            </w:pPr>
            <w:r>
              <w:rPr>
                <w:color w:val="000000"/>
                <w:sz w:val="24"/>
                <w:szCs w:val="24"/>
              </w:rPr>
              <w:t>600054</w:t>
            </w:r>
          </w:p>
        </w:tc>
        <w:tc>
          <w:tcPr>
            <w:tcW w:w="1777" w:type="dxa"/>
            <w:vAlign w:val="center"/>
          </w:tcPr>
          <w:p w:rsidR="00F26519" w:rsidRDefault="00B95642">
            <w:pPr>
              <w:jc w:val="center"/>
            </w:pPr>
            <w:r>
              <w:rPr>
                <w:color w:val="000000"/>
                <w:sz w:val="24"/>
                <w:szCs w:val="24"/>
              </w:rPr>
              <w:t>黄山旅游</w:t>
            </w:r>
          </w:p>
        </w:tc>
        <w:tc>
          <w:tcPr>
            <w:tcW w:w="1334" w:type="dxa"/>
            <w:vAlign w:val="center"/>
          </w:tcPr>
          <w:p w:rsidR="00F26519" w:rsidRDefault="00B95642">
            <w:pPr>
              <w:jc w:val="right"/>
            </w:pPr>
            <w:r>
              <w:rPr>
                <w:color w:val="000000"/>
                <w:sz w:val="24"/>
                <w:szCs w:val="24"/>
              </w:rPr>
              <w:t>774,001</w:t>
            </w:r>
          </w:p>
        </w:tc>
        <w:tc>
          <w:tcPr>
            <w:tcW w:w="1924" w:type="dxa"/>
            <w:vAlign w:val="center"/>
          </w:tcPr>
          <w:p w:rsidR="00F26519" w:rsidRDefault="00B95642">
            <w:pPr>
              <w:jc w:val="right"/>
            </w:pPr>
            <w:r>
              <w:rPr>
                <w:color w:val="000000"/>
                <w:sz w:val="24"/>
                <w:szCs w:val="24"/>
              </w:rPr>
              <w:t>18,274,163.61</w:t>
            </w:r>
          </w:p>
        </w:tc>
        <w:tc>
          <w:tcPr>
            <w:tcW w:w="1644" w:type="dxa"/>
            <w:vAlign w:val="center"/>
          </w:tcPr>
          <w:p w:rsidR="00F26519" w:rsidRDefault="00B95642">
            <w:pPr>
              <w:jc w:val="right"/>
            </w:pPr>
            <w:r>
              <w:rPr>
                <w:color w:val="000000"/>
                <w:sz w:val="24"/>
                <w:szCs w:val="24"/>
              </w:rPr>
              <w:t>4.31</w:t>
            </w:r>
          </w:p>
        </w:tc>
      </w:tr>
      <w:tr w:rsidR="00F26519">
        <w:trPr>
          <w:jc w:val="center"/>
        </w:trPr>
        <w:tc>
          <w:tcPr>
            <w:tcW w:w="855" w:type="dxa"/>
            <w:vAlign w:val="center"/>
          </w:tcPr>
          <w:p w:rsidR="00F26519" w:rsidRDefault="00B95642">
            <w:pPr>
              <w:jc w:val="center"/>
            </w:pPr>
            <w:r>
              <w:rPr>
                <w:color w:val="000000"/>
                <w:sz w:val="24"/>
                <w:szCs w:val="24"/>
              </w:rPr>
              <w:t>7</w:t>
            </w:r>
          </w:p>
        </w:tc>
        <w:tc>
          <w:tcPr>
            <w:tcW w:w="1334" w:type="dxa"/>
            <w:vAlign w:val="center"/>
          </w:tcPr>
          <w:p w:rsidR="00F26519" w:rsidRDefault="00B95642">
            <w:pPr>
              <w:jc w:val="center"/>
            </w:pPr>
            <w:r>
              <w:rPr>
                <w:color w:val="000000"/>
                <w:sz w:val="24"/>
                <w:szCs w:val="24"/>
              </w:rPr>
              <w:t>002466</w:t>
            </w:r>
          </w:p>
        </w:tc>
        <w:tc>
          <w:tcPr>
            <w:tcW w:w="1777" w:type="dxa"/>
            <w:vAlign w:val="center"/>
          </w:tcPr>
          <w:p w:rsidR="00F26519" w:rsidRDefault="00B95642">
            <w:pPr>
              <w:jc w:val="center"/>
            </w:pPr>
            <w:r>
              <w:rPr>
                <w:color w:val="000000"/>
                <w:sz w:val="24"/>
                <w:szCs w:val="24"/>
              </w:rPr>
              <w:t>天齐锂业</w:t>
            </w:r>
          </w:p>
        </w:tc>
        <w:tc>
          <w:tcPr>
            <w:tcW w:w="1334" w:type="dxa"/>
            <w:vAlign w:val="center"/>
          </w:tcPr>
          <w:p w:rsidR="00F26519" w:rsidRDefault="00B95642">
            <w:pPr>
              <w:jc w:val="right"/>
            </w:pPr>
            <w:r>
              <w:rPr>
                <w:color w:val="000000"/>
                <w:sz w:val="24"/>
                <w:szCs w:val="24"/>
              </w:rPr>
              <w:t>120,400</w:t>
            </w:r>
          </w:p>
        </w:tc>
        <w:tc>
          <w:tcPr>
            <w:tcW w:w="1924" w:type="dxa"/>
            <w:vAlign w:val="center"/>
          </w:tcPr>
          <w:p w:rsidR="00F26519" w:rsidRDefault="00B95642">
            <w:pPr>
              <w:jc w:val="right"/>
            </w:pPr>
            <w:r>
              <w:rPr>
                <w:color w:val="000000"/>
                <w:sz w:val="24"/>
                <w:szCs w:val="24"/>
              </w:rPr>
              <w:t>16,946,300.00</w:t>
            </w:r>
          </w:p>
        </w:tc>
        <w:tc>
          <w:tcPr>
            <w:tcW w:w="1644" w:type="dxa"/>
            <w:vAlign w:val="center"/>
          </w:tcPr>
          <w:p w:rsidR="00F26519" w:rsidRDefault="00B95642">
            <w:pPr>
              <w:jc w:val="right"/>
            </w:pPr>
            <w:r>
              <w:rPr>
                <w:color w:val="000000"/>
                <w:sz w:val="24"/>
                <w:szCs w:val="24"/>
              </w:rPr>
              <w:t>4.00</w:t>
            </w:r>
          </w:p>
        </w:tc>
      </w:tr>
      <w:tr w:rsidR="00F26519">
        <w:trPr>
          <w:jc w:val="center"/>
        </w:trPr>
        <w:tc>
          <w:tcPr>
            <w:tcW w:w="855" w:type="dxa"/>
            <w:vAlign w:val="center"/>
          </w:tcPr>
          <w:p w:rsidR="00F26519" w:rsidRDefault="00B95642">
            <w:pPr>
              <w:jc w:val="center"/>
            </w:pPr>
            <w:r>
              <w:rPr>
                <w:color w:val="000000"/>
                <w:sz w:val="24"/>
                <w:szCs w:val="24"/>
              </w:rPr>
              <w:t>8</w:t>
            </w:r>
          </w:p>
        </w:tc>
        <w:tc>
          <w:tcPr>
            <w:tcW w:w="1334" w:type="dxa"/>
            <w:vAlign w:val="center"/>
          </w:tcPr>
          <w:p w:rsidR="00F26519" w:rsidRDefault="00B95642">
            <w:pPr>
              <w:jc w:val="center"/>
            </w:pPr>
            <w:r>
              <w:rPr>
                <w:color w:val="000000"/>
                <w:sz w:val="24"/>
                <w:szCs w:val="24"/>
              </w:rPr>
              <w:t>000513</w:t>
            </w:r>
          </w:p>
        </w:tc>
        <w:tc>
          <w:tcPr>
            <w:tcW w:w="1777" w:type="dxa"/>
            <w:vAlign w:val="center"/>
          </w:tcPr>
          <w:p w:rsidR="00F26519" w:rsidRDefault="00B95642">
            <w:pPr>
              <w:jc w:val="center"/>
            </w:pPr>
            <w:r>
              <w:rPr>
                <w:color w:val="000000"/>
                <w:sz w:val="24"/>
                <w:szCs w:val="24"/>
              </w:rPr>
              <w:t>丽珠集团</w:t>
            </w:r>
          </w:p>
        </w:tc>
        <w:tc>
          <w:tcPr>
            <w:tcW w:w="1334" w:type="dxa"/>
            <w:vAlign w:val="center"/>
          </w:tcPr>
          <w:p w:rsidR="00F26519" w:rsidRDefault="00B95642">
            <w:pPr>
              <w:jc w:val="right"/>
            </w:pPr>
            <w:r>
              <w:rPr>
                <w:color w:val="000000"/>
                <w:sz w:val="24"/>
                <w:szCs w:val="24"/>
              </w:rPr>
              <w:t>289,100</w:t>
            </w:r>
          </w:p>
        </w:tc>
        <w:tc>
          <w:tcPr>
            <w:tcW w:w="1924" w:type="dxa"/>
            <w:vAlign w:val="center"/>
          </w:tcPr>
          <w:p w:rsidR="00F26519" w:rsidRDefault="00B95642">
            <w:pPr>
              <w:jc w:val="right"/>
            </w:pPr>
            <w:r>
              <w:rPr>
                <w:color w:val="000000"/>
                <w:sz w:val="24"/>
                <w:szCs w:val="24"/>
              </w:rPr>
              <w:t>16,603,013.00</w:t>
            </w:r>
          </w:p>
        </w:tc>
        <w:tc>
          <w:tcPr>
            <w:tcW w:w="1644" w:type="dxa"/>
            <w:vAlign w:val="center"/>
          </w:tcPr>
          <w:p w:rsidR="00F26519" w:rsidRDefault="00B95642">
            <w:pPr>
              <w:jc w:val="right"/>
            </w:pPr>
            <w:r>
              <w:rPr>
                <w:color w:val="000000"/>
                <w:sz w:val="24"/>
                <w:szCs w:val="24"/>
              </w:rPr>
              <w:t>3.92</w:t>
            </w:r>
          </w:p>
        </w:tc>
      </w:tr>
      <w:tr w:rsidR="00F26519">
        <w:trPr>
          <w:jc w:val="center"/>
        </w:trPr>
        <w:tc>
          <w:tcPr>
            <w:tcW w:w="855" w:type="dxa"/>
            <w:vAlign w:val="center"/>
          </w:tcPr>
          <w:p w:rsidR="00F26519" w:rsidRDefault="00B95642">
            <w:pPr>
              <w:jc w:val="center"/>
            </w:pPr>
            <w:r>
              <w:rPr>
                <w:color w:val="000000"/>
                <w:sz w:val="24"/>
                <w:szCs w:val="24"/>
              </w:rPr>
              <w:t>9</w:t>
            </w:r>
          </w:p>
        </w:tc>
        <w:tc>
          <w:tcPr>
            <w:tcW w:w="1334" w:type="dxa"/>
            <w:vAlign w:val="center"/>
          </w:tcPr>
          <w:p w:rsidR="00F26519" w:rsidRDefault="00B95642">
            <w:pPr>
              <w:jc w:val="center"/>
            </w:pPr>
            <w:r>
              <w:rPr>
                <w:color w:val="000000"/>
                <w:sz w:val="24"/>
                <w:szCs w:val="24"/>
              </w:rPr>
              <w:t>600720</w:t>
            </w:r>
          </w:p>
        </w:tc>
        <w:tc>
          <w:tcPr>
            <w:tcW w:w="1777" w:type="dxa"/>
            <w:vAlign w:val="center"/>
          </w:tcPr>
          <w:p w:rsidR="00F26519" w:rsidRDefault="00B95642">
            <w:pPr>
              <w:jc w:val="center"/>
            </w:pPr>
            <w:r>
              <w:rPr>
                <w:color w:val="000000"/>
                <w:sz w:val="24"/>
                <w:szCs w:val="24"/>
              </w:rPr>
              <w:t>祁连山</w:t>
            </w:r>
          </w:p>
        </w:tc>
        <w:tc>
          <w:tcPr>
            <w:tcW w:w="1334" w:type="dxa"/>
            <w:vAlign w:val="center"/>
          </w:tcPr>
          <w:p w:rsidR="00F26519" w:rsidRDefault="00B95642">
            <w:pPr>
              <w:jc w:val="right"/>
            </w:pPr>
            <w:r>
              <w:rPr>
                <w:color w:val="000000"/>
                <w:sz w:val="24"/>
                <w:szCs w:val="24"/>
              </w:rPr>
              <w:t>1,656,202</w:t>
            </w:r>
          </w:p>
        </w:tc>
        <w:tc>
          <w:tcPr>
            <w:tcW w:w="1924" w:type="dxa"/>
            <w:vAlign w:val="center"/>
          </w:tcPr>
          <w:p w:rsidR="00F26519" w:rsidRDefault="00B95642">
            <w:pPr>
              <w:jc w:val="right"/>
            </w:pPr>
            <w:r>
              <w:rPr>
                <w:color w:val="000000"/>
                <w:sz w:val="24"/>
                <w:szCs w:val="24"/>
              </w:rPr>
              <w:t>14,624,263.66</w:t>
            </w:r>
          </w:p>
        </w:tc>
        <w:tc>
          <w:tcPr>
            <w:tcW w:w="1644" w:type="dxa"/>
            <w:vAlign w:val="center"/>
          </w:tcPr>
          <w:p w:rsidR="00F26519" w:rsidRDefault="00B95642">
            <w:pPr>
              <w:jc w:val="right"/>
            </w:pPr>
            <w:r>
              <w:rPr>
                <w:color w:val="000000"/>
                <w:sz w:val="24"/>
                <w:szCs w:val="24"/>
              </w:rPr>
              <w:t>3.45</w:t>
            </w:r>
          </w:p>
        </w:tc>
      </w:tr>
      <w:tr w:rsidR="00F26519">
        <w:trPr>
          <w:jc w:val="center"/>
        </w:trPr>
        <w:tc>
          <w:tcPr>
            <w:tcW w:w="855" w:type="dxa"/>
            <w:vAlign w:val="center"/>
          </w:tcPr>
          <w:p w:rsidR="00F26519" w:rsidRDefault="00B95642">
            <w:pPr>
              <w:jc w:val="center"/>
            </w:pPr>
            <w:r>
              <w:rPr>
                <w:color w:val="000000"/>
                <w:sz w:val="24"/>
                <w:szCs w:val="24"/>
              </w:rPr>
              <w:t>10</w:t>
            </w:r>
          </w:p>
        </w:tc>
        <w:tc>
          <w:tcPr>
            <w:tcW w:w="1334" w:type="dxa"/>
            <w:vAlign w:val="center"/>
          </w:tcPr>
          <w:p w:rsidR="00F26519" w:rsidRDefault="00B95642">
            <w:pPr>
              <w:jc w:val="center"/>
            </w:pPr>
            <w:r>
              <w:rPr>
                <w:color w:val="000000"/>
                <w:sz w:val="24"/>
                <w:szCs w:val="24"/>
              </w:rPr>
              <w:t>300137</w:t>
            </w:r>
          </w:p>
        </w:tc>
        <w:tc>
          <w:tcPr>
            <w:tcW w:w="1777" w:type="dxa"/>
            <w:vAlign w:val="center"/>
          </w:tcPr>
          <w:p w:rsidR="00F26519" w:rsidRDefault="00B95642">
            <w:pPr>
              <w:jc w:val="center"/>
            </w:pPr>
            <w:r>
              <w:rPr>
                <w:color w:val="000000"/>
                <w:sz w:val="24"/>
                <w:szCs w:val="24"/>
              </w:rPr>
              <w:t>先河环保</w:t>
            </w:r>
          </w:p>
        </w:tc>
        <w:tc>
          <w:tcPr>
            <w:tcW w:w="1334" w:type="dxa"/>
            <w:vAlign w:val="center"/>
          </w:tcPr>
          <w:p w:rsidR="00F26519" w:rsidRDefault="00B95642">
            <w:pPr>
              <w:jc w:val="right"/>
            </w:pPr>
            <w:r>
              <w:rPr>
                <w:color w:val="000000"/>
                <w:sz w:val="24"/>
                <w:szCs w:val="24"/>
              </w:rPr>
              <w:t>655,100</w:t>
            </w:r>
          </w:p>
        </w:tc>
        <w:tc>
          <w:tcPr>
            <w:tcW w:w="1924" w:type="dxa"/>
            <w:vAlign w:val="center"/>
          </w:tcPr>
          <w:p w:rsidR="00F26519" w:rsidRDefault="00B95642">
            <w:pPr>
              <w:jc w:val="right"/>
            </w:pPr>
            <w:r>
              <w:rPr>
                <w:color w:val="000000"/>
                <w:sz w:val="24"/>
                <w:szCs w:val="24"/>
              </w:rPr>
              <w:t>13,724,345.00</w:t>
            </w:r>
          </w:p>
        </w:tc>
        <w:tc>
          <w:tcPr>
            <w:tcW w:w="1644" w:type="dxa"/>
            <w:vAlign w:val="center"/>
          </w:tcPr>
          <w:p w:rsidR="00F26519" w:rsidRDefault="00B95642">
            <w:pPr>
              <w:jc w:val="right"/>
            </w:pPr>
            <w:r>
              <w:rPr>
                <w:color w:val="000000"/>
                <w:sz w:val="24"/>
                <w:szCs w:val="24"/>
              </w:rPr>
              <w:t>3.24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20,048,000.00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20,048,000.00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20,048,000.00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26519">
        <w:trPr>
          <w:jc w:val="center"/>
        </w:trPr>
        <w:tc>
          <w:tcPr>
            <w:tcW w:w="850" w:type="dxa"/>
            <w:vAlign w:val="center"/>
          </w:tcPr>
          <w:p w:rsidR="00F26519" w:rsidRDefault="00B95642">
            <w:pPr>
              <w:jc w:val="center"/>
            </w:pPr>
            <w:r>
              <w:rPr>
                <w:color w:val="000000"/>
                <w:sz w:val="24"/>
                <w:szCs w:val="24"/>
              </w:rPr>
              <w:t>1</w:t>
            </w:r>
          </w:p>
        </w:tc>
        <w:tc>
          <w:tcPr>
            <w:tcW w:w="1475" w:type="dxa"/>
            <w:vAlign w:val="center"/>
          </w:tcPr>
          <w:p w:rsidR="00F26519" w:rsidRDefault="00B95642">
            <w:pPr>
              <w:jc w:val="center"/>
            </w:pPr>
            <w:r>
              <w:rPr>
                <w:color w:val="000000"/>
                <w:sz w:val="24"/>
                <w:szCs w:val="24"/>
              </w:rPr>
              <w:t>150318</w:t>
            </w:r>
          </w:p>
        </w:tc>
        <w:tc>
          <w:tcPr>
            <w:tcW w:w="1769" w:type="dxa"/>
            <w:vAlign w:val="center"/>
          </w:tcPr>
          <w:p w:rsidR="00F26519" w:rsidRDefault="00B95642">
            <w:pPr>
              <w:jc w:val="center"/>
            </w:pPr>
            <w:r>
              <w:rPr>
                <w:color w:val="000000"/>
                <w:sz w:val="24"/>
                <w:szCs w:val="24"/>
              </w:rPr>
              <w:t>15</w:t>
            </w:r>
            <w:r>
              <w:rPr>
                <w:color w:val="000000"/>
                <w:sz w:val="24"/>
                <w:szCs w:val="24"/>
              </w:rPr>
              <w:t>进出</w:t>
            </w:r>
            <w:r>
              <w:rPr>
                <w:color w:val="000000"/>
                <w:sz w:val="24"/>
                <w:szCs w:val="24"/>
              </w:rPr>
              <w:t>18</w:t>
            </w:r>
          </w:p>
        </w:tc>
        <w:tc>
          <w:tcPr>
            <w:tcW w:w="1387" w:type="dxa"/>
            <w:vAlign w:val="center"/>
          </w:tcPr>
          <w:p w:rsidR="00F26519" w:rsidRDefault="00B95642">
            <w:pPr>
              <w:jc w:val="right"/>
            </w:pPr>
            <w:r>
              <w:rPr>
                <w:color w:val="000000"/>
                <w:sz w:val="24"/>
                <w:szCs w:val="24"/>
              </w:rPr>
              <w:t>200,000</w:t>
            </w:r>
          </w:p>
        </w:tc>
        <w:tc>
          <w:tcPr>
            <w:tcW w:w="2150" w:type="dxa"/>
            <w:vAlign w:val="center"/>
          </w:tcPr>
          <w:p w:rsidR="00F26519" w:rsidRDefault="00B95642">
            <w:pPr>
              <w:jc w:val="right"/>
            </w:pPr>
            <w:r>
              <w:rPr>
                <w:color w:val="000000"/>
                <w:sz w:val="24"/>
                <w:szCs w:val="24"/>
              </w:rPr>
              <w:t>20,048,000.00</w:t>
            </w:r>
          </w:p>
        </w:tc>
        <w:tc>
          <w:tcPr>
            <w:tcW w:w="1237" w:type="dxa"/>
            <w:vAlign w:val="center"/>
          </w:tcPr>
          <w:p w:rsidR="00F26519" w:rsidRDefault="00B95642">
            <w:pPr>
              <w:jc w:val="right"/>
            </w:pPr>
            <w:r>
              <w:rPr>
                <w:color w:val="000000"/>
                <w:sz w:val="24"/>
                <w:szCs w:val="24"/>
              </w:rPr>
              <w:t>4.73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420,175.84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3,690,778.58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48,459.47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340,556.14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4,499,970.03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252,559,389.85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21,661,908.95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39,253,264.61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234,968,034.19</w:t>
            </w:r>
          </w:p>
        </w:tc>
      </w:tr>
    </w:tbl>
    <w:p w:rsidR="00F26519" w:rsidRDefault="00B9564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鉴于交银施罗德新成长混合型证券投资基金的业绩比较基准的指数停止计算编制，本基金管理人根据基金合同的相关约定，经与基金托管人协商一致，并报中国证监会备案，决定自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日起将交银施罗德新成长混合型证券投资基金的业绩比较基准由原</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26519" w:rsidRDefault="00B9564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F26519" w:rsidRDefault="00B9564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F26519" w:rsidRDefault="00B9564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F26519" w:rsidRDefault="00B9564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F26519" w:rsidRDefault="00B9564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F26519" w:rsidRDefault="00B9564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F26519" w:rsidRDefault="00B9564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26519" w:rsidRDefault="00B9564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4D0E01">
      <w:rPr>
        <w:noProof/>
        <w:kern w:val="0"/>
        <w:szCs w:val="21"/>
      </w:rPr>
      <w:t>9</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4D0E0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0E01"/>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642"/>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0078"/>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6519"/>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9CEABC60-8C57-4838-9AC4-2AA70435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960B-1802-43EE-B441-ABC583D9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563</cp:revision>
  <dcterms:created xsi:type="dcterms:W3CDTF">2012-10-16T06:07:00Z</dcterms:created>
  <dcterms:modified xsi:type="dcterms:W3CDTF">2016-01-18T06:40:00Z</dcterms:modified>
</cp:coreProperties>
</file>