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交银施罗德强化回报债券型证券投资基金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2015</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2015</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二〇一六年一月二十一日</w:t>
      </w:r>
    </w:p>
    <w:p w:rsidR="009238DB" w:rsidRPr="007F52FA" w:rsidRDefault="009238DB" w:rsidP="007F50FB">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交银强化回报债券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519733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2014</w:t>
            </w:r>
            <w:r w:rsidRPr="007F52FA">
              <w:rPr>
                <w:color w:val="000000"/>
                <w:kern w:val="0"/>
                <w:sz w:val="24"/>
              </w:rPr>
              <w:t>年</w:t>
            </w:r>
            <w:r w:rsidRPr="007F52FA">
              <w:rPr>
                <w:color w:val="000000"/>
                <w:kern w:val="0"/>
                <w:sz w:val="24"/>
              </w:rPr>
              <w:t>1</w:t>
            </w:r>
            <w:r w:rsidRPr="007F52FA">
              <w:rPr>
                <w:color w:val="000000"/>
                <w:kern w:val="0"/>
                <w:sz w:val="24"/>
              </w:rPr>
              <w:t>月</w:t>
            </w:r>
            <w:r w:rsidRPr="007F52FA">
              <w:rPr>
                <w:color w:val="000000"/>
                <w:kern w:val="0"/>
                <w:sz w:val="24"/>
              </w:rPr>
              <w:t>28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816,757,105.45</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本基金在严格控制风险和保持资产流动性的前提下，重点投资于债券资产，力争实现基金资产的长期稳定增值。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w:t>
            </w:r>
            <w:r w:rsidRPr="007F52FA">
              <w:rPr>
                <w:color w:val="000000"/>
                <w:kern w:val="0"/>
                <w:sz w:val="24"/>
              </w:rPr>
              <w:lastRenderedPageBreak/>
              <w:t>关注股票、权证市场的运行状况与相应风险收益特征，有效把握投资机会，适时增强组合收益。</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交银强化回报债券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交银强化回报债券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519733</w:t>
            </w:r>
            <w:r w:rsidRPr="007F52FA">
              <w:rPr>
                <w:color w:val="000000" w:themeColor="text1"/>
                <w:sz w:val="24"/>
              </w:rPr>
              <w:t>（前端）、</w:t>
            </w:r>
            <w:r w:rsidRPr="007F52FA">
              <w:rPr>
                <w:color w:val="000000" w:themeColor="text1"/>
                <w:sz w:val="24"/>
              </w:rPr>
              <w:t>519734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519735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399,766,495.30</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416,990,610.15</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(2015</w:t>
            </w:r>
            <w:r w:rsidRPr="007F52FA">
              <w:rPr>
                <w:color w:val="000000"/>
                <w:sz w:val="24"/>
              </w:rPr>
              <w:t>年</w:t>
            </w:r>
            <w:r w:rsidRPr="007F52FA">
              <w:rPr>
                <w:color w:val="000000"/>
                <w:sz w:val="24"/>
              </w:rPr>
              <w:t>10</w:t>
            </w:r>
            <w:r w:rsidRPr="007F52FA">
              <w:rPr>
                <w:color w:val="000000"/>
                <w:sz w:val="24"/>
              </w:rPr>
              <w:t>月</w:t>
            </w:r>
            <w:r w:rsidRPr="007F52FA">
              <w:rPr>
                <w:color w:val="000000"/>
                <w:sz w:val="24"/>
              </w:rPr>
              <w:t>1</w:t>
            </w:r>
            <w:r w:rsidRPr="007F52FA">
              <w:rPr>
                <w:color w:val="000000"/>
                <w:sz w:val="24"/>
              </w:rPr>
              <w:t>日</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交银强化回报债券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交银强化回报债券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24,879,490.11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11,942,259.98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29,060,356.91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11,659,295.59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0.0929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0.0844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501,621,262.73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520,304,686.66</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1.255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1.248</w:t>
            </w:r>
          </w:p>
        </w:tc>
      </w:tr>
    </w:tbl>
    <w:p w:rsidR="00A64235" w:rsidRDefault="00AA031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A64235" w:rsidRDefault="00AA031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w:t>
      </w:r>
      <w:r>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交银强化回报债券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64235">
        <w:trPr>
          <w:jc w:val="center"/>
        </w:trPr>
        <w:tc>
          <w:tcPr>
            <w:tcW w:w="1266" w:type="dxa"/>
            <w:vAlign w:val="center"/>
          </w:tcPr>
          <w:p w:rsidR="00A64235" w:rsidRDefault="00AA031F">
            <w:pPr>
              <w:jc w:val="left"/>
            </w:pPr>
            <w:r>
              <w:rPr>
                <w:color w:val="000000"/>
                <w:sz w:val="24"/>
              </w:rPr>
              <w:t>过去三个月</w:t>
            </w:r>
          </w:p>
        </w:tc>
        <w:tc>
          <w:tcPr>
            <w:tcW w:w="1267" w:type="dxa"/>
            <w:vAlign w:val="center"/>
          </w:tcPr>
          <w:p w:rsidR="00A64235" w:rsidRDefault="00AA031F">
            <w:pPr>
              <w:jc w:val="center"/>
            </w:pPr>
            <w:r>
              <w:rPr>
                <w:color w:val="000000"/>
                <w:sz w:val="24"/>
              </w:rPr>
              <w:t>8.10%</w:t>
            </w:r>
          </w:p>
        </w:tc>
        <w:tc>
          <w:tcPr>
            <w:tcW w:w="1267" w:type="dxa"/>
            <w:vAlign w:val="center"/>
          </w:tcPr>
          <w:p w:rsidR="00A64235" w:rsidRDefault="00AA031F">
            <w:pPr>
              <w:jc w:val="center"/>
            </w:pPr>
            <w:r>
              <w:rPr>
                <w:color w:val="000000"/>
                <w:sz w:val="24"/>
              </w:rPr>
              <w:t>0.28%</w:t>
            </w:r>
          </w:p>
        </w:tc>
        <w:tc>
          <w:tcPr>
            <w:tcW w:w="1267" w:type="dxa"/>
            <w:vAlign w:val="center"/>
          </w:tcPr>
          <w:p w:rsidR="00A64235" w:rsidRDefault="00AA031F">
            <w:pPr>
              <w:jc w:val="center"/>
            </w:pPr>
            <w:r>
              <w:rPr>
                <w:color w:val="000000"/>
                <w:sz w:val="24"/>
              </w:rPr>
              <w:t>1.81%</w:t>
            </w:r>
          </w:p>
        </w:tc>
        <w:tc>
          <w:tcPr>
            <w:tcW w:w="1267" w:type="dxa"/>
            <w:vAlign w:val="center"/>
          </w:tcPr>
          <w:p w:rsidR="00A64235" w:rsidRDefault="00AA031F">
            <w:pPr>
              <w:jc w:val="center"/>
            </w:pPr>
            <w:r>
              <w:rPr>
                <w:color w:val="000000"/>
                <w:sz w:val="24"/>
              </w:rPr>
              <w:t>0.08%</w:t>
            </w:r>
          </w:p>
        </w:tc>
        <w:tc>
          <w:tcPr>
            <w:tcW w:w="1267" w:type="dxa"/>
            <w:vAlign w:val="center"/>
          </w:tcPr>
          <w:p w:rsidR="00A64235" w:rsidRDefault="00AA031F">
            <w:pPr>
              <w:jc w:val="center"/>
            </w:pPr>
            <w:r>
              <w:rPr>
                <w:color w:val="000000"/>
                <w:sz w:val="24"/>
              </w:rPr>
              <w:t>6.29%</w:t>
            </w:r>
          </w:p>
        </w:tc>
        <w:tc>
          <w:tcPr>
            <w:tcW w:w="1267" w:type="dxa"/>
            <w:vAlign w:val="center"/>
          </w:tcPr>
          <w:p w:rsidR="00A64235" w:rsidRDefault="00AA031F">
            <w:pPr>
              <w:jc w:val="center"/>
            </w:pPr>
            <w:r>
              <w:rPr>
                <w:color w:val="000000"/>
                <w:sz w:val="24"/>
              </w:rPr>
              <w:t>0.20%</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交银强化回报债券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64235">
        <w:trPr>
          <w:jc w:val="center"/>
        </w:trPr>
        <w:tc>
          <w:tcPr>
            <w:tcW w:w="1266" w:type="dxa"/>
            <w:vAlign w:val="center"/>
          </w:tcPr>
          <w:p w:rsidR="00A64235" w:rsidRDefault="00AA031F">
            <w:pPr>
              <w:jc w:val="left"/>
            </w:pPr>
            <w:r>
              <w:rPr>
                <w:color w:val="000000"/>
                <w:sz w:val="24"/>
              </w:rPr>
              <w:t>过去三个月</w:t>
            </w:r>
          </w:p>
        </w:tc>
        <w:tc>
          <w:tcPr>
            <w:tcW w:w="1267" w:type="dxa"/>
            <w:vAlign w:val="center"/>
          </w:tcPr>
          <w:p w:rsidR="00A64235" w:rsidRDefault="00AA031F">
            <w:pPr>
              <w:jc w:val="center"/>
            </w:pPr>
            <w:r>
              <w:rPr>
                <w:color w:val="000000"/>
                <w:sz w:val="24"/>
              </w:rPr>
              <w:t>7.96%</w:t>
            </w:r>
          </w:p>
        </w:tc>
        <w:tc>
          <w:tcPr>
            <w:tcW w:w="1267" w:type="dxa"/>
            <w:vAlign w:val="center"/>
          </w:tcPr>
          <w:p w:rsidR="00A64235" w:rsidRDefault="00AA031F">
            <w:pPr>
              <w:jc w:val="center"/>
            </w:pPr>
            <w:r>
              <w:rPr>
                <w:color w:val="000000"/>
                <w:sz w:val="24"/>
              </w:rPr>
              <w:t>0.28%</w:t>
            </w:r>
          </w:p>
        </w:tc>
        <w:tc>
          <w:tcPr>
            <w:tcW w:w="1267" w:type="dxa"/>
            <w:vAlign w:val="center"/>
          </w:tcPr>
          <w:p w:rsidR="00A64235" w:rsidRDefault="00AA031F">
            <w:pPr>
              <w:jc w:val="center"/>
            </w:pPr>
            <w:r>
              <w:rPr>
                <w:color w:val="000000"/>
                <w:sz w:val="24"/>
              </w:rPr>
              <w:t>1.81%</w:t>
            </w:r>
          </w:p>
        </w:tc>
        <w:tc>
          <w:tcPr>
            <w:tcW w:w="1267" w:type="dxa"/>
            <w:vAlign w:val="center"/>
          </w:tcPr>
          <w:p w:rsidR="00A64235" w:rsidRDefault="00AA031F">
            <w:pPr>
              <w:jc w:val="center"/>
            </w:pPr>
            <w:r>
              <w:rPr>
                <w:color w:val="000000"/>
                <w:sz w:val="24"/>
              </w:rPr>
              <w:t>0.08%</w:t>
            </w:r>
          </w:p>
        </w:tc>
        <w:tc>
          <w:tcPr>
            <w:tcW w:w="1267" w:type="dxa"/>
            <w:vAlign w:val="center"/>
          </w:tcPr>
          <w:p w:rsidR="00A64235" w:rsidRDefault="00AA031F">
            <w:pPr>
              <w:jc w:val="center"/>
            </w:pPr>
            <w:r>
              <w:rPr>
                <w:color w:val="000000"/>
                <w:sz w:val="24"/>
              </w:rPr>
              <w:t>6.15%</w:t>
            </w:r>
          </w:p>
        </w:tc>
        <w:tc>
          <w:tcPr>
            <w:tcW w:w="1267" w:type="dxa"/>
            <w:vAlign w:val="center"/>
          </w:tcPr>
          <w:p w:rsidR="00A64235" w:rsidRDefault="00AA031F">
            <w:pPr>
              <w:jc w:val="center"/>
            </w:pPr>
            <w:r>
              <w:rPr>
                <w:color w:val="000000"/>
                <w:sz w:val="24"/>
              </w:rPr>
              <w:t>0.20%</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交银施罗德强化回报债券型证券投资基金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2014</w:t>
      </w:r>
      <w:r w:rsidR="00D04410" w:rsidRPr="007F52FA">
        <w:rPr>
          <w:rFonts w:ascii="Times New Roman" w:hAnsi="Times New Roman"/>
          <w:sz w:val="24"/>
          <w:szCs w:val="24"/>
        </w:rPr>
        <w:t>年</w:t>
      </w:r>
      <w:r w:rsidR="00D04410" w:rsidRPr="007F52FA">
        <w:rPr>
          <w:rFonts w:ascii="Times New Roman" w:hAnsi="Times New Roman"/>
          <w:sz w:val="24"/>
          <w:szCs w:val="24"/>
        </w:rPr>
        <w:t>1</w:t>
      </w:r>
      <w:r w:rsidR="00D04410" w:rsidRPr="007F52FA">
        <w:rPr>
          <w:rFonts w:ascii="Times New Roman" w:hAnsi="Times New Roman"/>
          <w:sz w:val="24"/>
          <w:szCs w:val="24"/>
        </w:rPr>
        <w:t>月</w:t>
      </w:r>
      <w:r w:rsidR="00D04410" w:rsidRPr="007F52FA">
        <w:rPr>
          <w:rFonts w:ascii="Times New Roman" w:hAnsi="Times New Roman"/>
          <w:sz w:val="24"/>
          <w:szCs w:val="24"/>
        </w:rPr>
        <w:t>28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交银强化回报债券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交银强化回报债券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A64235">
        <w:trPr>
          <w:jc w:val="center"/>
        </w:trPr>
        <w:tc>
          <w:tcPr>
            <w:tcW w:w="946" w:type="dxa"/>
            <w:vAlign w:val="center"/>
          </w:tcPr>
          <w:p w:rsidR="00A64235" w:rsidRDefault="00AA031F">
            <w:pPr>
              <w:jc w:val="center"/>
            </w:pPr>
            <w:r>
              <w:rPr>
                <w:color w:val="000000"/>
                <w:sz w:val="24"/>
              </w:rPr>
              <w:t>孙超</w:t>
            </w:r>
          </w:p>
        </w:tc>
        <w:tc>
          <w:tcPr>
            <w:tcW w:w="924" w:type="dxa"/>
            <w:vAlign w:val="center"/>
          </w:tcPr>
          <w:p w:rsidR="00A64235" w:rsidRDefault="00AA031F">
            <w:pPr>
              <w:jc w:val="center"/>
            </w:pPr>
            <w:r>
              <w:rPr>
                <w:color w:val="000000"/>
                <w:sz w:val="24"/>
              </w:rPr>
              <w:t>交银增利债券、交银纯债债券发起、交银荣祥保本混合、交银荣泰保本混合、交银定期支付月月丰债券、交银强化回报债券、交银丰润收益债券、交银丰享收益债券、交银丰泽收益债券、交银丰硕收益债券的基金经理</w:t>
            </w:r>
          </w:p>
        </w:tc>
        <w:tc>
          <w:tcPr>
            <w:tcW w:w="1202" w:type="dxa"/>
            <w:vAlign w:val="center"/>
          </w:tcPr>
          <w:p w:rsidR="00A64235" w:rsidRDefault="00AA031F">
            <w:pPr>
              <w:jc w:val="center"/>
            </w:pPr>
            <w:r>
              <w:rPr>
                <w:color w:val="000000"/>
                <w:sz w:val="24"/>
              </w:rPr>
              <w:t>2014-08-26</w:t>
            </w:r>
          </w:p>
        </w:tc>
        <w:tc>
          <w:tcPr>
            <w:tcW w:w="1300" w:type="dxa"/>
            <w:vAlign w:val="center"/>
          </w:tcPr>
          <w:p w:rsidR="00A64235" w:rsidRDefault="00AA031F">
            <w:pPr>
              <w:jc w:val="center"/>
            </w:pPr>
            <w:r>
              <w:rPr>
                <w:color w:val="000000"/>
                <w:sz w:val="24"/>
              </w:rPr>
              <w:t>-</w:t>
            </w:r>
          </w:p>
        </w:tc>
        <w:tc>
          <w:tcPr>
            <w:tcW w:w="1245" w:type="dxa"/>
            <w:vAlign w:val="center"/>
          </w:tcPr>
          <w:p w:rsidR="00A64235" w:rsidRDefault="00AA031F">
            <w:pPr>
              <w:jc w:val="center"/>
            </w:pPr>
            <w:r>
              <w:rPr>
                <w:color w:val="000000"/>
                <w:sz w:val="24"/>
              </w:rPr>
              <w:t>4</w:t>
            </w:r>
            <w:r>
              <w:rPr>
                <w:color w:val="000000"/>
                <w:sz w:val="24"/>
              </w:rPr>
              <w:t>年</w:t>
            </w:r>
          </w:p>
        </w:tc>
        <w:tc>
          <w:tcPr>
            <w:tcW w:w="3251" w:type="dxa"/>
            <w:vAlign w:val="center"/>
          </w:tcPr>
          <w:p w:rsidR="00A64235" w:rsidRDefault="00AA031F" w:rsidP="00EA294D">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sidR="00EA294D">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sidR="00EA294D">
              <w:rPr>
                <w:color w:val="000000"/>
                <w:sz w:val="24"/>
              </w:rPr>
              <w:t>17</w:t>
            </w:r>
            <w:r>
              <w:rPr>
                <w:color w:val="000000"/>
                <w:sz w:val="24"/>
              </w:rPr>
              <w:t>日担任交银施罗德双轮动债券型证券投资基金基金经理。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A64235" w:rsidRDefault="00AA031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64235" w:rsidRDefault="00AA031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64235" w:rsidRDefault="00AA031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A64235" w:rsidRDefault="00AA031F">
      <w:pPr>
        <w:spacing w:before="29" w:line="288" w:lineRule="auto"/>
        <w:ind w:firstLineChars="200" w:firstLine="480"/>
        <w:rPr>
          <w:color w:val="000000"/>
          <w:sz w:val="24"/>
        </w:rPr>
      </w:pPr>
      <w:r>
        <w:rPr>
          <w:color w:val="000000"/>
          <w:sz w:val="24"/>
        </w:rPr>
        <w:t>2015</w:t>
      </w:r>
      <w:r>
        <w:rPr>
          <w:color w:val="000000"/>
          <w:sz w:val="24"/>
        </w:rPr>
        <w:t>年四季度债券市场呈震荡上行走势，经济基本面依然不容乐观，通缩压力依旧较大。</w:t>
      </w:r>
      <w:r>
        <w:rPr>
          <w:color w:val="000000"/>
          <w:sz w:val="24"/>
        </w:rPr>
        <w:t>10</w:t>
      </w:r>
      <w:r>
        <w:rPr>
          <w:color w:val="000000"/>
          <w:sz w:val="24"/>
        </w:rPr>
        <w:t>月底央行再次降准降息，金融体系流动性充裕，银行理财和保险资金的配置需求推动债券利率再下一城。</w:t>
      </w:r>
      <w:r>
        <w:rPr>
          <w:color w:val="000000"/>
          <w:sz w:val="24"/>
        </w:rPr>
        <w:t>11</w:t>
      </w:r>
      <w:r>
        <w:rPr>
          <w:color w:val="000000"/>
          <w:sz w:val="24"/>
        </w:rPr>
        <w:t>月份，新股</w:t>
      </w:r>
      <w:r>
        <w:rPr>
          <w:color w:val="000000"/>
          <w:sz w:val="24"/>
        </w:rPr>
        <w:t>IPO</w:t>
      </w:r>
      <w:r>
        <w:rPr>
          <w:color w:val="000000"/>
          <w:sz w:val="24"/>
        </w:rPr>
        <w:t>重启的消息发布后，债市经历了短暂的调整，但</w:t>
      </w:r>
      <w:r>
        <w:rPr>
          <w:color w:val="000000"/>
          <w:sz w:val="24"/>
        </w:rPr>
        <w:t>“</w:t>
      </w:r>
      <w:r>
        <w:rPr>
          <w:color w:val="000000"/>
          <w:sz w:val="24"/>
        </w:rPr>
        <w:t>资产荒</w:t>
      </w:r>
      <w:r>
        <w:rPr>
          <w:color w:val="000000"/>
          <w:sz w:val="24"/>
        </w:rPr>
        <w:t>”</w:t>
      </w:r>
      <w:r>
        <w:rPr>
          <w:color w:val="000000"/>
          <w:sz w:val="24"/>
        </w:rPr>
        <w:t>现象仍然存在，宽松的流动性促使债市继续走牛。</w:t>
      </w:r>
    </w:p>
    <w:p w:rsidR="00A64235" w:rsidRDefault="00AA031F">
      <w:pPr>
        <w:spacing w:before="29" w:line="288" w:lineRule="auto"/>
        <w:ind w:firstLineChars="200" w:firstLine="480"/>
        <w:rPr>
          <w:color w:val="000000"/>
          <w:sz w:val="24"/>
        </w:rPr>
      </w:pPr>
      <w:r>
        <w:rPr>
          <w:color w:val="000000"/>
          <w:sz w:val="24"/>
        </w:rPr>
        <w:t>中债总全价（总值）指数在四季度上涨</w:t>
      </w:r>
      <w:r>
        <w:rPr>
          <w:color w:val="000000"/>
          <w:sz w:val="24"/>
        </w:rPr>
        <w:t>2.37%</w:t>
      </w:r>
      <w:r>
        <w:rPr>
          <w:color w:val="000000"/>
          <w:sz w:val="24"/>
        </w:rPr>
        <w:t>。本基金提高了中长久期利率债和高等级信用债的配置比例，继续分享了债券牛市的成果。四季度本基金继续低配了转债和可交换债，但高配了股票资产，积极参与了</w:t>
      </w:r>
      <w:r>
        <w:rPr>
          <w:color w:val="000000"/>
          <w:sz w:val="24"/>
        </w:rPr>
        <w:t>10</w:t>
      </w:r>
      <w:r>
        <w:rPr>
          <w:color w:val="000000"/>
          <w:sz w:val="24"/>
        </w:rPr>
        <w:t>月以来的股市反弹行情并取得了较好效果。</w:t>
      </w:r>
    </w:p>
    <w:p w:rsidR="00952A72" w:rsidRPr="007F52FA" w:rsidRDefault="00323F25" w:rsidP="007C14DF">
      <w:pPr>
        <w:spacing w:before="29" w:line="288" w:lineRule="auto"/>
        <w:ind w:firstLineChars="200" w:firstLine="480"/>
        <w:rPr>
          <w:color w:val="000000"/>
          <w:sz w:val="24"/>
        </w:rPr>
      </w:pPr>
      <w:r w:rsidRPr="007F52FA">
        <w:rPr>
          <w:color w:val="000000"/>
          <w:sz w:val="24"/>
        </w:rPr>
        <w:t>展望后市，预计</w:t>
      </w:r>
      <w:r w:rsidRPr="007F52FA">
        <w:rPr>
          <w:color w:val="000000"/>
          <w:sz w:val="24"/>
        </w:rPr>
        <w:t>2016</w:t>
      </w:r>
      <w:r w:rsidRPr="007F52FA">
        <w:rPr>
          <w:color w:val="000000"/>
          <w:sz w:val="24"/>
        </w:rPr>
        <w:t>年房地产投资仍然难以大幅改善，通缩风险或将延续，经济基本面或许仍然支持债券牛市。为了对冲汇率市场波动引起的外汇流出，以及降低实体经济融资成本，央行预计还会保持适度宽松的货币政策。金融体系目前资金量充足，对债券仍有强烈的配置需求。当前期限利差极度扁平化，</w:t>
      </w:r>
      <w:r w:rsidRPr="007F52FA">
        <w:rPr>
          <w:color w:val="000000"/>
          <w:sz w:val="24"/>
        </w:rPr>
        <w:t>2016</w:t>
      </w:r>
      <w:r w:rsidRPr="007F52FA">
        <w:rPr>
          <w:color w:val="000000"/>
          <w:sz w:val="24"/>
        </w:rPr>
        <w:t>年在央行多种货币政策工具以及利率走廊的引导下，短端利率有望下行，并且波动性下降。然而货币政策边际影响将小于财政政策。后续财政方面的举措值得密切关注，财政政策一旦走向</w:t>
      </w:r>
      <w:r w:rsidRPr="007F52FA">
        <w:rPr>
          <w:color w:val="000000"/>
          <w:sz w:val="24"/>
        </w:rPr>
        <w:t>“</w:t>
      </w:r>
      <w:r w:rsidRPr="007F52FA">
        <w:rPr>
          <w:color w:val="000000"/>
          <w:sz w:val="24"/>
        </w:rPr>
        <w:t>实际积极</w:t>
      </w:r>
      <w:r w:rsidRPr="007F52FA">
        <w:rPr>
          <w:color w:val="000000"/>
          <w:sz w:val="24"/>
        </w:rPr>
        <w:t>”</w:t>
      </w:r>
      <w:r w:rsidRPr="007F52FA">
        <w:rPr>
          <w:color w:val="000000"/>
          <w:sz w:val="24"/>
        </w:rPr>
        <w:t>，将对债券市场产生明显影响。当前债券利率已经创下</w:t>
      </w:r>
      <w:r w:rsidRPr="007F52FA">
        <w:rPr>
          <w:color w:val="000000"/>
          <w:sz w:val="24"/>
        </w:rPr>
        <w:t>10</w:t>
      </w:r>
      <w:r w:rsidRPr="007F52FA">
        <w:rPr>
          <w:color w:val="000000"/>
          <w:sz w:val="24"/>
        </w:rPr>
        <w:t>年新低，投资者情绪较为脆弱，博弈所带来的波动将有所加大。从投资者结构来看，保险和银行理财的资产负债配置思路将面临重大挑战，打破刚兑步伐加快、信用风险逐渐暴露，保险和银行理财的风险偏好趋于下行。旨在转移流动性风险和信用风险的</w:t>
      </w:r>
      <w:r w:rsidRPr="007F52FA">
        <w:rPr>
          <w:color w:val="000000"/>
          <w:sz w:val="24"/>
        </w:rPr>
        <w:t>“</w:t>
      </w:r>
      <w:r w:rsidRPr="007F52FA">
        <w:rPr>
          <w:color w:val="000000"/>
          <w:sz w:val="24"/>
        </w:rPr>
        <w:t>委外</w:t>
      </w:r>
      <w:r w:rsidRPr="007F52FA">
        <w:rPr>
          <w:color w:val="000000"/>
          <w:sz w:val="24"/>
        </w:rPr>
        <w:t>”</w:t>
      </w:r>
      <w:r w:rsidRPr="007F52FA">
        <w:rPr>
          <w:color w:val="000000"/>
          <w:sz w:val="24"/>
        </w:rPr>
        <w:t>热潮预计将延续，但</w:t>
      </w:r>
      <w:r w:rsidRPr="007F52FA">
        <w:rPr>
          <w:color w:val="000000"/>
          <w:sz w:val="24"/>
        </w:rPr>
        <w:t>“</w:t>
      </w:r>
      <w:r w:rsidRPr="007F52FA">
        <w:rPr>
          <w:color w:val="000000"/>
          <w:sz w:val="24"/>
        </w:rPr>
        <w:t>委外</w:t>
      </w:r>
      <w:r w:rsidRPr="007F52FA">
        <w:rPr>
          <w:color w:val="000000"/>
          <w:sz w:val="24"/>
        </w:rPr>
        <w:t>”</w:t>
      </w:r>
      <w:r w:rsidRPr="007F52FA">
        <w:rPr>
          <w:color w:val="000000"/>
          <w:sz w:val="24"/>
        </w:rPr>
        <w:t>的道德风险爆发也许也近在眼前。股债混合产品为机构带来增厚收益的希望的同时，也不可避免地加大了其投资回报的波动性。从金融体系来看，金融深化下各类金融机构的</w:t>
      </w:r>
      <w:r w:rsidRPr="007F52FA">
        <w:rPr>
          <w:color w:val="000000"/>
          <w:sz w:val="24"/>
        </w:rPr>
        <w:t>“</w:t>
      </w:r>
      <w:r w:rsidRPr="007F52FA">
        <w:rPr>
          <w:color w:val="000000"/>
          <w:sz w:val="24"/>
        </w:rPr>
        <w:t>影子银行</w:t>
      </w:r>
      <w:r w:rsidRPr="007F52FA">
        <w:rPr>
          <w:color w:val="000000"/>
          <w:sz w:val="24"/>
        </w:rPr>
        <w:t>”</w:t>
      </w:r>
      <w:r w:rsidRPr="007F52FA">
        <w:rPr>
          <w:color w:val="000000"/>
          <w:sz w:val="24"/>
        </w:rPr>
        <w:t>业务进一步复杂化，刚性兑付下市场的野蛮生长与管理层维持金融稳定的目标并不相容，博弈过程则难以预料。总体来看，市场波动风险将明显加大。本基金</w:t>
      </w:r>
      <w:r w:rsidRPr="007F52FA">
        <w:rPr>
          <w:color w:val="000000"/>
          <w:sz w:val="24"/>
        </w:rPr>
        <w:t>2016</w:t>
      </w:r>
      <w:r w:rsidRPr="007F52FA">
        <w:rPr>
          <w:color w:val="000000"/>
          <w:sz w:val="24"/>
        </w:rPr>
        <w:t>年一季度考虑视情况适当缩短久期，继续维持高等级信用债和利率债的主体仓位，以审慎的操作风格应对债券市场可能的波动。新转债和可交换债加速发行后，本基金或将择机、择券进行上述资产的波段操作。对于股票资产，本基金将继续以灵活仓位参与，力争取得绝对收益，力求在规避大幅回撤风险的前提下增厚基金净值。</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日，交银强化回报债券</w:t>
      </w:r>
      <w:r w:rsidRPr="007F52FA">
        <w:rPr>
          <w:color w:val="000000"/>
          <w:sz w:val="24"/>
        </w:rPr>
        <w:t>A/B</w:t>
      </w:r>
      <w:r w:rsidRPr="007F52FA">
        <w:rPr>
          <w:color w:val="000000"/>
          <w:sz w:val="24"/>
        </w:rPr>
        <w:t>份额净值为</w:t>
      </w:r>
      <w:r w:rsidRPr="007F52FA">
        <w:rPr>
          <w:color w:val="000000"/>
          <w:sz w:val="24"/>
        </w:rPr>
        <w:t>1.255</w:t>
      </w:r>
      <w:r w:rsidRPr="007F52FA">
        <w:rPr>
          <w:color w:val="000000"/>
          <w:sz w:val="24"/>
        </w:rPr>
        <w:t>元，本报告期份额净值增长率为</w:t>
      </w:r>
      <w:r w:rsidRPr="007F52FA">
        <w:rPr>
          <w:color w:val="000000"/>
          <w:sz w:val="24"/>
        </w:rPr>
        <w:t>8.10%</w:t>
      </w:r>
      <w:r w:rsidRPr="007F52FA">
        <w:rPr>
          <w:color w:val="000000"/>
          <w:sz w:val="24"/>
        </w:rPr>
        <w:t>，同期业绩比较基准增长率为</w:t>
      </w:r>
      <w:r w:rsidRPr="007F52FA">
        <w:rPr>
          <w:color w:val="000000"/>
          <w:sz w:val="24"/>
        </w:rPr>
        <w:t>1.81%</w:t>
      </w:r>
      <w:r w:rsidRPr="007F52FA">
        <w:rPr>
          <w:color w:val="000000"/>
          <w:sz w:val="24"/>
        </w:rPr>
        <w:t>；交银强化回报债券</w:t>
      </w:r>
      <w:r w:rsidRPr="007F52FA">
        <w:rPr>
          <w:color w:val="000000"/>
          <w:sz w:val="24"/>
        </w:rPr>
        <w:t>C</w:t>
      </w:r>
      <w:r w:rsidRPr="007F52FA">
        <w:rPr>
          <w:color w:val="000000"/>
          <w:sz w:val="24"/>
        </w:rPr>
        <w:t>份额净值为</w:t>
      </w:r>
      <w:r w:rsidRPr="007F52FA">
        <w:rPr>
          <w:color w:val="000000"/>
          <w:sz w:val="24"/>
        </w:rPr>
        <w:t>1.248</w:t>
      </w:r>
      <w:r w:rsidRPr="007F52FA">
        <w:rPr>
          <w:color w:val="000000"/>
          <w:sz w:val="24"/>
        </w:rPr>
        <w:t>元，本报告期份额净值增长率为</w:t>
      </w:r>
      <w:r w:rsidRPr="007F52FA">
        <w:rPr>
          <w:color w:val="000000"/>
          <w:sz w:val="24"/>
        </w:rPr>
        <w:t>7.96%</w:t>
      </w:r>
      <w:r w:rsidRPr="007F52FA">
        <w:rPr>
          <w:color w:val="000000"/>
          <w:sz w:val="24"/>
        </w:rPr>
        <w:t>，同期业绩比较基准增长率为</w:t>
      </w:r>
      <w:r w:rsidRPr="007F52FA">
        <w:rPr>
          <w:color w:val="000000"/>
          <w:sz w:val="24"/>
        </w:rPr>
        <w:t>1.81%</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7F50FB">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99,411,378.03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7.48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99,411,378.03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7.48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884,784,454.30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66.56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884,784,454.30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66.56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239,804,134.03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18.04</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105,309,996.36</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7.92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1,329,309,962.72</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16,700.00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0.00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57,372,860.00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5.61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4,746,000.00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0.46</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1,875,600.00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0.18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9,094,911.36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0.89</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9,527,328.67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0.93</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16,772,020.00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1.64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5,958.00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99,411,378.03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9.73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A64235">
        <w:trPr>
          <w:jc w:val="center"/>
        </w:trPr>
        <w:tc>
          <w:tcPr>
            <w:tcW w:w="850" w:type="dxa"/>
            <w:vAlign w:val="center"/>
          </w:tcPr>
          <w:p w:rsidR="00A64235" w:rsidRDefault="00AA031F">
            <w:pPr>
              <w:jc w:val="center"/>
            </w:pPr>
            <w:r>
              <w:rPr>
                <w:color w:val="000000"/>
                <w:sz w:val="24"/>
              </w:rPr>
              <w:t>1</w:t>
            </w:r>
          </w:p>
        </w:tc>
        <w:tc>
          <w:tcPr>
            <w:tcW w:w="1327" w:type="dxa"/>
            <w:vAlign w:val="center"/>
          </w:tcPr>
          <w:p w:rsidR="00A64235" w:rsidRDefault="00AA031F">
            <w:pPr>
              <w:jc w:val="center"/>
            </w:pPr>
            <w:r>
              <w:rPr>
                <w:color w:val="000000"/>
                <w:sz w:val="24"/>
              </w:rPr>
              <w:t>600104</w:t>
            </w:r>
          </w:p>
        </w:tc>
        <w:tc>
          <w:tcPr>
            <w:tcW w:w="1769" w:type="dxa"/>
            <w:vAlign w:val="center"/>
          </w:tcPr>
          <w:p w:rsidR="00A64235" w:rsidRDefault="00AA031F">
            <w:pPr>
              <w:jc w:val="center"/>
            </w:pPr>
            <w:r>
              <w:rPr>
                <w:color w:val="000000"/>
                <w:sz w:val="24"/>
              </w:rPr>
              <w:t>上汽集团</w:t>
            </w:r>
          </w:p>
        </w:tc>
        <w:tc>
          <w:tcPr>
            <w:tcW w:w="1327" w:type="dxa"/>
            <w:vAlign w:val="center"/>
          </w:tcPr>
          <w:p w:rsidR="00A64235" w:rsidRDefault="00AA031F">
            <w:pPr>
              <w:jc w:val="right"/>
            </w:pPr>
            <w:r>
              <w:rPr>
                <w:color w:val="000000"/>
                <w:sz w:val="24"/>
              </w:rPr>
              <w:t>350,000</w:t>
            </w:r>
          </w:p>
        </w:tc>
        <w:tc>
          <w:tcPr>
            <w:tcW w:w="1915" w:type="dxa"/>
            <w:vAlign w:val="center"/>
          </w:tcPr>
          <w:p w:rsidR="00A64235" w:rsidRDefault="00AA031F">
            <w:pPr>
              <w:jc w:val="right"/>
            </w:pPr>
            <w:r>
              <w:rPr>
                <w:color w:val="000000"/>
                <w:sz w:val="24"/>
              </w:rPr>
              <w:t>7,427,000.00</w:t>
            </w:r>
          </w:p>
        </w:tc>
        <w:tc>
          <w:tcPr>
            <w:tcW w:w="1680" w:type="dxa"/>
            <w:vAlign w:val="center"/>
          </w:tcPr>
          <w:p w:rsidR="00A64235" w:rsidRDefault="00AA031F">
            <w:pPr>
              <w:jc w:val="right"/>
            </w:pPr>
            <w:r>
              <w:rPr>
                <w:color w:val="000000"/>
                <w:sz w:val="24"/>
              </w:rPr>
              <w:t>0.73</w:t>
            </w:r>
          </w:p>
        </w:tc>
      </w:tr>
      <w:tr w:rsidR="00A64235">
        <w:trPr>
          <w:jc w:val="center"/>
        </w:trPr>
        <w:tc>
          <w:tcPr>
            <w:tcW w:w="850" w:type="dxa"/>
            <w:vAlign w:val="center"/>
          </w:tcPr>
          <w:p w:rsidR="00A64235" w:rsidRDefault="00AA031F">
            <w:pPr>
              <w:jc w:val="center"/>
            </w:pPr>
            <w:r>
              <w:rPr>
                <w:color w:val="000000"/>
                <w:sz w:val="24"/>
              </w:rPr>
              <w:t>2</w:t>
            </w:r>
          </w:p>
        </w:tc>
        <w:tc>
          <w:tcPr>
            <w:tcW w:w="1327" w:type="dxa"/>
            <w:vAlign w:val="center"/>
          </w:tcPr>
          <w:p w:rsidR="00A64235" w:rsidRDefault="00AA031F">
            <w:pPr>
              <w:jc w:val="center"/>
            </w:pPr>
            <w:r>
              <w:rPr>
                <w:color w:val="000000"/>
                <w:sz w:val="24"/>
              </w:rPr>
              <w:t>002539</w:t>
            </w:r>
          </w:p>
        </w:tc>
        <w:tc>
          <w:tcPr>
            <w:tcW w:w="1769" w:type="dxa"/>
            <w:vAlign w:val="center"/>
          </w:tcPr>
          <w:p w:rsidR="00A64235" w:rsidRDefault="00AA031F">
            <w:pPr>
              <w:jc w:val="center"/>
            </w:pPr>
            <w:r>
              <w:rPr>
                <w:color w:val="000000"/>
                <w:sz w:val="24"/>
              </w:rPr>
              <w:t>新都化工</w:t>
            </w:r>
          </w:p>
        </w:tc>
        <w:tc>
          <w:tcPr>
            <w:tcW w:w="1327" w:type="dxa"/>
            <w:vAlign w:val="center"/>
          </w:tcPr>
          <w:p w:rsidR="00A64235" w:rsidRDefault="00AA031F">
            <w:pPr>
              <w:jc w:val="right"/>
            </w:pPr>
            <w:r>
              <w:rPr>
                <w:color w:val="000000"/>
                <w:sz w:val="24"/>
              </w:rPr>
              <w:t>400,000</w:t>
            </w:r>
          </w:p>
        </w:tc>
        <w:tc>
          <w:tcPr>
            <w:tcW w:w="1915" w:type="dxa"/>
            <w:vAlign w:val="center"/>
          </w:tcPr>
          <w:p w:rsidR="00A64235" w:rsidRDefault="00AA031F">
            <w:pPr>
              <w:jc w:val="right"/>
            </w:pPr>
            <w:r>
              <w:rPr>
                <w:color w:val="000000"/>
                <w:sz w:val="24"/>
              </w:rPr>
              <w:t>6,400,000.00</w:t>
            </w:r>
          </w:p>
        </w:tc>
        <w:tc>
          <w:tcPr>
            <w:tcW w:w="1680" w:type="dxa"/>
            <w:vAlign w:val="center"/>
          </w:tcPr>
          <w:p w:rsidR="00A64235" w:rsidRDefault="00AA031F">
            <w:pPr>
              <w:jc w:val="right"/>
            </w:pPr>
            <w:r>
              <w:rPr>
                <w:color w:val="000000"/>
                <w:sz w:val="24"/>
              </w:rPr>
              <w:t>0.63</w:t>
            </w:r>
          </w:p>
        </w:tc>
      </w:tr>
      <w:tr w:rsidR="00A64235">
        <w:trPr>
          <w:jc w:val="center"/>
        </w:trPr>
        <w:tc>
          <w:tcPr>
            <w:tcW w:w="850" w:type="dxa"/>
            <w:vAlign w:val="center"/>
          </w:tcPr>
          <w:p w:rsidR="00A64235" w:rsidRDefault="00AA031F">
            <w:pPr>
              <w:jc w:val="center"/>
            </w:pPr>
            <w:r>
              <w:rPr>
                <w:color w:val="000000"/>
                <w:sz w:val="24"/>
              </w:rPr>
              <w:t>3</w:t>
            </w:r>
          </w:p>
        </w:tc>
        <w:tc>
          <w:tcPr>
            <w:tcW w:w="1327" w:type="dxa"/>
            <w:vAlign w:val="center"/>
          </w:tcPr>
          <w:p w:rsidR="00A64235" w:rsidRDefault="00AA031F">
            <w:pPr>
              <w:jc w:val="center"/>
            </w:pPr>
            <w:r>
              <w:rPr>
                <w:color w:val="000000"/>
                <w:sz w:val="24"/>
              </w:rPr>
              <w:t>601009</w:t>
            </w:r>
          </w:p>
        </w:tc>
        <w:tc>
          <w:tcPr>
            <w:tcW w:w="1769" w:type="dxa"/>
            <w:vAlign w:val="center"/>
          </w:tcPr>
          <w:p w:rsidR="00A64235" w:rsidRDefault="00AA031F">
            <w:pPr>
              <w:jc w:val="center"/>
            </w:pPr>
            <w:r>
              <w:rPr>
                <w:color w:val="000000"/>
                <w:sz w:val="24"/>
              </w:rPr>
              <w:t>南京银行</w:t>
            </w:r>
          </w:p>
        </w:tc>
        <w:tc>
          <w:tcPr>
            <w:tcW w:w="1327" w:type="dxa"/>
            <w:vAlign w:val="center"/>
          </w:tcPr>
          <w:p w:rsidR="00A64235" w:rsidRDefault="00AA031F">
            <w:pPr>
              <w:jc w:val="right"/>
            </w:pPr>
            <w:r>
              <w:rPr>
                <w:color w:val="000000"/>
                <w:sz w:val="24"/>
              </w:rPr>
              <w:t>350,000</w:t>
            </w:r>
          </w:p>
        </w:tc>
        <w:tc>
          <w:tcPr>
            <w:tcW w:w="1915" w:type="dxa"/>
            <w:vAlign w:val="center"/>
          </w:tcPr>
          <w:p w:rsidR="00A64235" w:rsidRDefault="00AA031F">
            <w:pPr>
              <w:jc w:val="right"/>
            </w:pPr>
            <w:r>
              <w:rPr>
                <w:color w:val="000000"/>
                <w:sz w:val="24"/>
              </w:rPr>
              <w:t>6,195,000.00</w:t>
            </w:r>
          </w:p>
        </w:tc>
        <w:tc>
          <w:tcPr>
            <w:tcW w:w="1680" w:type="dxa"/>
            <w:vAlign w:val="center"/>
          </w:tcPr>
          <w:p w:rsidR="00A64235" w:rsidRDefault="00AA031F">
            <w:pPr>
              <w:jc w:val="right"/>
            </w:pPr>
            <w:r>
              <w:rPr>
                <w:color w:val="000000"/>
                <w:sz w:val="24"/>
              </w:rPr>
              <w:t>0.61</w:t>
            </w:r>
          </w:p>
        </w:tc>
      </w:tr>
      <w:tr w:rsidR="00A64235">
        <w:trPr>
          <w:jc w:val="center"/>
        </w:trPr>
        <w:tc>
          <w:tcPr>
            <w:tcW w:w="850" w:type="dxa"/>
            <w:vAlign w:val="center"/>
          </w:tcPr>
          <w:p w:rsidR="00A64235" w:rsidRDefault="00AA031F">
            <w:pPr>
              <w:jc w:val="center"/>
            </w:pPr>
            <w:r>
              <w:rPr>
                <w:color w:val="000000"/>
                <w:sz w:val="24"/>
              </w:rPr>
              <w:t>4</w:t>
            </w:r>
          </w:p>
        </w:tc>
        <w:tc>
          <w:tcPr>
            <w:tcW w:w="1327" w:type="dxa"/>
            <w:vAlign w:val="center"/>
          </w:tcPr>
          <w:p w:rsidR="00A64235" w:rsidRDefault="00AA031F">
            <w:pPr>
              <w:jc w:val="center"/>
            </w:pPr>
            <w:r>
              <w:rPr>
                <w:color w:val="000000"/>
                <w:sz w:val="24"/>
              </w:rPr>
              <w:t>601988</w:t>
            </w:r>
          </w:p>
        </w:tc>
        <w:tc>
          <w:tcPr>
            <w:tcW w:w="1769" w:type="dxa"/>
            <w:vAlign w:val="center"/>
          </w:tcPr>
          <w:p w:rsidR="00A64235" w:rsidRDefault="00AA031F">
            <w:pPr>
              <w:jc w:val="center"/>
            </w:pPr>
            <w:r>
              <w:rPr>
                <w:color w:val="000000"/>
                <w:sz w:val="24"/>
              </w:rPr>
              <w:t>中国银行</w:t>
            </w:r>
          </w:p>
        </w:tc>
        <w:tc>
          <w:tcPr>
            <w:tcW w:w="1327" w:type="dxa"/>
            <w:vAlign w:val="center"/>
          </w:tcPr>
          <w:p w:rsidR="00A64235" w:rsidRDefault="00AA031F">
            <w:pPr>
              <w:jc w:val="right"/>
            </w:pPr>
            <w:r>
              <w:rPr>
                <w:color w:val="000000"/>
                <w:sz w:val="24"/>
              </w:rPr>
              <w:t>1,502,000</w:t>
            </w:r>
          </w:p>
        </w:tc>
        <w:tc>
          <w:tcPr>
            <w:tcW w:w="1915" w:type="dxa"/>
            <w:vAlign w:val="center"/>
          </w:tcPr>
          <w:p w:rsidR="00A64235" w:rsidRDefault="00AA031F">
            <w:pPr>
              <w:jc w:val="right"/>
            </w:pPr>
            <w:r>
              <w:rPr>
                <w:color w:val="000000"/>
                <w:sz w:val="24"/>
              </w:rPr>
              <w:t>6,023,020.00</w:t>
            </w:r>
          </w:p>
        </w:tc>
        <w:tc>
          <w:tcPr>
            <w:tcW w:w="1680" w:type="dxa"/>
            <w:vAlign w:val="center"/>
          </w:tcPr>
          <w:p w:rsidR="00A64235" w:rsidRDefault="00AA031F">
            <w:pPr>
              <w:jc w:val="right"/>
            </w:pPr>
            <w:r>
              <w:rPr>
                <w:color w:val="000000"/>
                <w:sz w:val="24"/>
              </w:rPr>
              <w:t>0.59</w:t>
            </w:r>
          </w:p>
        </w:tc>
      </w:tr>
      <w:tr w:rsidR="00A64235">
        <w:trPr>
          <w:jc w:val="center"/>
        </w:trPr>
        <w:tc>
          <w:tcPr>
            <w:tcW w:w="850" w:type="dxa"/>
            <w:vAlign w:val="center"/>
          </w:tcPr>
          <w:p w:rsidR="00A64235" w:rsidRDefault="00AA031F">
            <w:pPr>
              <w:jc w:val="center"/>
            </w:pPr>
            <w:r>
              <w:rPr>
                <w:color w:val="000000"/>
                <w:sz w:val="24"/>
              </w:rPr>
              <w:t>5</w:t>
            </w:r>
          </w:p>
        </w:tc>
        <w:tc>
          <w:tcPr>
            <w:tcW w:w="1327" w:type="dxa"/>
            <w:vAlign w:val="center"/>
          </w:tcPr>
          <w:p w:rsidR="00A64235" w:rsidRDefault="00AA031F">
            <w:pPr>
              <w:jc w:val="center"/>
            </w:pPr>
            <w:r>
              <w:rPr>
                <w:color w:val="000000"/>
                <w:sz w:val="24"/>
              </w:rPr>
              <w:t>300161</w:t>
            </w:r>
          </w:p>
        </w:tc>
        <w:tc>
          <w:tcPr>
            <w:tcW w:w="1769" w:type="dxa"/>
            <w:vAlign w:val="center"/>
          </w:tcPr>
          <w:p w:rsidR="00A64235" w:rsidRDefault="00AA031F">
            <w:pPr>
              <w:jc w:val="center"/>
            </w:pPr>
            <w:r>
              <w:rPr>
                <w:color w:val="000000"/>
                <w:sz w:val="24"/>
              </w:rPr>
              <w:t>华中数控</w:t>
            </w:r>
          </w:p>
        </w:tc>
        <w:tc>
          <w:tcPr>
            <w:tcW w:w="1327" w:type="dxa"/>
            <w:vAlign w:val="center"/>
          </w:tcPr>
          <w:p w:rsidR="00A64235" w:rsidRDefault="00AA031F">
            <w:pPr>
              <w:jc w:val="right"/>
            </w:pPr>
            <w:r>
              <w:rPr>
                <w:color w:val="000000"/>
                <w:sz w:val="24"/>
              </w:rPr>
              <w:t>150,000</w:t>
            </w:r>
          </w:p>
        </w:tc>
        <w:tc>
          <w:tcPr>
            <w:tcW w:w="1915" w:type="dxa"/>
            <w:vAlign w:val="center"/>
          </w:tcPr>
          <w:p w:rsidR="00A64235" w:rsidRDefault="00AA031F">
            <w:pPr>
              <w:jc w:val="right"/>
            </w:pPr>
            <w:r>
              <w:rPr>
                <w:color w:val="000000"/>
                <w:sz w:val="24"/>
              </w:rPr>
              <w:t>5,508,000.00</w:t>
            </w:r>
          </w:p>
        </w:tc>
        <w:tc>
          <w:tcPr>
            <w:tcW w:w="1680" w:type="dxa"/>
            <w:vAlign w:val="center"/>
          </w:tcPr>
          <w:p w:rsidR="00A64235" w:rsidRDefault="00AA031F">
            <w:pPr>
              <w:jc w:val="right"/>
            </w:pPr>
            <w:r>
              <w:rPr>
                <w:color w:val="000000"/>
                <w:sz w:val="24"/>
              </w:rPr>
              <w:t>0.54</w:t>
            </w:r>
          </w:p>
        </w:tc>
      </w:tr>
      <w:tr w:rsidR="00A64235">
        <w:trPr>
          <w:jc w:val="center"/>
        </w:trPr>
        <w:tc>
          <w:tcPr>
            <w:tcW w:w="850" w:type="dxa"/>
            <w:vAlign w:val="center"/>
          </w:tcPr>
          <w:p w:rsidR="00A64235" w:rsidRDefault="00AA031F">
            <w:pPr>
              <w:jc w:val="center"/>
            </w:pPr>
            <w:r>
              <w:rPr>
                <w:color w:val="000000"/>
                <w:sz w:val="24"/>
              </w:rPr>
              <w:t>6</w:t>
            </w:r>
          </w:p>
        </w:tc>
        <w:tc>
          <w:tcPr>
            <w:tcW w:w="1327" w:type="dxa"/>
            <w:vAlign w:val="center"/>
          </w:tcPr>
          <w:p w:rsidR="00A64235" w:rsidRDefault="00AA031F">
            <w:pPr>
              <w:jc w:val="center"/>
            </w:pPr>
            <w:r>
              <w:rPr>
                <w:color w:val="000000"/>
                <w:sz w:val="24"/>
              </w:rPr>
              <w:t>000951</w:t>
            </w:r>
          </w:p>
        </w:tc>
        <w:tc>
          <w:tcPr>
            <w:tcW w:w="1769" w:type="dxa"/>
            <w:vAlign w:val="center"/>
          </w:tcPr>
          <w:p w:rsidR="00A64235" w:rsidRDefault="00AA031F">
            <w:pPr>
              <w:jc w:val="center"/>
            </w:pPr>
            <w:r>
              <w:rPr>
                <w:color w:val="000000"/>
                <w:sz w:val="24"/>
              </w:rPr>
              <w:t>中国重汽</w:t>
            </w:r>
          </w:p>
        </w:tc>
        <w:tc>
          <w:tcPr>
            <w:tcW w:w="1327" w:type="dxa"/>
            <w:vAlign w:val="center"/>
          </w:tcPr>
          <w:p w:rsidR="00A64235" w:rsidRDefault="00AA031F">
            <w:pPr>
              <w:jc w:val="right"/>
            </w:pPr>
            <w:r>
              <w:rPr>
                <w:color w:val="000000"/>
                <w:sz w:val="24"/>
              </w:rPr>
              <w:t>300,000</w:t>
            </w:r>
          </w:p>
        </w:tc>
        <w:tc>
          <w:tcPr>
            <w:tcW w:w="1915" w:type="dxa"/>
            <w:vAlign w:val="center"/>
          </w:tcPr>
          <w:p w:rsidR="00A64235" w:rsidRDefault="00AA031F">
            <w:pPr>
              <w:jc w:val="right"/>
            </w:pPr>
            <w:r>
              <w:rPr>
                <w:color w:val="000000"/>
                <w:sz w:val="24"/>
              </w:rPr>
              <w:t>5,430,000.00</w:t>
            </w:r>
          </w:p>
        </w:tc>
        <w:tc>
          <w:tcPr>
            <w:tcW w:w="1680" w:type="dxa"/>
            <w:vAlign w:val="center"/>
          </w:tcPr>
          <w:p w:rsidR="00A64235" w:rsidRDefault="00AA031F">
            <w:pPr>
              <w:jc w:val="right"/>
            </w:pPr>
            <w:r>
              <w:rPr>
                <w:color w:val="000000"/>
                <w:sz w:val="24"/>
              </w:rPr>
              <w:t>0.53</w:t>
            </w:r>
          </w:p>
        </w:tc>
      </w:tr>
      <w:tr w:rsidR="00A64235">
        <w:trPr>
          <w:jc w:val="center"/>
        </w:trPr>
        <w:tc>
          <w:tcPr>
            <w:tcW w:w="850" w:type="dxa"/>
            <w:vAlign w:val="center"/>
          </w:tcPr>
          <w:p w:rsidR="00A64235" w:rsidRDefault="00AA031F">
            <w:pPr>
              <w:jc w:val="center"/>
            </w:pPr>
            <w:r>
              <w:rPr>
                <w:color w:val="000000"/>
                <w:sz w:val="24"/>
              </w:rPr>
              <w:t>7</w:t>
            </w:r>
          </w:p>
        </w:tc>
        <w:tc>
          <w:tcPr>
            <w:tcW w:w="1327" w:type="dxa"/>
            <w:vAlign w:val="center"/>
          </w:tcPr>
          <w:p w:rsidR="00A64235" w:rsidRDefault="00AA031F">
            <w:pPr>
              <w:jc w:val="center"/>
            </w:pPr>
            <w:r>
              <w:rPr>
                <w:color w:val="000000"/>
                <w:sz w:val="24"/>
              </w:rPr>
              <w:t>300290</w:t>
            </w:r>
          </w:p>
        </w:tc>
        <w:tc>
          <w:tcPr>
            <w:tcW w:w="1769" w:type="dxa"/>
            <w:vAlign w:val="center"/>
          </w:tcPr>
          <w:p w:rsidR="00A64235" w:rsidRDefault="00AA031F">
            <w:pPr>
              <w:jc w:val="center"/>
            </w:pPr>
            <w:r>
              <w:rPr>
                <w:color w:val="000000"/>
                <w:sz w:val="24"/>
              </w:rPr>
              <w:t>荣科科技</w:t>
            </w:r>
          </w:p>
        </w:tc>
        <w:tc>
          <w:tcPr>
            <w:tcW w:w="1327" w:type="dxa"/>
            <w:vAlign w:val="center"/>
          </w:tcPr>
          <w:p w:rsidR="00A64235" w:rsidRDefault="00AA031F">
            <w:pPr>
              <w:jc w:val="right"/>
            </w:pPr>
            <w:r>
              <w:rPr>
                <w:color w:val="000000"/>
                <w:sz w:val="24"/>
              </w:rPr>
              <w:t>199,996</w:t>
            </w:r>
          </w:p>
        </w:tc>
        <w:tc>
          <w:tcPr>
            <w:tcW w:w="1915" w:type="dxa"/>
            <w:vAlign w:val="center"/>
          </w:tcPr>
          <w:p w:rsidR="00A64235" w:rsidRDefault="00AA031F">
            <w:pPr>
              <w:jc w:val="right"/>
            </w:pPr>
            <w:r>
              <w:rPr>
                <w:color w:val="000000"/>
                <w:sz w:val="24"/>
              </w:rPr>
              <w:t>5,043,899.12</w:t>
            </w:r>
          </w:p>
        </w:tc>
        <w:tc>
          <w:tcPr>
            <w:tcW w:w="1680" w:type="dxa"/>
            <w:vAlign w:val="center"/>
          </w:tcPr>
          <w:p w:rsidR="00A64235" w:rsidRDefault="00AA031F">
            <w:pPr>
              <w:jc w:val="right"/>
            </w:pPr>
            <w:r>
              <w:rPr>
                <w:color w:val="000000"/>
                <w:sz w:val="24"/>
              </w:rPr>
              <w:t>0.49</w:t>
            </w:r>
          </w:p>
        </w:tc>
      </w:tr>
      <w:tr w:rsidR="00A64235">
        <w:trPr>
          <w:jc w:val="center"/>
        </w:trPr>
        <w:tc>
          <w:tcPr>
            <w:tcW w:w="850" w:type="dxa"/>
            <w:vAlign w:val="center"/>
          </w:tcPr>
          <w:p w:rsidR="00A64235" w:rsidRDefault="00AA031F">
            <w:pPr>
              <w:jc w:val="center"/>
            </w:pPr>
            <w:r>
              <w:rPr>
                <w:color w:val="000000"/>
                <w:sz w:val="24"/>
              </w:rPr>
              <w:t>8</w:t>
            </w:r>
          </w:p>
        </w:tc>
        <w:tc>
          <w:tcPr>
            <w:tcW w:w="1327" w:type="dxa"/>
            <w:vAlign w:val="center"/>
          </w:tcPr>
          <w:p w:rsidR="00A64235" w:rsidRDefault="00AA031F">
            <w:pPr>
              <w:jc w:val="center"/>
            </w:pPr>
            <w:r>
              <w:rPr>
                <w:color w:val="000000"/>
                <w:sz w:val="24"/>
              </w:rPr>
              <w:t>600900</w:t>
            </w:r>
          </w:p>
        </w:tc>
        <w:tc>
          <w:tcPr>
            <w:tcW w:w="1769" w:type="dxa"/>
            <w:vAlign w:val="center"/>
          </w:tcPr>
          <w:p w:rsidR="00A64235" w:rsidRDefault="00AA031F">
            <w:pPr>
              <w:jc w:val="center"/>
            </w:pPr>
            <w:r>
              <w:rPr>
                <w:color w:val="000000"/>
                <w:sz w:val="24"/>
              </w:rPr>
              <w:t>长江电力</w:t>
            </w:r>
          </w:p>
        </w:tc>
        <w:tc>
          <w:tcPr>
            <w:tcW w:w="1327" w:type="dxa"/>
            <w:vAlign w:val="center"/>
          </w:tcPr>
          <w:p w:rsidR="00A64235" w:rsidRDefault="00AA031F">
            <w:pPr>
              <w:jc w:val="right"/>
            </w:pPr>
            <w:r>
              <w:rPr>
                <w:color w:val="000000"/>
                <w:sz w:val="24"/>
              </w:rPr>
              <w:t>350,000</w:t>
            </w:r>
          </w:p>
        </w:tc>
        <w:tc>
          <w:tcPr>
            <w:tcW w:w="1915" w:type="dxa"/>
            <w:vAlign w:val="center"/>
          </w:tcPr>
          <w:p w:rsidR="00A64235" w:rsidRDefault="00AA031F">
            <w:pPr>
              <w:jc w:val="right"/>
            </w:pPr>
            <w:r>
              <w:rPr>
                <w:color w:val="000000"/>
                <w:sz w:val="24"/>
              </w:rPr>
              <w:t>4,746,000.00</w:t>
            </w:r>
          </w:p>
        </w:tc>
        <w:tc>
          <w:tcPr>
            <w:tcW w:w="1680" w:type="dxa"/>
            <w:vAlign w:val="center"/>
          </w:tcPr>
          <w:p w:rsidR="00A64235" w:rsidRDefault="00AA031F">
            <w:pPr>
              <w:jc w:val="right"/>
            </w:pPr>
            <w:r>
              <w:rPr>
                <w:color w:val="000000"/>
                <w:sz w:val="24"/>
              </w:rPr>
              <w:t>0.46</w:t>
            </w:r>
          </w:p>
        </w:tc>
      </w:tr>
      <w:tr w:rsidR="00A64235">
        <w:trPr>
          <w:jc w:val="center"/>
        </w:trPr>
        <w:tc>
          <w:tcPr>
            <w:tcW w:w="850" w:type="dxa"/>
            <w:vAlign w:val="center"/>
          </w:tcPr>
          <w:p w:rsidR="00A64235" w:rsidRDefault="00AA031F">
            <w:pPr>
              <w:jc w:val="center"/>
            </w:pPr>
            <w:r>
              <w:rPr>
                <w:color w:val="000000"/>
                <w:sz w:val="24"/>
              </w:rPr>
              <w:t>9</w:t>
            </w:r>
          </w:p>
        </w:tc>
        <w:tc>
          <w:tcPr>
            <w:tcW w:w="1327" w:type="dxa"/>
            <w:vAlign w:val="center"/>
          </w:tcPr>
          <w:p w:rsidR="00A64235" w:rsidRDefault="00AA031F">
            <w:pPr>
              <w:jc w:val="center"/>
            </w:pPr>
            <w:r>
              <w:rPr>
                <w:color w:val="000000"/>
                <w:sz w:val="24"/>
              </w:rPr>
              <w:t>002329</w:t>
            </w:r>
          </w:p>
        </w:tc>
        <w:tc>
          <w:tcPr>
            <w:tcW w:w="1769" w:type="dxa"/>
            <w:vAlign w:val="center"/>
          </w:tcPr>
          <w:p w:rsidR="00A64235" w:rsidRDefault="00AA031F">
            <w:pPr>
              <w:jc w:val="center"/>
            </w:pPr>
            <w:r>
              <w:rPr>
                <w:color w:val="000000"/>
                <w:sz w:val="24"/>
              </w:rPr>
              <w:t>皇氏集团</w:t>
            </w:r>
          </w:p>
        </w:tc>
        <w:tc>
          <w:tcPr>
            <w:tcW w:w="1327" w:type="dxa"/>
            <w:vAlign w:val="center"/>
          </w:tcPr>
          <w:p w:rsidR="00A64235" w:rsidRDefault="00AA031F">
            <w:pPr>
              <w:jc w:val="right"/>
            </w:pPr>
            <w:r>
              <w:rPr>
                <w:color w:val="000000"/>
                <w:sz w:val="24"/>
              </w:rPr>
              <w:t>170,000</w:t>
            </w:r>
          </w:p>
        </w:tc>
        <w:tc>
          <w:tcPr>
            <w:tcW w:w="1915" w:type="dxa"/>
            <w:vAlign w:val="center"/>
          </w:tcPr>
          <w:p w:rsidR="00A64235" w:rsidRDefault="00AA031F">
            <w:pPr>
              <w:jc w:val="right"/>
            </w:pPr>
            <w:r>
              <w:rPr>
                <w:color w:val="000000"/>
                <w:sz w:val="24"/>
              </w:rPr>
              <w:t>4,743,000.00</w:t>
            </w:r>
          </w:p>
        </w:tc>
        <w:tc>
          <w:tcPr>
            <w:tcW w:w="1680" w:type="dxa"/>
            <w:vAlign w:val="center"/>
          </w:tcPr>
          <w:p w:rsidR="00A64235" w:rsidRDefault="00AA031F">
            <w:pPr>
              <w:jc w:val="right"/>
            </w:pPr>
            <w:r>
              <w:rPr>
                <w:color w:val="000000"/>
                <w:sz w:val="24"/>
              </w:rPr>
              <w:t>0.46</w:t>
            </w:r>
          </w:p>
        </w:tc>
      </w:tr>
      <w:tr w:rsidR="00A64235">
        <w:trPr>
          <w:jc w:val="center"/>
        </w:trPr>
        <w:tc>
          <w:tcPr>
            <w:tcW w:w="850" w:type="dxa"/>
            <w:vAlign w:val="center"/>
          </w:tcPr>
          <w:p w:rsidR="00A64235" w:rsidRDefault="00AA031F">
            <w:pPr>
              <w:jc w:val="center"/>
            </w:pPr>
            <w:r>
              <w:rPr>
                <w:color w:val="000000"/>
                <w:sz w:val="24"/>
              </w:rPr>
              <w:t>10</w:t>
            </w:r>
          </w:p>
        </w:tc>
        <w:tc>
          <w:tcPr>
            <w:tcW w:w="1327" w:type="dxa"/>
            <w:vAlign w:val="center"/>
          </w:tcPr>
          <w:p w:rsidR="00A64235" w:rsidRDefault="00AA031F">
            <w:pPr>
              <w:jc w:val="center"/>
            </w:pPr>
            <w:r>
              <w:rPr>
                <w:color w:val="000000"/>
                <w:sz w:val="24"/>
              </w:rPr>
              <w:t>002191</w:t>
            </w:r>
          </w:p>
        </w:tc>
        <w:tc>
          <w:tcPr>
            <w:tcW w:w="1769" w:type="dxa"/>
            <w:vAlign w:val="center"/>
          </w:tcPr>
          <w:p w:rsidR="00A64235" w:rsidRDefault="00AA031F">
            <w:pPr>
              <w:jc w:val="center"/>
            </w:pPr>
            <w:r>
              <w:rPr>
                <w:color w:val="000000"/>
                <w:sz w:val="24"/>
              </w:rPr>
              <w:t>劲嘉股份</w:t>
            </w:r>
          </w:p>
        </w:tc>
        <w:tc>
          <w:tcPr>
            <w:tcW w:w="1327" w:type="dxa"/>
            <w:vAlign w:val="center"/>
          </w:tcPr>
          <w:p w:rsidR="00A64235" w:rsidRDefault="00AA031F">
            <w:pPr>
              <w:jc w:val="right"/>
            </w:pPr>
            <w:r>
              <w:rPr>
                <w:color w:val="000000"/>
                <w:sz w:val="24"/>
              </w:rPr>
              <w:t>300,000</w:t>
            </w:r>
          </w:p>
        </w:tc>
        <w:tc>
          <w:tcPr>
            <w:tcW w:w="1915" w:type="dxa"/>
            <w:vAlign w:val="center"/>
          </w:tcPr>
          <w:p w:rsidR="00A64235" w:rsidRDefault="00AA031F">
            <w:pPr>
              <w:jc w:val="right"/>
            </w:pPr>
            <w:r>
              <w:rPr>
                <w:color w:val="000000"/>
                <w:sz w:val="24"/>
              </w:rPr>
              <w:t>4,608,000.00</w:t>
            </w:r>
          </w:p>
        </w:tc>
        <w:tc>
          <w:tcPr>
            <w:tcW w:w="1680" w:type="dxa"/>
            <w:vAlign w:val="center"/>
          </w:tcPr>
          <w:p w:rsidR="00A64235" w:rsidRDefault="00AA031F">
            <w:pPr>
              <w:jc w:val="right"/>
            </w:pPr>
            <w:r>
              <w:rPr>
                <w:color w:val="000000"/>
                <w:sz w:val="24"/>
              </w:rPr>
              <w:t>0.45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39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948"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8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403,882,800.00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39.52</w:t>
            </w:r>
          </w:p>
        </w:tc>
      </w:tr>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403,882,800.00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39.52</w:t>
            </w:r>
          </w:p>
        </w:tc>
      </w:tr>
      <w:tr w:rsidR="00AA031F" w:rsidRPr="007F52FA" w:rsidTr="00AA031F">
        <w:trPr>
          <w:jc w:val="center"/>
        </w:trPr>
        <w:tc>
          <w:tcPr>
            <w:tcW w:w="850" w:type="dxa"/>
            <w:vAlign w:val="center"/>
          </w:tcPr>
          <w:p w:rsidR="00AA031F" w:rsidRPr="007F52FA" w:rsidRDefault="00AA031F" w:rsidP="00AA031F">
            <w:pPr>
              <w:spacing w:before="29" w:line="288" w:lineRule="auto"/>
              <w:ind w:left="17"/>
              <w:jc w:val="center"/>
              <w:rPr>
                <w:color w:val="000000"/>
                <w:sz w:val="24"/>
              </w:rPr>
            </w:pPr>
            <w:r w:rsidRPr="007F52FA">
              <w:rPr>
                <w:color w:val="000000"/>
                <w:sz w:val="24"/>
              </w:rPr>
              <w:t>4</w:t>
            </w:r>
          </w:p>
        </w:tc>
        <w:tc>
          <w:tcPr>
            <w:tcW w:w="3390" w:type="dxa"/>
            <w:vAlign w:val="center"/>
          </w:tcPr>
          <w:p w:rsidR="00AA031F" w:rsidRPr="007F52FA" w:rsidRDefault="00AA031F" w:rsidP="00AA031F">
            <w:pPr>
              <w:spacing w:before="29" w:line="288" w:lineRule="auto"/>
              <w:ind w:left="17"/>
              <w:jc w:val="left"/>
              <w:rPr>
                <w:color w:val="000000"/>
                <w:sz w:val="24"/>
              </w:rPr>
            </w:pPr>
            <w:r w:rsidRPr="007F52FA">
              <w:rPr>
                <w:color w:val="000000"/>
                <w:sz w:val="24"/>
              </w:rPr>
              <w:t>企业债券</w:t>
            </w:r>
          </w:p>
        </w:tc>
        <w:tc>
          <w:tcPr>
            <w:tcW w:w="2948" w:type="dxa"/>
            <w:vAlign w:val="center"/>
          </w:tcPr>
          <w:p w:rsidR="00AA031F" w:rsidRPr="00AA031F" w:rsidRDefault="00AA031F" w:rsidP="00AA031F">
            <w:pPr>
              <w:spacing w:before="29" w:line="288" w:lineRule="auto"/>
              <w:ind w:left="17"/>
              <w:jc w:val="right"/>
              <w:rPr>
                <w:color w:val="000000"/>
                <w:kern w:val="0"/>
                <w:sz w:val="24"/>
              </w:rPr>
            </w:pPr>
            <w:r w:rsidRPr="00AA031F">
              <w:rPr>
                <w:color w:val="000000"/>
                <w:sz w:val="24"/>
              </w:rPr>
              <w:t>237,152,916.50</w:t>
            </w:r>
          </w:p>
        </w:tc>
        <w:tc>
          <w:tcPr>
            <w:tcW w:w="1680" w:type="dxa"/>
            <w:vAlign w:val="center"/>
          </w:tcPr>
          <w:p w:rsidR="00AA031F" w:rsidRPr="00AA031F" w:rsidRDefault="00AA031F" w:rsidP="00AA031F">
            <w:pPr>
              <w:spacing w:before="29" w:line="288" w:lineRule="auto"/>
              <w:ind w:left="17"/>
              <w:jc w:val="right"/>
              <w:rPr>
                <w:color w:val="000000"/>
                <w:sz w:val="24"/>
              </w:rPr>
            </w:pPr>
            <w:r w:rsidRPr="00AA031F">
              <w:rPr>
                <w:color w:val="000000"/>
                <w:sz w:val="24"/>
              </w:rPr>
              <w:t>23.21</w:t>
            </w:r>
          </w:p>
        </w:tc>
      </w:tr>
      <w:tr w:rsidR="00296E4A" w:rsidRPr="007F52FA" w:rsidTr="00AA031F">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948" w:type="dxa"/>
            <w:vAlign w:val="center"/>
          </w:tcPr>
          <w:p w:rsidR="00296E4A" w:rsidRPr="00AA031F" w:rsidRDefault="00296E4A" w:rsidP="007C14DF">
            <w:pPr>
              <w:spacing w:before="29" w:line="288" w:lineRule="auto"/>
              <w:ind w:left="17"/>
              <w:jc w:val="right"/>
              <w:rPr>
                <w:color w:val="000000"/>
                <w:sz w:val="24"/>
              </w:rPr>
            </w:pPr>
            <w:r w:rsidRPr="00AA031F">
              <w:rPr>
                <w:color w:val="000000"/>
                <w:sz w:val="24"/>
              </w:rPr>
              <w:t>9,984,000.00</w:t>
            </w:r>
          </w:p>
        </w:tc>
        <w:tc>
          <w:tcPr>
            <w:tcW w:w="1680" w:type="dxa"/>
            <w:vAlign w:val="center"/>
          </w:tcPr>
          <w:p w:rsidR="00296E4A" w:rsidRPr="00AA031F" w:rsidRDefault="00296E4A" w:rsidP="007C14DF">
            <w:pPr>
              <w:spacing w:before="29" w:line="288" w:lineRule="auto"/>
              <w:ind w:left="17"/>
              <w:jc w:val="right"/>
              <w:rPr>
                <w:color w:val="000000"/>
                <w:sz w:val="24"/>
              </w:rPr>
            </w:pPr>
            <w:r w:rsidRPr="00AA031F">
              <w:rPr>
                <w:color w:val="000000"/>
                <w:sz w:val="24"/>
              </w:rPr>
              <w:t>0.98</w:t>
            </w:r>
          </w:p>
        </w:tc>
      </w:tr>
      <w:tr w:rsidR="00686943" w:rsidRPr="007F52FA" w:rsidTr="00AA031F">
        <w:trPr>
          <w:jc w:val="center"/>
        </w:trPr>
        <w:tc>
          <w:tcPr>
            <w:tcW w:w="850"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39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948" w:type="dxa"/>
            <w:vAlign w:val="center"/>
          </w:tcPr>
          <w:p w:rsidR="00686943" w:rsidRPr="00AA031F" w:rsidRDefault="00686943" w:rsidP="007C14DF">
            <w:pPr>
              <w:spacing w:before="29" w:line="288" w:lineRule="auto"/>
              <w:ind w:left="17"/>
              <w:jc w:val="right"/>
              <w:rPr>
                <w:color w:val="000000"/>
                <w:sz w:val="24"/>
              </w:rPr>
            </w:pPr>
            <w:r w:rsidRPr="00AA031F">
              <w:rPr>
                <w:color w:val="000000"/>
                <w:sz w:val="24"/>
              </w:rPr>
              <w:t>199,579,000.00</w:t>
            </w:r>
          </w:p>
        </w:tc>
        <w:tc>
          <w:tcPr>
            <w:tcW w:w="1680" w:type="dxa"/>
            <w:vAlign w:val="center"/>
          </w:tcPr>
          <w:p w:rsidR="00686943" w:rsidRPr="00AA031F" w:rsidRDefault="00686943" w:rsidP="007C14DF">
            <w:pPr>
              <w:spacing w:before="29" w:line="288" w:lineRule="auto"/>
              <w:ind w:left="17"/>
              <w:jc w:val="right"/>
              <w:rPr>
                <w:color w:val="000000"/>
                <w:sz w:val="24"/>
              </w:rPr>
            </w:pPr>
            <w:r w:rsidRPr="00AA031F">
              <w:rPr>
                <w:color w:val="000000"/>
                <w:sz w:val="24"/>
              </w:rPr>
              <w:t>19.53</w:t>
            </w:r>
          </w:p>
        </w:tc>
      </w:tr>
      <w:tr w:rsidR="00AA031F" w:rsidRPr="007F52FA" w:rsidTr="00AA031F">
        <w:trPr>
          <w:jc w:val="center"/>
        </w:trPr>
        <w:tc>
          <w:tcPr>
            <w:tcW w:w="850" w:type="dxa"/>
            <w:vAlign w:val="center"/>
          </w:tcPr>
          <w:p w:rsidR="00AA031F" w:rsidRPr="007F52FA" w:rsidRDefault="00AA031F" w:rsidP="00AA031F">
            <w:pPr>
              <w:spacing w:before="29" w:line="288" w:lineRule="auto"/>
              <w:ind w:left="17"/>
              <w:jc w:val="center"/>
              <w:rPr>
                <w:color w:val="000000"/>
                <w:sz w:val="24"/>
              </w:rPr>
            </w:pPr>
            <w:r w:rsidRPr="007F52FA">
              <w:rPr>
                <w:color w:val="000000"/>
                <w:sz w:val="24"/>
              </w:rPr>
              <w:t>7</w:t>
            </w:r>
          </w:p>
        </w:tc>
        <w:tc>
          <w:tcPr>
            <w:tcW w:w="3390" w:type="dxa"/>
            <w:vAlign w:val="center"/>
          </w:tcPr>
          <w:p w:rsidR="00AA031F" w:rsidRPr="007F52FA" w:rsidRDefault="00AA031F" w:rsidP="00AA031F">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48" w:type="dxa"/>
            <w:vAlign w:val="center"/>
          </w:tcPr>
          <w:p w:rsidR="00AA031F" w:rsidRPr="00AA031F" w:rsidRDefault="00AA031F" w:rsidP="00AA031F">
            <w:pPr>
              <w:spacing w:before="29" w:line="288" w:lineRule="auto"/>
              <w:ind w:left="17"/>
              <w:jc w:val="right"/>
              <w:rPr>
                <w:color w:val="000000"/>
                <w:kern w:val="0"/>
                <w:sz w:val="24"/>
              </w:rPr>
            </w:pPr>
            <w:r w:rsidRPr="00AA031F">
              <w:rPr>
                <w:color w:val="000000"/>
                <w:sz w:val="24"/>
              </w:rPr>
              <w:t>14,015,737.80</w:t>
            </w:r>
          </w:p>
        </w:tc>
        <w:tc>
          <w:tcPr>
            <w:tcW w:w="1680" w:type="dxa"/>
            <w:vAlign w:val="center"/>
          </w:tcPr>
          <w:p w:rsidR="00AA031F" w:rsidRPr="00AA031F" w:rsidRDefault="00AA031F" w:rsidP="00AA031F">
            <w:pPr>
              <w:spacing w:before="29" w:line="288" w:lineRule="auto"/>
              <w:ind w:left="17"/>
              <w:jc w:val="right"/>
              <w:rPr>
                <w:color w:val="000000"/>
                <w:sz w:val="24"/>
              </w:rPr>
            </w:pPr>
            <w:r w:rsidRPr="00AA031F">
              <w:rPr>
                <w:color w:val="000000"/>
                <w:sz w:val="24"/>
              </w:rPr>
              <w:t>1.37</w:t>
            </w:r>
          </w:p>
        </w:tc>
      </w:tr>
      <w:tr w:rsidR="00514118" w:rsidRPr="007F52FA" w:rsidTr="00AA031F">
        <w:trPr>
          <w:jc w:val="center"/>
        </w:trPr>
        <w:tc>
          <w:tcPr>
            <w:tcW w:w="850"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39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rsidR="00514118" w:rsidRPr="00AA031F" w:rsidRDefault="001936D7" w:rsidP="007C14DF">
            <w:pPr>
              <w:spacing w:before="29" w:line="288" w:lineRule="auto"/>
              <w:ind w:left="17"/>
              <w:jc w:val="right"/>
              <w:rPr>
                <w:color w:val="000000"/>
                <w:sz w:val="24"/>
              </w:rPr>
            </w:pPr>
            <w:r w:rsidRPr="00AA031F">
              <w:rPr>
                <w:rFonts w:hint="eastAsia"/>
                <w:color w:val="000000"/>
                <w:sz w:val="24"/>
              </w:rPr>
              <w:t>-</w:t>
            </w:r>
          </w:p>
        </w:tc>
        <w:tc>
          <w:tcPr>
            <w:tcW w:w="1680" w:type="dxa"/>
            <w:vAlign w:val="center"/>
          </w:tcPr>
          <w:p w:rsidR="00514118" w:rsidRPr="00AA031F" w:rsidRDefault="00FC6F53" w:rsidP="007C14DF">
            <w:pPr>
              <w:spacing w:before="29" w:line="288" w:lineRule="auto"/>
              <w:ind w:left="17"/>
              <w:jc w:val="right"/>
              <w:rPr>
                <w:color w:val="000000"/>
                <w:sz w:val="24"/>
              </w:rPr>
            </w:pPr>
            <w:r w:rsidRPr="00AA031F">
              <w:rPr>
                <w:rFonts w:hint="eastAsia"/>
                <w:color w:val="000000"/>
                <w:sz w:val="24"/>
              </w:rPr>
              <w:t>-</w:t>
            </w:r>
          </w:p>
        </w:tc>
      </w:tr>
      <w:tr w:rsidR="00AA031F" w:rsidRPr="007F52FA" w:rsidTr="00AA031F">
        <w:trPr>
          <w:jc w:val="center"/>
        </w:trPr>
        <w:tc>
          <w:tcPr>
            <w:tcW w:w="850" w:type="dxa"/>
            <w:vAlign w:val="center"/>
          </w:tcPr>
          <w:p w:rsidR="00AA031F" w:rsidRDefault="00AA031F" w:rsidP="00AA031F">
            <w:pPr>
              <w:spacing w:before="29" w:line="288" w:lineRule="auto"/>
              <w:ind w:left="17"/>
              <w:jc w:val="center"/>
              <w:rPr>
                <w:color w:val="000000"/>
                <w:kern w:val="0"/>
                <w:sz w:val="24"/>
              </w:rPr>
            </w:pPr>
            <w:r>
              <w:rPr>
                <w:color w:val="000000"/>
                <w:sz w:val="24"/>
              </w:rPr>
              <w:t>9</w:t>
            </w:r>
          </w:p>
        </w:tc>
        <w:tc>
          <w:tcPr>
            <w:tcW w:w="3390" w:type="dxa"/>
            <w:vAlign w:val="center"/>
          </w:tcPr>
          <w:p w:rsidR="00AA031F" w:rsidRDefault="00AA031F" w:rsidP="00AA031F">
            <w:pPr>
              <w:spacing w:before="29" w:line="288" w:lineRule="auto"/>
              <w:ind w:left="17"/>
              <w:jc w:val="left"/>
              <w:rPr>
                <w:color w:val="000000"/>
                <w:sz w:val="24"/>
              </w:rPr>
            </w:pPr>
            <w:r>
              <w:rPr>
                <w:rFonts w:ascii="宋体" w:hAnsi="宋体" w:hint="eastAsia"/>
                <w:color w:val="000000"/>
                <w:sz w:val="24"/>
              </w:rPr>
              <w:t>地方政府债</w:t>
            </w:r>
          </w:p>
        </w:tc>
        <w:tc>
          <w:tcPr>
            <w:tcW w:w="2948" w:type="dxa"/>
            <w:vAlign w:val="center"/>
          </w:tcPr>
          <w:p w:rsidR="00AA031F" w:rsidRPr="00AA031F" w:rsidRDefault="00AA031F" w:rsidP="00AA031F">
            <w:pPr>
              <w:spacing w:before="29" w:line="288" w:lineRule="auto"/>
              <w:ind w:left="17"/>
              <w:jc w:val="right"/>
              <w:rPr>
                <w:color w:val="000000"/>
                <w:sz w:val="24"/>
              </w:rPr>
            </w:pPr>
            <w:r w:rsidRPr="00AA031F">
              <w:rPr>
                <w:color w:val="000000"/>
                <w:sz w:val="24"/>
              </w:rPr>
              <w:t xml:space="preserve">20,170,000.00 </w:t>
            </w:r>
          </w:p>
        </w:tc>
        <w:tc>
          <w:tcPr>
            <w:tcW w:w="1680" w:type="dxa"/>
            <w:vAlign w:val="center"/>
          </w:tcPr>
          <w:p w:rsidR="00AA031F" w:rsidRPr="00AA031F" w:rsidRDefault="00AA031F" w:rsidP="00AA031F">
            <w:pPr>
              <w:spacing w:before="29" w:line="288" w:lineRule="auto"/>
              <w:ind w:left="17"/>
              <w:jc w:val="right"/>
              <w:rPr>
                <w:color w:val="000000"/>
                <w:sz w:val="24"/>
              </w:rPr>
            </w:pPr>
            <w:r w:rsidRPr="00AA031F">
              <w:rPr>
                <w:color w:val="000000"/>
                <w:sz w:val="24"/>
              </w:rPr>
              <w:t>1.97</w:t>
            </w:r>
          </w:p>
        </w:tc>
      </w:tr>
      <w:tr w:rsidR="00AA031F" w:rsidRPr="007F52FA" w:rsidTr="00AA031F">
        <w:trPr>
          <w:jc w:val="center"/>
        </w:trPr>
        <w:tc>
          <w:tcPr>
            <w:tcW w:w="850" w:type="dxa"/>
            <w:vAlign w:val="center"/>
          </w:tcPr>
          <w:p w:rsidR="00AA031F" w:rsidRPr="007F52FA" w:rsidRDefault="00F76A58" w:rsidP="00AA031F">
            <w:pPr>
              <w:spacing w:before="29" w:line="288" w:lineRule="auto"/>
              <w:ind w:left="17"/>
              <w:jc w:val="center"/>
              <w:rPr>
                <w:color w:val="000000"/>
                <w:sz w:val="24"/>
              </w:rPr>
            </w:pPr>
            <w:r>
              <w:rPr>
                <w:color w:val="000000"/>
                <w:sz w:val="24"/>
              </w:rPr>
              <w:t>10</w:t>
            </w:r>
          </w:p>
        </w:tc>
        <w:tc>
          <w:tcPr>
            <w:tcW w:w="3390" w:type="dxa"/>
            <w:vAlign w:val="center"/>
          </w:tcPr>
          <w:p w:rsidR="00AA031F" w:rsidRPr="007F52FA" w:rsidRDefault="00AA031F" w:rsidP="00AA031F">
            <w:pPr>
              <w:spacing w:before="29" w:line="288" w:lineRule="auto"/>
              <w:ind w:left="17"/>
              <w:jc w:val="left"/>
              <w:rPr>
                <w:color w:val="000000"/>
                <w:sz w:val="24"/>
              </w:rPr>
            </w:pPr>
            <w:r w:rsidRPr="007F52FA">
              <w:rPr>
                <w:color w:val="000000"/>
                <w:sz w:val="24"/>
              </w:rPr>
              <w:t>其他</w:t>
            </w:r>
          </w:p>
        </w:tc>
        <w:tc>
          <w:tcPr>
            <w:tcW w:w="2948" w:type="dxa"/>
            <w:vAlign w:val="center"/>
          </w:tcPr>
          <w:p w:rsidR="00AA031F" w:rsidRPr="007F52FA" w:rsidRDefault="00AA031F" w:rsidP="00AA031F">
            <w:pPr>
              <w:spacing w:before="29" w:line="288" w:lineRule="auto"/>
              <w:ind w:left="17"/>
              <w:jc w:val="right"/>
              <w:rPr>
                <w:color w:val="000000"/>
                <w:sz w:val="24"/>
              </w:rPr>
            </w:pPr>
            <w:r w:rsidRPr="00AF0CAB">
              <w:rPr>
                <w:rFonts w:hint="eastAsia"/>
                <w:color w:val="000000"/>
                <w:sz w:val="24"/>
              </w:rPr>
              <w:t>-</w:t>
            </w:r>
          </w:p>
        </w:tc>
        <w:tc>
          <w:tcPr>
            <w:tcW w:w="1680" w:type="dxa"/>
            <w:vAlign w:val="center"/>
          </w:tcPr>
          <w:p w:rsidR="00AA031F" w:rsidRPr="007F52FA" w:rsidRDefault="00AA031F" w:rsidP="00AA031F">
            <w:pPr>
              <w:spacing w:before="29" w:line="288" w:lineRule="auto"/>
              <w:ind w:left="17"/>
              <w:jc w:val="right"/>
              <w:rPr>
                <w:color w:val="000000"/>
                <w:sz w:val="24"/>
              </w:rPr>
            </w:pPr>
            <w:r w:rsidRPr="00AF0CAB">
              <w:rPr>
                <w:rFonts w:hint="eastAsia"/>
                <w:color w:val="000000"/>
                <w:sz w:val="24"/>
              </w:rPr>
              <w:t>-</w:t>
            </w:r>
          </w:p>
        </w:tc>
      </w:tr>
      <w:tr w:rsidR="00686943" w:rsidRPr="007F52FA" w:rsidTr="00AA031F">
        <w:trPr>
          <w:jc w:val="center"/>
        </w:trPr>
        <w:tc>
          <w:tcPr>
            <w:tcW w:w="850"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w:t>
            </w:r>
            <w:r w:rsidR="00F76A58">
              <w:rPr>
                <w:color w:val="000000"/>
                <w:sz w:val="24"/>
              </w:rPr>
              <w:t>1</w:t>
            </w:r>
            <w:bookmarkStart w:id="0" w:name="_GoBack"/>
            <w:bookmarkEnd w:id="0"/>
          </w:p>
        </w:tc>
        <w:tc>
          <w:tcPr>
            <w:tcW w:w="339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948"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884,784,454.30</w:t>
            </w:r>
          </w:p>
        </w:tc>
        <w:tc>
          <w:tcPr>
            <w:tcW w:w="1680"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86.58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A64235">
        <w:trPr>
          <w:jc w:val="center"/>
        </w:trPr>
        <w:tc>
          <w:tcPr>
            <w:tcW w:w="1075" w:type="dxa"/>
            <w:vAlign w:val="center"/>
          </w:tcPr>
          <w:p w:rsidR="00A64235" w:rsidRDefault="00AA031F">
            <w:pPr>
              <w:jc w:val="center"/>
            </w:pPr>
            <w:r>
              <w:rPr>
                <w:color w:val="000000"/>
                <w:sz w:val="24"/>
              </w:rPr>
              <w:t>1</w:t>
            </w:r>
          </w:p>
        </w:tc>
        <w:tc>
          <w:tcPr>
            <w:tcW w:w="1533" w:type="dxa"/>
            <w:vAlign w:val="center"/>
          </w:tcPr>
          <w:p w:rsidR="00A64235" w:rsidRDefault="00AA031F">
            <w:pPr>
              <w:jc w:val="center"/>
            </w:pPr>
            <w:r>
              <w:rPr>
                <w:color w:val="000000"/>
                <w:sz w:val="24"/>
              </w:rPr>
              <w:t>150419</w:t>
            </w:r>
          </w:p>
        </w:tc>
        <w:tc>
          <w:tcPr>
            <w:tcW w:w="1533" w:type="dxa"/>
            <w:vAlign w:val="center"/>
          </w:tcPr>
          <w:p w:rsidR="00A64235" w:rsidRDefault="00AA031F">
            <w:pPr>
              <w:jc w:val="center"/>
            </w:pPr>
            <w:r>
              <w:rPr>
                <w:color w:val="000000"/>
                <w:sz w:val="24"/>
              </w:rPr>
              <w:t>15</w:t>
            </w:r>
            <w:r>
              <w:rPr>
                <w:color w:val="000000"/>
                <w:sz w:val="24"/>
              </w:rPr>
              <w:t>农发</w:t>
            </w:r>
            <w:r>
              <w:rPr>
                <w:color w:val="000000"/>
                <w:sz w:val="24"/>
              </w:rPr>
              <w:t>19</w:t>
            </w:r>
          </w:p>
        </w:tc>
        <w:tc>
          <w:tcPr>
            <w:tcW w:w="1394" w:type="dxa"/>
            <w:vAlign w:val="center"/>
          </w:tcPr>
          <w:p w:rsidR="00A64235" w:rsidRDefault="00AA031F">
            <w:pPr>
              <w:jc w:val="right"/>
            </w:pPr>
            <w:r>
              <w:rPr>
                <w:color w:val="000000"/>
                <w:sz w:val="24"/>
              </w:rPr>
              <w:t>1,500,000</w:t>
            </w:r>
          </w:p>
        </w:tc>
        <w:tc>
          <w:tcPr>
            <w:tcW w:w="1944" w:type="dxa"/>
            <w:vAlign w:val="center"/>
          </w:tcPr>
          <w:p w:rsidR="00A64235" w:rsidRDefault="00AA031F">
            <w:pPr>
              <w:jc w:val="right"/>
            </w:pPr>
            <w:r>
              <w:rPr>
                <w:color w:val="000000"/>
                <w:sz w:val="24"/>
              </w:rPr>
              <w:t>150,285,000.00</w:t>
            </w:r>
          </w:p>
        </w:tc>
        <w:tc>
          <w:tcPr>
            <w:tcW w:w="1389" w:type="dxa"/>
            <w:vAlign w:val="center"/>
          </w:tcPr>
          <w:p w:rsidR="00A64235" w:rsidRDefault="00AA031F">
            <w:pPr>
              <w:jc w:val="right"/>
            </w:pPr>
            <w:r>
              <w:rPr>
                <w:color w:val="000000"/>
                <w:sz w:val="24"/>
              </w:rPr>
              <w:t>14.71</w:t>
            </w:r>
          </w:p>
        </w:tc>
      </w:tr>
      <w:tr w:rsidR="00A64235">
        <w:trPr>
          <w:jc w:val="center"/>
        </w:trPr>
        <w:tc>
          <w:tcPr>
            <w:tcW w:w="1075" w:type="dxa"/>
            <w:vAlign w:val="center"/>
          </w:tcPr>
          <w:p w:rsidR="00A64235" w:rsidRDefault="00AA031F">
            <w:pPr>
              <w:jc w:val="center"/>
            </w:pPr>
            <w:r>
              <w:rPr>
                <w:color w:val="000000"/>
                <w:sz w:val="24"/>
              </w:rPr>
              <w:t>2</w:t>
            </w:r>
          </w:p>
        </w:tc>
        <w:tc>
          <w:tcPr>
            <w:tcW w:w="1533" w:type="dxa"/>
            <w:vAlign w:val="center"/>
          </w:tcPr>
          <w:p w:rsidR="00A64235" w:rsidRDefault="00AA031F">
            <w:pPr>
              <w:jc w:val="center"/>
            </w:pPr>
            <w:r>
              <w:rPr>
                <w:color w:val="000000"/>
                <w:sz w:val="24"/>
              </w:rPr>
              <w:t>150405</w:t>
            </w:r>
          </w:p>
        </w:tc>
        <w:tc>
          <w:tcPr>
            <w:tcW w:w="1533" w:type="dxa"/>
            <w:vAlign w:val="center"/>
          </w:tcPr>
          <w:p w:rsidR="00A64235" w:rsidRDefault="00AA031F">
            <w:pPr>
              <w:jc w:val="center"/>
            </w:pPr>
            <w:r>
              <w:rPr>
                <w:color w:val="000000"/>
                <w:sz w:val="24"/>
              </w:rPr>
              <w:t>15</w:t>
            </w:r>
            <w:r>
              <w:rPr>
                <w:color w:val="000000"/>
                <w:sz w:val="24"/>
              </w:rPr>
              <w:t>农发</w:t>
            </w:r>
            <w:r>
              <w:rPr>
                <w:color w:val="000000"/>
                <w:sz w:val="24"/>
              </w:rPr>
              <w:t>05</w:t>
            </w:r>
          </w:p>
        </w:tc>
        <w:tc>
          <w:tcPr>
            <w:tcW w:w="1394" w:type="dxa"/>
            <w:vAlign w:val="center"/>
          </w:tcPr>
          <w:p w:rsidR="00A64235" w:rsidRDefault="00AA031F">
            <w:pPr>
              <w:jc w:val="right"/>
            </w:pPr>
            <w:r>
              <w:rPr>
                <w:color w:val="000000"/>
                <w:sz w:val="24"/>
              </w:rPr>
              <w:t>1,150,000</w:t>
            </w:r>
          </w:p>
        </w:tc>
        <w:tc>
          <w:tcPr>
            <w:tcW w:w="1944" w:type="dxa"/>
            <w:vAlign w:val="center"/>
          </w:tcPr>
          <w:p w:rsidR="00A64235" w:rsidRDefault="00AA031F">
            <w:pPr>
              <w:jc w:val="right"/>
            </w:pPr>
            <w:r>
              <w:rPr>
                <w:color w:val="000000"/>
                <w:sz w:val="24"/>
              </w:rPr>
              <w:t>121,405,500.00</w:t>
            </w:r>
          </w:p>
        </w:tc>
        <w:tc>
          <w:tcPr>
            <w:tcW w:w="1389" w:type="dxa"/>
            <w:vAlign w:val="center"/>
          </w:tcPr>
          <w:p w:rsidR="00A64235" w:rsidRDefault="00AA031F">
            <w:pPr>
              <w:jc w:val="right"/>
            </w:pPr>
            <w:r>
              <w:rPr>
                <w:color w:val="000000"/>
                <w:sz w:val="24"/>
              </w:rPr>
              <w:t>11.88</w:t>
            </w:r>
          </w:p>
        </w:tc>
      </w:tr>
      <w:tr w:rsidR="00A64235">
        <w:trPr>
          <w:jc w:val="center"/>
        </w:trPr>
        <w:tc>
          <w:tcPr>
            <w:tcW w:w="1075" w:type="dxa"/>
            <w:vAlign w:val="center"/>
          </w:tcPr>
          <w:p w:rsidR="00A64235" w:rsidRDefault="00AA031F">
            <w:pPr>
              <w:jc w:val="center"/>
            </w:pPr>
            <w:r>
              <w:rPr>
                <w:color w:val="000000"/>
                <w:sz w:val="24"/>
              </w:rPr>
              <w:t>3</w:t>
            </w:r>
          </w:p>
        </w:tc>
        <w:tc>
          <w:tcPr>
            <w:tcW w:w="1533" w:type="dxa"/>
            <w:vAlign w:val="center"/>
          </w:tcPr>
          <w:p w:rsidR="00A64235" w:rsidRDefault="00AA031F">
            <w:pPr>
              <w:jc w:val="center"/>
            </w:pPr>
            <w:r>
              <w:rPr>
                <w:color w:val="000000"/>
                <w:sz w:val="24"/>
              </w:rPr>
              <w:t>1580296</w:t>
            </w:r>
          </w:p>
        </w:tc>
        <w:tc>
          <w:tcPr>
            <w:tcW w:w="1533" w:type="dxa"/>
            <w:vAlign w:val="center"/>
          </w:tcPr>
          <w:p w:rsidR="00A64235" w:rsidRDefault="00AA031F">
            <w:pPr>
              <w:jc w:val="center"/>
            </w:pPr>
            <w:r>
              <w:rPr>
                <w:color w:val="000000"/>
                <w:sz w:val="24"/>
              </w:rPr>
              <w:t>15</w:t>
            </w:r>
            <w:r>
              <w:rPr>
                <w:color w:val="000000"/>
                <w:sz w:val="24"/>
              </w:rPr>
              <w:t>铁道</w:t>
            </w:r>
            <w:r>
              <w:rPr>
                <w:color w:val="000000"/>
                <w:sz w:val="24"/>
              </w:rPr>
              <w:t>17</w:t>
            </w:r>
          </w:p>
        </w:tc>
        <w:tc>
          <w:tcPr>
            <w:tcW w:w="1394" w:type="dxa"/>
            <w:vAlign w:val="center"/>
          </w:tcPr>
          <w:p w:rsidR="00A64235" w:rsidRDefault="00AA031F">
            <w:pPr>
              <w:jc w:val="right"/>
            </w:pPr>
            <w:r>
              <w:rPr>
                <w:color w:val="000000"/>
                <w:sz w:val="24"/>
              </w:rPr>
              <w:t>800,000</w:t>
            </w:r>
          </w:p>
        </w:tc>
        <w:tc>
          <w:tcPr>
            <w:tcW w:w="1944" w:type="dxa"/>
            <w:vAlign w:val="center"/>
          </w:tcPr>
          <w:p w:rsidR="00A64235" w:rsidRDefault="00AA031F">
            <w:pPr>
              <w:jc w:val="right"/>
            </w:pPr>
            <w:r>
              <w:rPr>
                <w:color w:val="000000"/>
                <w:sz w:val="24"/>
              </w:rPr>
              <w:t>81,192,000.00</w:t>
            </w:r>
          </w:p>
        </w:tc>
        <w:tc>
          <w:tcPr>
            <w:tcW w:w="1389" w:type="dxa"/>
            <w:vAlign w:val="center"/>
          </w:tcPr>
          <w:p w:rsidR="00A64235" w:rsidRDefault="00AA031F">
            <w:pPr>
              <w:jc w:val="right"/>
            </w:pPr>
            <w:r>
              <w:rPr>
                <w:color w:val="000000"/>
                <w:sz w:val="24"/>
              </w:rPr>
              <w:t>7.94</w:t>
            </w:r>
          </w:p>
        </w:tc>
      </w:tr>
      <w:tr w:rsidR="00A64235">
        <w:trPr>
          <w:jc w:val="center"/>
        </w:trPr>
        <w:tc>
          <w:tcPr>
            <w:tcW w:w="1075" w:type="dxa"/>
            <w:vAlign w:val="center"/>
          </w:tcPr>
          <w:p w:rsidR="00A64235" w:rsidRDefault="00AA031F">
            <w:pPr>
              <w:jc w:val="center"/>
            </w:pPr>
            <w:r>
              <w:rPr>
                <w:color w:val="000000"/>
                <w:sz w:val="24"/>
              </w:rPr>
              <w:t>4</w:t>
            </w:r>
          </w:p>
        </w:tc>
        <w:tc>
          <w:tcPr>
            <w:tcW w:w="1533" w:type="dxa"/>
            <w:vAlign w:val="center"/>
          </w:tcPr>
          <w:p w:rsidR="00A64235" w:rsidRDefault="00AA031F">
            <w:pPr>
              <w:jc w:val="center"/>
            </w:pPr>
            <w:r>
              <w:rPr>
                <w:color w:val="000000"/>
                <w:sz w:val="24"/>
              </w:rPr>
              <w:t>150210</w:t>
            </w:r>
          </w:p>
        </w:tc>
        <w:tc>
          <w:tcPr>
            <w:tcW w:w="1533" w:type="dxa"/>
            <w:vAlign w:val="center"/>
          </w:tcPr>
          <w:p w:rsidR="00A64235" w:rsidRDefault="00AA031F">
            <w:pPr>
              <w:jc w:val="center"/>
            </w:pPr>
            <w:r>
              <w:rPr>
                <w:color w:val="000000"/>
                <w:sz w:val="24"/>
              </w:rPr>
              <w:t>15</w:t>
            </w:r>
            <w:r>
              <w:rPr>
                <w:color w:val="000000"/>
                <w:sz w:val="24"/>
              </w:rPr>
              <w:t>国开</w:t>
            </w:r>
            <w:r>
              <w:rPr>
                <w:color w:val="000000"/>
                <w:sz w:val="24"/>
              </w:rPr>
              <w:t>10</w:t>
            </w:r>
          </w:p>
        </w:tc>
        <w:tc>
          <w:tcPr>
            <w:tcW w:w="1394" w:type="dxa"/>
            <w:vAlign w:val="center"/>
          </w:tcPr>
          <w:p w:rsidR="00A64235" w:rsidRDefault="00AA031F">
            <w:pPr>
              <w:jc w:val="right"/>
            </w:pPr>
            <w:r>
              <w:rPr>
                <w:color w:val="000000"/>
                <w:sz w:val="24"/>
              </w:rPr>
              <w:t>600,000</w:t>
            </w:r>
          </w:p>
        </w:tc>
        <w:tc>
          <w:tcPr>
            <w:tcW w:w="1944" w:type="dxa"/>
            <w:vAlign w:val="center"/>
          </w:tcPr>
          <w:p w:rsidR="00A64235" w:rsidRDefault="00AA031F">
            <w:pPr>
              <w:jc w:val="right"/>
            </w:pPr>
            <w:r>
              <w:rPr>
                <w:color w:val="000000"/>
                <w:sz w:val="24"/>
              </w:rPr>
              <w:t>65,016,000.00</w:t>
            </w:r>
          </w:p>
        </w:tc>
        <w:tc>
          <w:tcPr>
            <w:tcW w:w="1389" w:type="dxa"/>
            <w:vAlign w:val="center"/>
          </w:tcPr>
          <w:p w:rsidR="00A64235" w:rsidRDefault="00AA031F">
            <w:pPr>
              <w:jc w:val="right"/>
            </w:pPr>
            <w:r>
              <w:rPr>
                <w:color w:val="000000"/>
                <w:sz w:val="24"/>
              </w:rPr>
              <w:t>6.36</w:t>
            </w:r>
          </w:p>
        </w:tc>
      </w:tr>
      <w:tr w:rsidR="00A64235">
        <w:trPr>
          <w:jc w:val="center"/>
        </w:trPr>
        <w:tc>
          <w:tcPr>
            <w:tcW w:w="1075" w:type="dxa"/>
            <w:vAlign w:val="center"/>
          </w:tcPr>
          <w:p w:rsidR="00A64235" w:rsidRDefault="00AA031F">
            <w:pPr>
              <w:jc w:val="center"/>
            </w:pPr>
            <w:r>
              <w:rPr>
                <w:color w:val="000000"/>
                <w:sz w:val="24"/>
              </w:rPr>
              <w:t>5</w:t>
            </w:r>
          </w:p>
        </w:tc>
        <w:tc>
          <w:tcPr>
            <w:tcW w:w="1533" w:type="dxa"/>
            <w:vAlign w:val="center"/>
          </w:tcPr>
          <w:p w:rsidR="00A64235" w:rsidRDefault="00AA031F">
            <w:pPr>
              <w:jc w:val="center"/>
            </w:pPr>
            <w:r>
              <w:rPr>
                <w:color w:val="000000"/>
                <w:sz w:val="24"/>
              </w:rPr>
              <w:t>101556057</w:t>
            </w:r>
          </w:p>
        </w:tc>
        <w:tc>
          <w:tcPr>
            <w:tcW w:w="1533" w:type="dxa"/>
            <w:vAlign w:val="center"/>
          </w:tcPr>
          <w:p w:rsidR="00A64235" w:rsidRDefault="00AA031F">
            <w:pPr>
              <w:jc w:val="center"/>
            </w:pPr>
            <w:r>
              <w:rPr>
                <w:color w:val="000000"/>
                <w:sz w:val="24"/>
              </w:rPr>
              <w:t>15</w:t>
            </w:r>
            <w:r>
              <w:rPr>
                <w:color w:val="000000"/>
                <w:sz w:val="24"/>
              </w:rPr>
              <w:t>津城建</w:t>
            </w:r>
            <w:r>
              <w:rPr>
                <w:color w:val="000000"/>
                <w:sz w:val="24"/>
              </w:rPr>
              <w:t>MTN002</w:t>
            </w:r>
          </w:p>
        </w:tc>
        <w:tc>
          <w:tcPr>
            <w:tcW w:w="1394" w:type="dxa"/>
            <w:vAlign w:val="center"/>
          </w:tcPr>
          <w:p w:rsidR="00A64235" w:rsidRDefault="00AA031F">
            <w:pPr>
              <w:jc w:val="right"/>
            </w:pPr>
            <w:r>
              <w:rPr>
                <w:color w:val="000000"/>
                <w:sz w:val="24"/>
              </w:rPr>
              <w:t>400,000</w:t>
            </w:r>
          </w:p>
        </w:tc>
        <w:tc>
          <w:tcPr>
            <w:tcW w:w="1944" w:type="dxa"/>
            <w:vAlign w:val="center"/>
          </w:tcPr>
          <w:p w:rsidR="00A64235" w:rsidRDefault="00AA031F">
            <w:pPr>
              <w:jc w:val="right"/>
            </w:pPr>
            <w:r>
              <w:rPr>
                <w:color w:val="000000"/>
                <w:sz w:val="24"/>
              </w:rPr>
              <w:t>40,196,000.00</w:t>
            </w:r>
          </w:p>
        </w:tc>
        <w:tc>
          <w:tcPr>
            <w:tcW w:w="1389" w:type="dxa"/>
            <w:vAlign w:val="center"/>
          </w:tcPr>
          <w:p w:rsidR="00A64235" w:rsidRDefault="00AA031F">
            <w:pPr>
              <w:jc w:val="right"/>
            </w:pPr>
            <w:r>
              <w:rPr>
                <w:color w:val="000000"/>
                <w:sz w:val="24"/>
              </w:rPr>
              <w:t>3.93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5"/>
        <w:gridCol w:w="2774"/>
        <w:gridCol w:w="4849"/>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521,179.58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11,920,492.68</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92,868,324.10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105,309,996.36</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A64235">
        <w:trPr>
          <w:jc w:val="center"/>
        </w:trPr>
        <w:tc>
          <w:tcPr>
            <w:tcW w:w="0" w:type="auto"/>
            <w:vAlign w:val="center"/>
          </w:tcPr>
          <w:p w:rsidR="00A64235" w:rsidRDefault="00AA031F">
            <w:pPr>
              <w:jc w:val="center"/>
            </w:pPr>
            <w:r>
              <w:rPr>
                <w:rFonts w:eastAsiaTheme="minorEastAsia"/>
                <w:color w:val="000000"/>
                <w:sz w:val="24"/>
              </w:rPr>
              <w:t>1</w:t>
            </w:r>
          </w:p>
        </w:tc>
        <w:tc>
          <w:tcPr>
            <w:tcW w:w="0" w:type="auto"/>
            <w:vAlign w:val="center"/>
          </w:tcPr>
          <w:p w:rsidR="00A64235" w:rsidRDefault="00AA031F">
            <w:pPr>
              <w:jc w:val="center"/>
            </w:pPr>
            <w:r>
              <w:rPr>
                <w:rFonts w:eastAsiaTheme="minorEastAsia"/>
                <w:color w:val="000000"/>
                <w:sz w:val="24"/>
              </w:rPr>
              <w:t>128009</w:t>
            </w:r>
          </w:p>
        </w:tc>
        <w:tc>
          <w:tcPr>
            <w:tcW w:w="0" w:type="auto"/>
            <w:vAlign w:val="center"/>
          </w:tcPr>
          <w:p w:rsidR="00A64235" w:rsidRDefault="00AA031F">
            <w:pPr>
              <w:jc w:val="center"/>
            </w:pPr>
            <w:r>
              <w:rPr>
                <w:rFonts w:eastAsiaTheme="minorEastAsia"/>
                <w:color w:val="000000"/>
                <w:sz w:val="24"/>
              </w:rPr>
              <w:t>歌尔转债</w:t>
            </w:r>
          </w:p>
        </w:tc>
        <w:tc>
          <w:tcPr>
            <w:tcW w:w="0" w:type="auto"/>
            <w:vAlign w:val="center"/>
          </w:tcPr>
          <w:p w:rsidR="00A64235" w:rsidRDefault="00AA031F">
            <w:pPr>
              <w:jc w:val="right"/>
            </w:pPr>
            <w:r>
              <w:rPr>
                <w:rFonts w:eastAsiaTheme="minorEastAsia"/>
                <w:color w:val="000000"/>
                <w:sz w:val="24"/>
              </w:rPr>
              <w:t>8,428,200.00</w:t>
            </w:r>
          </w:p>
        </w:tc>
        <w:tc>
          <w:tcPr>
            <w:tcW w:w="0" w:type="auto"/>
            <w:vAlign w:val="center"/>
          </w:tcPr>
          <w:p w:rsidR="00A64235" w:rsidRDefault="00AA031F">
            <w:pPr>
              <w:jc w:val="right"/>
            </w:pPr>
            <w:r>
              <w:rPr>
                <w:rFonts w:eastAsiaTheme="minorEastAsia"/>
                <w:color w:val="000000"/>
                <w:sz w:val="24"/>
              </w:rPr>
              <w:t>0.82</w:t>
            </w:r>
          </w:p>
        </w:tc>
      </w:tr>
      <w:tr w:rsidR="00A64235">
        <w:trPr>
          <w:jc w:val="center"/>
        </w:trPr>
        <w:tc>
          <w:tcPr>
            <w:tcW w:w="0" w:type="auto"/>
            <w:vAlign w:val="center"/>
          </w:tcPr>
          <w:p w:rsidR="00A64235" w:rsidRDefault="00AA031F">
            <w:pPr>
              <w:jc w:val="center"/>
            </w:pPr>
            <w:r>
              <w:rPr>
                <w:rFonts w:eastAsiaTheme="minorEastAsia"/>
                <w:color w:val="000000"/>
                <w:sz w:val="24"/>
              </w:rPr>
              <w:t>2</w:t>
            </w:r>
          </w:p>
        </w:tc>
        <w:tc>
          <w:tcPr>
            <w:tcW w:w="0" w:type="auto"/>
            <w:vAlign w:val="center"/>
          </w:tcPr>
          <w:p w:rsidR="00A64235" w:rsidRDefault="00AA031F">
            <w:pPr>
              <w:jc w:val="center"/>
            </w:pPr>
            <w:r>
              <w:rPr>
                <w:rFonts w:eastAsiaTheme="minorEastAsia"/>
                <w:color w:val="000000"/>
                <w:sz w:val="24"/>
              </w:rPr>
              <w:t>113008</w:t>
            </w:r>
          </w:p>
        </w:tc>
        <w:tc>
          <w:tcPr>
            <w:tcW w:w="0" w:type="auto"/>
            <w:vAlign w:val="center"/>
          </w:tcPr>
          <w:p w:rsidR="00A64235" w:rsidRDefault="00AA031F">
            <w:pPr>
              <w:jc w:val="center"/>
            </w:pPr>
            <w:r>
              <w:rPr>
                <w:rFonts w:eastAsiaTheme="minorEastAsia"/>
                <w:color w:val="000000"/>
                <w:sz w:val="24"/>
              </w:rPr>
              <w:t>电气转债</w:t>
            </w:r>
          </w:p>
        </w:tc>
        <w:tc>
          <w:tcPr>
            <w:tcW w:w="0" w:type="auto"/>
            <w:vAlign w:val="center"/>
          </w:tcPr>
          <w:p w:rsidR="00A64235" w:rsidRDefault="00AA031F">
            <w:pPr>
              <w:jc w:val="right"/>
            </w:pPr>
            <w:r>
              <w:rPr>
                <w:rFonts w:eastAsiaTheme="minorEastAsia"/>
                <w:color w:val="000000"/>
                <w:sz w:val="24"/>
              </w:rPr>
              <w:t>1,376,700.00</w:t>
            </w:r>
          </w:p>
        </w:tc>
        <w:tc>
          <w:tcPr>
            <w:tcW w:w="0" w:type="auto"/>
            <w:vAlign w:val="center"/>
          </w:tcPr>
          <w:p w:rsidR="00A64235" w:rsidRDefault="00AA031F">
            <w:pPr>
              <w:jc w:val="right"/>
            </w:pPr>
            <w:r>
              <w:rPr>
                <w:rFonts w:eastAsiaTheme="minorEastAsia"/>
                <w:color w:val="000000"/>
                <w:sz w:val="24"/>
              </w:rPr>
              <w:t>0.13</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交银强化回报债券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交银强化回报债券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300,354,992.75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5,043,399.38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132,724,815.51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504,877,905.67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33,313,312.96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92,930,694.90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399,766,495.30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416,990,610.15</w:t>
            </w:r>
          </w:p>
        </w:tc>
      </w:tr>
    </w:tbl>
    <w:p w:rsidR="00A64235" w:rsidRDefault="00AA031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7F50FB">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、中国证监会准予交银施罗德强化回报债券型证券投资基金募集注册的文件；</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、《交银施罗德强化回报债券型证券投资基金基金合同》；</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、《交银施罗德强化回报债券型证券投资基金招募说明书》；</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、《交银施罗德强化回报债券型证券投资基金托管协议》；</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、关于募集交银施罗德强化回报债券型证券投资基金之法律意见书；</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、报告期内交银施罗德强化回报债券型证券投资基金在指定报刊上各项公告的原稿。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A64235" w:rsidRDefault="00AA031F">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559" w:rsidRDefault="00160559">
      <w:r>
        <w:separator/>
      </w:r>
    </w:p>
  </w:endnote>
  <w:endnote w:type="continuationSeparator" w:id="0">
    <w:p w:rsidR="00160559" w:rsidRDefault="0016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76A58">
      <w:rPr>
        <w:noProof/>
        <w:kern w:val="0"/>
        <w:szCs w:val="21"/>
      </w:rPr>
      <w:t>10</w:t>
    </w:r>
    <w:r>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76A58">
      <w:rPr>
        <w:noProof/>
        <w:kern w:val="0"/>
        <w:szCs w:val="21"/>
      </w:rPr>
      <w:t>14</w:t>
    </w:r>
    <w:r>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F50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559" w:rsidRDefault="00160559">
      <w:r>
        <w:separator/>
      </w:r>
    </w:p>
  </w:footnote>
  <w:footnote w:type="continuationSeparator" w:id="0">
    <w:p w:rsidR="00160559" w:rsidRDefault="00160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F76A58"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055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0C74"/>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4235"/>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31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13CB"/>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294D"/>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76A58"/>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9E61E14F-4CC1-4F70-A8A0-182AE315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E928-A702-4581-9922-AF0BA790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199</TotalTime>
  <Pages>14</Pages>
  <Words>1233</Words>
  <Characters>7029</Characters>
  <Application>Microsoft Office Word</Application>
  <DocSecurity>0</DocSecurity>
  <Lines>58</Lines>
  <Paragraphs>16</Paragraphs>
  <ScaleCrop>false</ScaleCrop>
  <Company>TRT. Ltd. Co.</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368</cp:revision>
  <cp:lastPrinted>2007-07-19T00:46:00Z</cp:lastPrinted>
  <dcterms:created xsi:type="dcterms:W3CDTF">2014-01-17T06:19:00Z</dcterms:created>
  <dcterms:modified xsi:type="dcterms:W3CDTF">2016-01-19T07:46:00Z</dcterms:modified>
</cp:coreProperties>
</file>