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二〇一六年一月二十一日</w:t>
      </w:r>
    </w:p>
    <w:p w:rsidR="00902E3F" w:rsidRPr="000E4C40" w:rsidRDefault="00902E3F" w:rsidP="00F41AA6">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524F6" w:rsidRDefault="000E47C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524F6" w:rsidRDefault="000E47C0">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524F6" w:rsidRDefault="000E47C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524F6" w:rsidRDefault="000E47C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524F6" w:rsidRDefault="000E47C0">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41,456,938.84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11,104,428.92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30,352,509.92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55,797.89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274,490.65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55,797.89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274,490.65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11,104,428.92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30,352,509.92</w:t>
            </w:r>
          </w:p>
        </w:tc>
      </w:tr>
    </w:tbl>
    <w:p w:rsidR="00A524F6" w:rsidRDefault="000E47C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524F6">
        <w:trPr>
          <w:jc w:val="center"/>
        </w:trPr>
        <w:tc>
          <w:tcPr>
            <w:tcW w:w="1266" w:type="dxa"/>
            <w:vAlign w:val="center"/>
          </w:tcPr>
          <w:p w:rsidR="00A524F6" w:rsidRDefault="000E47C0">
            <w:pPr>
              <w:jc w:val="left"/>
            </w:pPr>
            <w:r>
              <w:rPr>
                <w:color w:val="000000"/>
              </w:rPr>
              <w:lastRenderedPageBreak/>
              <w:t>过去三个月</w:t>
            </w:r>
          </w:p>
        </w:tc>
        <w:tc>
          <w:tcPr>
            <w:tcW w:w="1267" w:type="dxa"/>
            <w:vAlign w:val="center"/>
          </w:tcPr>
          <w:p w:rsidR="00A524F6" w:rsidRDefault="000E47C0">
            <w:pPr>
              <w:jc w:val="center"/>
            </w:pPr>
            <w:r>
              <w:rPr>
                <w:color w:val="000000"/>
              </w:rPr>
              <w:t>0.4711%</w:t>
            </w:r>
          </w:p>
        </w:tc>
        <w:tc>
          <w:tcPr>
            <w:tcW w:w="1267" w:type="dxa"/>
            <w:vAlign w:val="center"/>
          </w:tcPr>
          <w:p w:rsidR="00A524F6" w:rsidRDefault="000E47C0">
            <w:pPr>
              <w:jc w:val="center"/>
            </w:pPr>
            <w:r>
              <w:rPr>
                <w:color w:val="000000"/>
              </w:rPr>
              <w:t>0.0024%</w:t>
            </w:r>
          </w:p>
        </w:tc>
        <w:tc>
          <w:tcPr>
            <w:tcW w:w="1267" w:type="dxa"/>
            <w:vAlign w:val="center"/>
          </w:tcPr>
          <w:p w:rsidR="00A524F6" w:rsidRDefault="000E47C0">
            <w:pPr>
              <w:jc w:val="center"/>
            </w:pPr>
            <w:r>
              <w:rPr>
                <w:color w:val="000000"/>
              </w:rPr>
              <w:t>0.3403%</w:t>
            </w:r>
          </w:p>
        </w:tc>
        <w:tc>
          <w:tcPr>
            <w:tcW w:w="1267" w:type="dxa"/>
            <w:vAlign w:val="center"/>
          </w:tcPr>
          <w:p w:rsidR="00A524F6" w:rsidRDefault="000E47C0">
            <w:pPr>
              <w:jc w:val="center"/>
            </w:pPr>
            <w:r>
              <w:rPr>
                <w:color w:val="000000"/>
              </w:rPr>
              <w:t>0.0000%</w:t>
            </w:r>
          </w:p>
        </w:tc>
        <w:tc>
          <w:tcPr>
            <w:tcW w:w="1267" w:type="dxa"/>
            <w:vAlign w:val="center"/>
          </w:tcPr>
          <w:p w:rsidR="00A524F6" w:rsidRDefault="000E47C0">
            <w:pPr>
              <w:jc w:val="center"/>
            </w:pPr>
            <w:r>
              <w:rPr>
                <w:color w:val="000000"/>
              </w:rPr>
              <w:t>0.1308%</w:t>
            </w:r>
          </w:p>
        </w:tc>
        <w:tc>
          <w:tcPr>
            <w:tcW w:w="1267" w:type="dxa"/>
            <w:vAlign w:val="center"/>
          </w:tcPr>
          <w:p w:rsidR="00A524F6" w:rsidRDefault="000E47C0">
            <w:pPr>
              <w:jc w:val="center"/>
            </w:pPr>
            <w:r>
              <w:rPr>
                <w:color w:val="000000"/>
              </w:rPr>
              <w:t>0.0024%</w:t>
            </w:r>
          </w:p>
        </w:tc>
      </w:tr>
    </w:tbl>
    <w:p w:rsidR="00A524F6" w:rsidRDefault="000E47C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524F6">
        <w:trPr>
          <w:jc w:val="center"/>
        </w:trPr>
        <w:tc>
          <w:tcPr>
            <w:tcW w:w="1266" w:type="dxa"/>
            <w:vAlign w:val="center"/>
          </w:tcPr>
          <w:p w:rsidR="00A524F6" w:rsidRDefault="000E47C0">
            <w:pPr>
              <w:jc w:val="left"/>
            </w:pPr>
            <w:r>
              <w:rPr>
                <w:color w:val="000000"/>
              </w:rPr>
              <w:t>过去三个月</w:t>
            </w:r>
          </w:p>
        </w:tc>
        <w:tc>
          <w:tcPr>
            <w:tcW w:w="1267" w:type="dxa"/>
            <w:vAlign w:val="center"/>
          </w:tcPr>
          <w:p w:rsidR="00A524F6" w:rsidRDefault="000E47C0">
            <w:pPr>
              <w:jc w:val="center"/>
            </w:pPr>
            <w:r>
              <w:rPr>
                <w:color w:val="000000"/>
              </w:rPr>
              <w:t>0.5445%</w:t>
            </w:r>
          </w:p>
        </w:tc>
        <w:tc>
          <w:tcPr>
            <w:tcW w:w="1267" w:type="dxa"/>
            <w:vAlign w:val="center"/>
          </w:tcPr>
          <w:p w:rsidR="00A524F6" w:rsidRDefault="000E47C0">
            <w:pPr>
              <w:jc w:val="center"/>
            </w:pPr>
            <w:r>
              <w:rPr>
                <w:color w:val="000000"/>
              </w:rPr>
              <w:t>0.0024%</w:t>
            </w:r>
          </w:p>
        </w:tc>
        <w:tc>
          <w:tcPr>
            <w:tcW w:w="1267" w:type="dxa"/>
            <w:vAlign w:val="center"/>
          </w:tcPr>
          <w:p w:rsidR="00A524F6" w:rsidRDefault="000E47C0">
            <w:pPr>
              <w:jc w:val="center"/>
            </w:pPr>
            <w:r>
              <w:rPr>
                <w:color w:val="000000"/>
              </w:rPr>
              <w:t>0.3403%</w:t>
            </w:r>
          </w:p>
        </w:tc>
        <w:tc>
          <w:tcPr>
            <w:tcW w:w="1267" w:type="dxa"/>
            <w:vAlign w:val="center"/>
          </w:tcPr>
          <w:p w:rsidR="00A524F6" w:rsidRDefault="000E47C0">
            <w:pPr>
              <w:jc w:val="center"/>
            </w:pPr>
            <w:r>
              <w:rPr>
                <w:color w:val="000000"/>
              </w:rPr>
              <w:t>0.0000%</w:t>
            </w:r>
          </w:p>
        </w:tc>
        <w:tc>
          <w:tcPr>
            <w:tcW w:w="1267" w:type="dxa"/>
            <w:vAlign w:val="center"/>
          </w:tcPr>
          <w:p w:rsidR="00A524F6" w:rsidRDefault="000E47C0">
            <w:pPr>
              <w:jc w:val="center"/>
            </w:pPr>
            <w:r>
              <w:rPr>
                <w:color w:val="000000"/>
              </w:rPr>
              <w:t>0.2042%</w:t>
            </w:r>
          </w:p>
        </w:tc>
        <w:tc>
          <w:tcPr>
            <w:tcW w:w="1267" w:type="dxa"/>
            <w:vAlign w:val="center"/>
          </w:tcPr>
          <w:p w:rsidR="00A524F6" w:rsidRDefault="000E47C0">
            <w:pPr>
              <w:jc w:val="center"/>
            </w:pPr>
            <w:r>
              <w:rPr>
                <w:color w:val="000000"/>
              </w:rPr>
              <w:t>0.0024%</w:t>
            </w:r>
          </w:p>
        </w:tc>
      </w:tr>
    </w:tbl>
    <w:p w:rsidR="00A524F6" w:rsidRDefault="000E47C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524F6">
        <w:trPr>
          <w:jc w:val="center"/>
        </w:trPr>
        <w:tc>
          <w:tcPr>
            <w:tcW w:w="945" w:type="dxa"/>
            <w:vAlign w:val="center"/>
          </w:tcPr>
          <w:p w:rsidR="00A524F6" w:rsidRDefault="000E47C0">
            <w:pPr>
              <w:jc w:val="center"/>
            </w:pPr>
            <w:r>
              <w:rPr>
                <w:color w:val="000000"/>
                <w:sz w:val="24"/>
              </w:rPr>
              <w:t>孙超</w:t>
            </w:r>
          </w:p>
        </w:tc>
        <w:tc>
          <w:tcPr>
            <w:tcW w:w="1589" w:type="dxa"/>
            <w:vAlign w:val="center"/>
          </w:tcPr>
          <w:p w:rsidR="00A524F6" w:rsidRDefault="000E47C0">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478" w:type="dxa"/>
            <w:vAlign w:val="center"/>
          </w:tcPr>
          <w:p w:rsidR="00A524F6" w:rsidRDefault="000E47C0">
            <w:pPr>
              <w:jc w:val="center"/>
            </w:pPr>
            <w:r>
              <w:rPr>
                <w:color w:val="000000"/>
                <w:sz w:val="24"/>
              </w:rPr>
              <w:t>2014-08-26</w:t>
            </w:r>
          </w:p>
        </w:tc>
        <w:tc>
          <w:tcPr>
            <w:tcW w:w="1478" w:type="dxa"/>
            <w:vAlign w:val="center"/>
          </w:tcPr>
          <w:p w:rsidR="00A524F6" w:rsidRDefault="000E47C0" w:rsidP="004631D6">
            <w:pPr>
              <w:jc w:val="center"/>
            </w:pPr>
            <w:r>
              <w:rPr>
                <w:color w:val="000000"/>
                <w:sz w:val="24"/>
              </w:rPr>
              <w:t>2015-11-1</w:t>
            </w:r>
            <w:bookmarkStart w:id="0" w:name="_GoBack"/>
            <w:r w:rsidR="004631D6">
              <w:rPr>
                <w:color w:val="000000"/>
                <w:sz w:val="24"/>
              </w:rPr>
              <w:t>8</w:t>
            </w:r>
            <w:bookmarkEnd w:id="0"/>
          </w:p>
        </w:tc>
        <w:tc>
          <w:tcPr>
            <w:tcW w:w="986" w:type="dxa"/>
            <w:vAlign w:val="center"/>
          </w:tcPr>
          <w:p w:rsidR="00A524F6" w:rsidRDefault="000E47C0">
            <w:pPr>
              <w:jc w:val="center"/>
            </w:pPr>
            <w:r>
              <w:rPr>
                <w:color w:val="000000"/>
                <w:sz w:val="24"/>
              </w:rPr>
              <w:t>4</w:t>
            </w:r>
            <w:r>
              <w:rPr>
                <w:color w:val="000000"/>
                <w:sz w:val="24"/>
              </w:rPr>
              <w:t>年</w:t>
            </w:r>
          </w:p>
        </w:tc>
        <w:tc>
          <w:tcPr>
            <w:tcW w:w="2392" w:type="dxa"/>
            <w:vAlign w:val="center"/>
          </w:tcPr>
          <w:p w:rsidR="00A524F6" w:rsidRDefault="000E47C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4631D6">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4631D6">
              <w:rPr>
                <w:color w:val="000000"/>
                <w:sz w:val="24"/>
              </w:rPr>
              <w:t>17</w:t>
            </w:r>
            <w:r>
              <w:rPr>
                <w:color w:val="000000"/>
                <w:sz w:val="24"/>
              </w:rPr>
              <w:t>日担任交银施罗德双轮动债券型证券投资基金基金经理。</w:t>
            </w:r>
          </w:p>
        </w:tc>
      </w:tr>
      <w:tr w:rsidR="00A524F6">
        <w:trPr>
          <w:jc w:val="center"/>
        </w:trPr>
        <w:tc>
          <w:tcPr>
            <w:tcW w:w="945" w:type="dxa"/>
            <w:vAlign w:val="center"/>
          </w:tcPr>
          <w:p w:rsidR="00A524F6" w:rsidRDefault="000E47C0">
            <w:pPr>
              <w:jc w:val="center"/>
            </w:pPr>
            <w:r>
              <w:rPr>
                <w:color w:val="000000"/>
                <w:sz w:val="24"/>
              </w:rPr>
              <w:t>连端清</w:t>
            </w:r>
          </w:p>
        </w:tc>
        <w:tc>
          <w:tcPr>
            <w:tcW w:w="1589" w:type="dxa"/>
            <w:vAlign w:val="center"/>
          </w:tcPr>
          <w:p w:rsidR="00A524F6" w:rsidRDefault="000E47C0">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78" w:type="dxa"/>
            <w:vAlign w:val="center"/>
          </w:tcPr>
          <w:p w:rsidR="00A524F6" w:rsidRDefault="000E47C0">
            <w:pPr>
              <w:jc w:val="center"/>
            </w:pPr>
            <w:r>
              <w:rPr>
                <w:color w:val="000000"/>
                <w:sz w:val="24"/>
              </w:rPr>
              <w:t>2015-10-16</w:t>
            </w:r>
          </w:p>
        </w:tc>
        <w:tc>
          <w:tcPr>
            <w:tcW w:w="1478" w:type="dxa"/>
            <w:vAlign w:val="center"/>
          </w:tcPr>
          <w:p w:rsidR="00A524F6" w:rsidRDefault="000E47C0">
            <w:pPr>
              <w:jc w:val="center"/>
            </w:pPr>
            <w:r>
              <w:rPr>
                <w:color w:val="000000"/>
                <w:sz w:val="24"/>
              </w:rPr>
              <w:t>-</w:t>
            </w:r>
          </w:p>
        </w:tc>
        <w:tc>
          <w:tcPr>
            <w:tcW w:w="986" w:type="dxa"/>
            <w:vAlign w:val="center"/>
          </w:tcPr>
          <w:p w:rsidR="00A524F6" w:rsidRDefault="000E47C0">
            <w:pPr>
              <w:jc w:val="center"/>
            </w:pPr>
            <w:r>
              <w:rPr>
                <w:color w:val="000000"/>
                <w:sz w:val="24"/>
              </w:rPr>
              <w:t>4</w:t>
            </w:r>
            <w:r>
              <w:rPr>
                <w:color w:val="000000"/>
                <w:sz w:val="24"/>
              </w:rPr>
              <w:t>年</w:t>
            </w:r>
          </w:p>
        </w:tc>
        <w:tc>
          <w:tcPr>
            <w:tcW w:w="2392" w:type="dxa"/>
            <w:vAlign w:val="center"/>
          </w:tcPr>
          <w:p w:rsidR="00A524F6" w:rsidRDefault="000E47C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524F6" w:rsidRDefault="000E47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524F6" w:rsidRDefault="000E47C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524F6" w:rsidRDefault="000E47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524F6" w:rsidRDefault="000E47C0">
      <w:pPr>
        <w:spacing w:before="29" w:line="288" w:lineRule="auto"/>
        <w:ind w:firstLineChars="200" w:firstLine="480"/>
        <w:rPr>
          <w:color w:val="000000"/>
          <w:sz w:val="24"/>
        </w:rPr>
      </w:pPr>
      <w:r>
        <w:rPr>
          <w:color w:val="000000"/>
          <w:sz w:val="24"/>
        </w:rPr>
        <w:t>2015</w:t>
      </w:r>
      <w:r>
        <w:rPr>
          <w:color w:val="000000"/>
          <w:sz w:val="24"/>
        </w:rPr>
        <w:t>年四季度，国内经济整体上依旧有下行压力，</w:t>
      </w:r>
      <w:r>
        <w:rPr>
          <w:color w:val="000000"/>
          <w:sz w:val="24"/>
        </w:rPr>
        <w:t>CPI</w:t>
      </w:r>
      <w:r>
        <w:rPr>
          <w:color w:val="000000"/>
          <w:sz w:val="24"/>
        </w:rPr>
        <w:t>低位运行。尽管受稳增长影响，部分指标如工业增加值及制造业投资有企稳好转迹象，但是房地产投资依旧处于下行通道，传统制造业去产能及房地产行业去库存的挑战依旧。</w:t>
      </w:r>
    </w:p>
    <w:p w:rsidR="00A524F6" w:rsidRDefault="000E47C0">
      <w:pPr>
        <w:spacing w:before="29" w:line="288" w:lineRule="auto"/>
        <w:ind w:firstLineChars="200" w:firstLine="480"/>
        <w:rPr>
          <w:color w:val="000000"/>
          <w:sz w:val="24"/>
        </w:rPr>
      </w:pPr>
      <w:r>
        <w:rPr>
          <w:color w:val="000000"/>
          <w:sz w:val="24"/>
        </w:rPr>
        <w:t>货币政策上，央行货币政策维持宽松操作思路。鉴于国内经济下行压力，央行赶在美联储加息前，于</w:t>
      </w:r>
      <w:r>
        <w:rPr>
          <w:color w:val="000000"/>
          <w:sz w:val="24"/>
        </w:rPr>
        <w:t>10</w:t>
      </w:r>
      <w:r>
        <w:rPr>
          <w:color w:val="000000"/>
          <w:sz w:val="24"/>
        </w:rPr>
        <w:t>月下旬再次降准降息。美联储在</w:t>
      </w:r>
      <w:r>
        <w:rPr>
          <w:color w:val="000000"/>
          <w:sz w:val="24"/>
        </w:rPr>
        <w:t>12</w:t>
      </w:r>
      <w:r>
        <w:rPr>
          <w:color w:val="000000"/>
          <w:sz w:val="24"/>
        </w:rPr>
        <w:t>月份如期加息，中美央行的货币政策再度分化。受央行宽松货币政策影响，四季度资金面宽裕，银行间市场回购利率维持低位。但是先后受到</w:t>
      </w:r>
      <w:r>
        <w:rPr>
          <w:color w:val="000000"/>
          <w:sz w:val="24"/>
        </w:rPr>
        <w:t>10</w:t>
      </w:r>
      <w:r>
        <w:rPr>
          <w:color w:val="000000"/>
          <w:sz w:val="24"/>
        </w:rPr>
        <w:t>月份央行双降、</w:t>
      </w:r>
      <w:r>
        <w:rPr>
          <w:color w:val="000000"/>
          <w:sz w:val="24"/>
        </w:rPr>
        <w:t>11</w:t>
      </w:r>
      <w:r>
        <w:rPr>
          <w:color w:val="000000"/>
          <w:sz w:val="24"/>
        </w:rPr>
        <w:t>月</w:t>
      </w:r>
      <w:r>
        <w:rPr>
          <w:color w:val="000000"/>
          <w:sz w:val="24"/>
        </w:rPr>
        <w:t>IPO</w:t>
      </w:r>
      <w:r>
        <w:rPr>
          <w:color w:val="000000"/>
          <w:sz w:val="24"/>
        </w:rPr>
        <w:t>重启及</w:t>
      </w:r>
      <w:r>
        <w:rPr>
          <w:color w:val="000000"/>
          <w:sz w:val="24"/>
        </w:rPr>
        <w:t>12</w:t>
      </w:r>
      <w:r>
        <w:rPr>
          <w:color w:val="000000"/>
          <w:sz w:val="24"/>
        </w:rPr>
        <w:t>月资金面整体宽松下配置增强等影响，四季度债市经历先涨、后回调、再涨的行情，波动较大，行情腾挪跌宕，整体上较三季度继续大涨。</w:t>
      </w:r>
    </w:p>
    <w:p w:rsidR="00A524F6" w:rsidRDefault="000E47C0">
      <w:pPr>
        <w:spacing w:before="29" w:line="288" w:lineRule="auto"/>
        <w:ind w:firstLineChars="200" w:firstLine="480"/>
        <w:rPr>
          <w:color w:val="000000"/>
          <w:sz w:val="24"/>
        </w:rPr>
      </w:pPr>
      <w:r>
        <w:rPr>
          <w:color w:val="000000"/>
          <w:sz w:val="24"/>
        </w:rPr>
        <w:t>基金操作方面，报告期内本基金回笼资金满足客户赎回需求，在资产类别配置上以存款及债券为主，择机卖出部分债券，享受利率下行带来的资本利得，增加了组合收益。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2016</w:t>
      </w:r>
      <w:r w:rsidRPr="000E4C40">
        <w:rPr>
          <w:color w:val="000000"/>
          <w:sz w:val="24"/>
        </w:rPr>
        <w:t>年一季度，考虑短期内依然面临传统制造业去产能及房地产行业去库存等问题，房地产投资增速仍有继续下滑的可能，国内经济整体上依然有下行压力。央行预计整体上将维持宽松的货币政策，但流动性边际改善的幅度可能不及</w:t>
      </w:r>
      <w:r w:rsidRPr="000E4C40">
        <w:rPr>
          <w:color w:val="000000"/>
          <w:sz w:val="24"/>
        </w:rPr>
        <w:t>2015</w:t>
      </w:r>
      <w:r w:rsidRPr="000E4C40">
        <w:rPr>
          <w:color w:val="000000"/>
          <w:sz w:val="24"/>
        </w:rPr>
        <w:t>年。预计一季度将更多以定向工具及公开市场操作为主来维持较宽裕的流动性，不排除降准降息的可能性，但全面降准降息的频率较</w:t>
      </w:r>
      <w:r w:rsidRPr="000E4C40">
        <w:rPr>
          <w:color w:val="000000"/>
          <w:sz w:val="24"/>
        </w:rPr>
        <w:t>2015</w:t>
      </w:r>
      <w:r w:rsidRPr="000E4C40">
        <w:rPr>
          <w:color w:val="000000"/>
          <w:sz w:val="24"/>
        </w:rPr>
        <w:t>年可能下降。组合管理方面，本基金将密切关注经济走势与央行货币政策操作动态，在保持较好流动性的同时紧抓市场机会，控制信用风险，努力为基金份额持有人创造稳健的回报。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0.4711%</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0.5445%</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23,022,655.64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55.32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23,022,655.64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55.32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15,000,142.50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3,243,615.32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352,635.44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41,619,048.90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0.37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142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56.07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31.42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12.06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99.55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13,024,433.57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31.42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13,024,433.57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31.42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9,998,222.07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23,022,655.64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55.53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3"/>
        <w:gridCol w:w="1296"/>
        <w:gridCol w:w="1813"/>
        <w:gridCol w:w="1167"/>
        <w:gridCol w:w="2142"/>
        <w:gridCol w:w="146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524F6">
        <w:trPr>
          <w:jc w:val="center"/>
        </w:trPr>
        <w:tc>
          <w:tcPr>
            <w:tcW w:w="0" w:type="auto"/>
            <w:vAlign w:val="center"/>
          </w:tcPr>
          <w:p w:rsidR="00A524F6" w:rsidRDefault="000E47C0">
            <w:pPr>
              <w:jc w:val="center"/>
            </w:pPr>
            <w:r>
              <w:rPr>
                <w:color w:val="000000"/>
                <w:sz w:val="24"/>
              </w:rPr>
              <w:t>1</w:t>
            </w:r>
          </w:p>
        </w:tc>
        <w:tc>
          <w:tcPr>
            <w:tcW w:w="0" w:type="auto"/>
            <w:vAlign w:val="center"/>
          </w:tcPr>
          <w:p w:rsidR="00A524F6" w:rsidRDefault="000E47C0">
            <w:pPr>
              <w:jc w:val="center"/>
            </w:pPr>
            <w:r>
              <w:rPr>
                <w:color w:val="000000"/>
                <w:sz w:val="24"/>
              </w:rPr>
              <w:t>150211</w:t>
            </w:r>
          </w:p>
        </w:tc>
        <w:tc>
          <w:tcPr>
            <w:tcW w:w="0" w:type="auto"/>
            <w:vAlign w:val="center"/>
          </w:tcPr>
          <w:p w:rsidR="00A524F6" w:rsidRDefault="000E47C0">
            <w:pPr>
              <w:jc w:val="center"/>
            </w:pPr>
            <w:r>
              <w:rPr>
                <w:color w:val="000000"/>
                <w:sz w:val="24"/>
              </w:rPr>
              <w:t>15</w:t>
            </w:r>
            <w:r>
              <w:rPr>
                <w:color w:val="000000"/>
                <w:sz w:val="24"/>
              </w:rPr>
              <w:t>国开</w:t>
            </w:r>
            <w:r>
              <w:rPr>
                <w:color w:val="000000"/>
                <w:sz w:val="24"/>
              </w:rPr>
              <w:t>11</w:t>
            </w:r>
          </w:p>
        </w:tc>
        <w:tc>
          <w:tcPr>
            <w:tcW w:w="0" w:type="auto"/>
            <w:vAlign w:val="center"/>
          </w:tcPr>
          <w:p w:rsidR="00A524F6" w:rsidRDefault="000E47C0">
            <w:pPr>
              <w:jc w:val="right"/>
            </w:pPr>
            <w:r>
              <w:rPr>
                <w:color w:val="000000"/>
                <w:sz w:val="24"/>
              </w:rPr>
              <w:t>100,000</w:t>
            </w:r>
          </w:p>
        </w:tc>
        <w:tc>
          <w:tcPr>
            <w:tcW w:w="0" w:type="auto"/>
            <w:vAlign w:val="center"/>
          </w:tcPr>
          <w:p w:rsidR="00A524F6" w:rsidRDefault="000E47C0">
            <w:pPr>
              <w:jc w:val="right"/>
            </w:pPr>
            <w:r>
              <w:rPr>
                <w:color w:val="000000"/>
                <w:sz w:val="24"/>
              </w:rPr>
              <w:t>10,018,628.28</w:t>
            </w:r>
          </w:p>
        </w:tc>
        <w:tc>
          <w:tcPr>
            <w:tcW w:w="0" w:type="auto"/>
            <w:vAlign w:val="center"/>
          </w:tcPr>
          <w:p w:rsidR="00A524F6" w:rsidRDefault="000E47C0">
            <w:pPr>
              <w:jc w:val="right"/>
            </w:pPr>
            <w:r>
              <w:rPr>
                <w:color w:val="000000"/>
                <w:sz w:val="24"/>
              </w:rPr>
              <w:t>24.17</w:t>
            </w:r>
          </w:p>
        </w:tc>
      </w:tr>
      <w:tr w:rsidR="00A524F6">
        <w:trPr>
          <w:jc w:val="center"/>
        </w:trPr>
        <w:tc>
          <w:tcPr>
            <w:tcW w:w="0" w:type="auto"/>
            <w:vAlign w:val="center"/>
          </w:tcPr>
          <w:p w:rsidR="00A524F6" w:rsidRDefault="000E47C0">
            <w:pPr>
              <w:jc w:val="center"/>
            </w:pPr>
            <w:r>
              <w:rPr>
                <w:color w:val="000000"/>
                <w:sz w:val="24"/>
              </w:rPr>
              <w:t>2</w:t>
            </w:r>
          </w:p>
        </w:tc>
        <w:tc>
          <w:tcPr>
            <w:tcW w:w="0" w:type="auto"/>
            <w:vAlign w:val="center"/>
          </w:tcPr>
          <w:p w:rsidR="00A524F6" w:rsidRDefault="000E47C0">
            <w:pPr>
              <w:jc w:val="center"/>
            </w:pPr>
            <w:r>
              <w:rPr>
                <w:color w:val="000000"/>
                <w:sz w:val="24"/>
              </w:rPr>
              <w:t>071549001</w:t>
            </w:r>
          </w:p>
        </w:tc>
        <w:tc>
          <w:tcPr>
            <w:tcW w:w="0" w:type="auto"/>
            <w:vAlign w:val="center"/>
          </w:tcPr>
          <w:p w:rsidR="00A524F6" w:rsidRDefault="000E47C0">
            <w:pPr>
              <w:jc w:val="center"/>
            </w:pPr>
            <w:r>
              <w:rPr>
                <w:color w:val="000000"/>
                <w:sz w:val="24"/>
              </w:rPr>
              <w:t>15</w:t>
            </w:r>
            <w:r>
              <w:rPr>
                <w:color w:val="000000"/>
                <w:sz w:val="24"/>
              </w:rPr>
              <w:t>首创证券</w:t>
            </w:r>
            <w:r>
              <w:rPr>
                <w:color w:val="000000"/>
                <w:sz w:val="24"/>
              </w:rPr>
              <w:t>CP001</w:t>
            </w:r>
          </w:p>
        </w:tc>
        <w:tc>
          <w:tcPr>
            <w:tcW w:w="0" w:type="auto"/>
            <w:vAlign w:val="center"/>
          </w:tcPr>
          <w:p w:rsidR="00A524F6" w:rsidRDefault="000E47C0">
            <w:pPr>
              <w:jc w:val="right"/>
            </w:pPr>
            <w:r>
              <w:rPr>
                <w:color w:val="000000"/>
                <w:sz w:val="24"/>
              </w:rPr>
              <w:t>50,000</w:t>
            </w:r>
          </w:p>
        </w:tc>
        <w:tc>
          <w:tcPr>
            <w:tcW w:w="0" w:type="auto"/>
            <w:vAlign w:val="center"/>
          </w:tcPr>
          <w:p w:rsidR="00A524F6" w:rsidRDefault="000E47C0">
            <w:pPr>
              <w:jc w:val="right"/>
            </w:pPr>
            <w:r>
              <w:rPr>
                <w:color w:val="000000"/>
                <w:sz w:val="24"/>
              </w:rPr>
              <w:t>4,999,860.72</w:t>
            </w:r>
          </w:p>
        </w:tc>
        <w:tc>
          <w:tcPr>
            <w:tcW w:w="0" w:type="auto"/>
            <w:vAlign w:val="center"/>
          </w:tcPr>
          <w:p w:rsidR="00A524F6" w:rsidRDefault="000E47C0">
            <w:pPr>
              <w:jc w:val="right"/>
            </w:pPr>
            <w:r>
              <w:rPr>
                <w:color w:val="000000"/>
                <w:sz w:val="24"/>
              </w:rPr>
              <w:t>12.06</w:t>
            </w:r>
          </w:p>
        </w:tc>
      </w:tr>
      <w:tr w:rsidR="00A524F6">
        <w:trPr>
          <w:jc w:val="center"/>
        </w:trPr>
        <w:tc>
          <w:tcPr>
            <w:tcW w:w="0" w:type="auto"/>
            <w:vAlign w:val="center"/>
          </w:tcPr>
          <w:p w:rsidR="00A524F6" w:rsidRDefault="000E47C0">
            <w:pPr>
              <w:jc w:val="center"/>
            </w:pPr>
            <w:r>
              <w:rPr>
                <w:color w:val="000000"/>
                <w:sz w:val="24"/>
              </w:rPr>
              <w:t>3</w:t>
            </w:r>
          </w:p>
        </w:tc>
        <w:tc>
          <w:tcPr>
            <w:tcW w:w="0" w:type="auto"/>
            <w:vAlign w:val="center"/>
          </w:tcPr>
          <w:p w:rsidR="00A524F6" w:rsidRDefault="000E47C0">
            <w:pPr>
              <w:jc w:val="center"/>
            </w:pPr>
            <w:r>
              <w:rPr>
                <w:color w:val="000000"/>
                <w:sz w:val="24"/>
              </w:rPr>
              <w:t>041553073</w:t>
            </w:r>
          </w:p>
        </w:tc>
        <w:tc>
          <w:tcPr>
            <w:tcW w:w="0" w:type="auto"/>
            <w:vAlign w:val="center"/>
          </w:tcPr>
          <w:p w:rsidR="00A524F6" w:rsidRDefault="000E47C0">
            <w:pPr>
              <w:jc w:val="center"/>
            </w:pPr>
            <w:r>
              <w:rPr>
                <w:color w:val="000000"/>
                <w:sz w:val="24"/>
              </w:rPr>
              <w:t>15</w:t>
            </w:r>
            <w:r>
              <w:rPr>
                <w:color w:val="000000"/>
                <w:sz w:val="24"/>
              </w:rPr>
              <w:t>深茂业</w:t>
            </w:r>
            <w:r>
              <w:rPr>
                <w:color w:val="000000"/>
                <w:sz w:val="24"/>
              </w:rPr>
              <w:t>CP003</w:t>
            </w:r>
          </w:p>
        </w:tc>
        <w:tc>
          <w:tcPr>
            <w:tcW w:w="0" w:type="auto"/>
            <w:vAlign w:val="center"/>
          </w:tcPr>
          <w:p w:rsidR="00A524F6" w:rsidRDefault="000E47C0">
            <w:pPr>
              <w:jc w:val="right"/>
            </w:pPr>
            <w:r>
              <w:rPr>
                <w:color w:val="000000"/>
                <w:sz w:val="24"/>
              </w:rPr>
              <w:t>50,000</w:t>
            </w:r>
          </w:p>
        </w:tc>
        <w:tc>
          <w:tcPr>
            <w:tcW w:w="0" w:type="auto"/>
            <w:vAlign w:val="center"/>
          </w:tcPr>
          <w:p w:rsidR="00A524F6" w:rsidRDefault="000E47C0">
            <w:pPr>
              <w:jc w:val="right"/>
            </w:pPr>
            <w:r>
              <w:rPr>
                <w:color w:val="000000"/>
                <w:sz w:val="24"/>
              </w:rPr>
              <w:t>4,998,361.35</w:t>
            </w:r>
          </w:p>
        </w:tc>
        <w:tc>
          <w:tcPr>
            <w:tcW w:w="0" w:type="auto"/>
            <w:vAlign w:val="center"/>
          </w:tcPr>
          <w:p w:rsidR="00A524F6" w:rsidRDefault="000E47C0">
            <w:pPr>
              <w:jc w:val="right"/>
            </w:pPr>
            <w:r>
              <w:rPr>
                <w:color w:val="000000"/>
                <w:sz w:val="24"/>
              </w:rPr>
              <w:t>12.06</w:t>
            </w:r>
          </w:p>
        </w:tc>
      </w:tr>
      <w:tr w:rsidR="00A524F6">
        <w:trPr>
          <w:jc w:val="center"/>
        </w:trPr>
        <w:tc>
          <w:tcPr>
            <w:tcW w:w="0" w:type="auto"/>
            <w:vAlign w:val="center"/>
          </w:tcPr>
          <w:p w:rsidR="00A524F6" w:rsidRDefault="000E47C0">
            <w:pPr>
              <w:jc w:val="center"/>
            </w:pPr>
            <w:r>
              <w:rPr>
                <w:color w:val="000000"/>
                <w:sz w:val="24"/>
              </w:rPr>
              <w:t>4</w:t>
            </w:r>
          </w:p>
        </w:tc>
        <w:tc>
          <w:tcPr>
            <w:tcW w:w="0" w:type="auto"/>
            <w:vAlign w:val="center"/>
          </w:tcPr>
          <w:p w:rsidR="00A524F6" w:rsidRDefault="000E47C0">
            <w:pPr>
              <w:jc w:val="center"/>
            </w:pPr>
            <w:r>
              <w:rPr>
                <w:color w:val="000000"/>
                <w:sz w:val="24"/>
              </w:rPr>
              <w:t>150411</w:t>
            </w:r>
          </w:p>
        </w:tc>
        <w:tc>
          <w:tcPr>
            <w:tcW w:w="0" w:type="auto"/>
            <w:vAlign w:val="center"/>
          </w:tcPr>
          <w:p w:rsidR="00A524F6" w:rsidRDefault="000E47C0">
            <w:pPr>
              <w:jc w:val="center"/>
            </w:pPr>
            <w:r>
              <w:rPr>
                <w:color w:val="000000"/>
                <w:sz w:val="24"/>
              </w:rPr>
              <w:t>15</w:t>
            </w:r>
            <w:r>
              <w:rPr>
                <w:color w:val="000000"/>
                <w:sz w:val="24"/>
              </w:rPr>
              <w:t>农发</w:t>
            </w:r>
            <w:r>
              <w:rPr>
                <w:color w:val="000000"/>
                <w:sz w:val="24"/>
              </w:rPr>
              <w:t>11</w:t>
            </w:r>
          </w:p>
        </w:tc>
        <w:tc>
          <w:tcPr>
            <w:tcW w:w="0" w:type="auto"/>
            <w:vAlign w:val="center"/>
          </w:tcPr>
          <w:p w:rsidR="00A524F6" w:rsidRDefault="000E47C0">
            <w:pPr>
              <w:jc w:val="right"/>
            </w:pPr>
            <w:r>
              <w:rPr>
                <w:color w:val="000000"/>
                <w:sz w:val="24"/>
              </w:rPr>
              <w:t>30,000</w:t>
            </w:r>
          </w:p>
        </w:tc>
        <w:tc>
          <w:tcPr>
            <w:tcW w:w="0" w:type="auto"/>
            <w:vAlign w:val="center"/>
          </w:tcPr>
          <w:p w:rsidR="00A524F6" w:rsidRDefault="000E47C0">
            <w:pPr>
              <w:jc w:val="right"/>
            </w:pPr>
            <w:r>
              <w:rPr>
                <w:color w:val="000000"/>
                <w:sz w:val="24"/>
              </w:rPr>
              <w:t>3,005,805.29</w:t>
            </w:r>
          </w:p>
        </w:tc>
        <w:tc>
          <w:tcPr>
            <w:tcW w:w="0" w:type="auto"/>
            <w:vAlign w:val="center"/>
          </w:tcPr>
          <w:p w:rsidR="00A524F6" w:rsidRDefault="000E47C0">
            <w:pPr>
              <w:jc w:val="right"/>
            </w:pPr>
            <w:r>
              <w:rPr>
                <w:color w:val="000000"/>
                <w:sz w:val="24"/>
              </w:rPr>
              <w:t>7.25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0.0906%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0.0320%</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352,635.44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352,635.44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13,765,827.42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50,718,974.04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326,089.97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308,491.71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2,987,488.47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20,674,955.83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11,104,428.92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30,352,509.92</w:t>
            </w:r>
          </w:p>
        </w:tc>
      </w:tr>
    </w:tbl>
    <w:p w:rsidR="00A524F6" w:rsidRDefault="000E47C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A524F6" w:rsidRDefault="000E47C0">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524F6" w:rsidRDefault="000E47C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A524F6" w:rsidRDefault="000E47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C0" w:rsidRDefault="000E47C0">
      <w:r>
        <w:separator/>
      </w:r>
    </w:p>
  </w:endnote>
  <w:endnote w:type="continuationSeparator" w:id="0">
    <w:p w:rsidR="000E47C0" w:rsidRDefault="000E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63ED1">
      <w:rPr>
        <w:kern w:val="0"/>
        <w:szCs w:val="21"/>
      </w:rPr>
      <w:fldChar w:fldCharType="begin"/>
    </w:r>
    <w:r>
      <w:rPr>
        <w:kern w:val="0"/>
        <w:szCs w:val="21"/>
      </w:rPr>
      <w:instrText xml:space="preserve"> PAGE </w:instrText>
    </w:r>
    <w:r w:rsidR="00363ED1">
      <w:rPr>
        <w:kern w:val="0"/>
        <w:szCs w:val="21"/>
      </w:rPr>
      <w:fldChar w:fldCharType="separate"/>
    </w:r>
    <w:r w:rsidR="001174EE">
      <w:rPr>
        <w:noProof/>
        <w:kern w:val="0"/>
        <w:szCs w:val="21"/>
      </w:rPr>
      <w:t>6</w:t>
    </w:r>
    <w:r w:rsidR="00363ED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63ED1">
      <w:rPr>
        <w:rFonts w:hint="eastAsia"/>
        <w:kern w:val="0"/>
        <w:szCs w:val="21"/>
      </w:rPr>
      <w:fldChar w:fldCharType="begin"/>
    </w:r>
    <w:r>
      <w:rPr>
        <w:kern w:val="0"/>
        <w:szCs w:val="21"/>
      </w:rPr>
      <w:instrText xml:space="preserve"> NUMPAGES </w:instrText>
    </w:r>
    <w:r w:rsidR="00363ED1">
      <w:rPr>
        <w:rFonts w:hint="eastAsia"/>
        <w:kern w:val="0"/>
        <w:szCs w:val="21"/>
      </w:rPr>
      <w:fldChar w:fldCharType="separate"/>
    </w:r>
    <w:r w:rsidR="001174EE">
      <w:rPr>
        <w:noProof/>
        <w:kern w:val="0"/>
        <w:szCs w:val="21"/>
      </w:rPr>
      <w:t>13</w:t>
    </w:r>
    <w:r w:rsidR="00363ED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C0" w:rsidRDefault="000E47C0">
      <w:r>
        <w:separator/>
      </w:r>
    </w:p>
  </w:footnote>
  <w:footnote w:type="continuationSeparator" w:id="0">
    <w:p w:rsidR="000E47C0" w:rsidRDefault="000E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7C0"/>
    <w:rsid w:val="000E4C40"/>
    <w:rsid w:val="000F1795"/>
    <w:rsid w:val="000F2DA3"/>
    <w:rsid w:val="000F3C21"/>
    <w:rsid w:val="000F4826"/>
    <w:rsid w:val="000F5947"/>
    <w:rsid w:val="00101278"/>
    <w:rsid w:val="0010236C"/>
    <w:rsid w:val="001038EF"/>
    <w:rsid w:val="00103B93"/>
    <w:rsid w:val="001074D6"/>
    <w:rsid w:val="00113777"/>
    <w:rsid w:val="00114C97"/>
    <w:rsid w:val="001174EE"/>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31D6"/>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24F6"/>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2CB1747-9035-4612-87C7-9459EEF0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39BF30-D3C3-4E68-B8E0-251801E8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13</Pages>
  <Words>1107</Words>
  <Characters>6311</Characters>
  <Application>Microsoft Office Word</Application>
  <DocSecurity>0</DocSecurity>
  <Lines>52</Lines>
  <Paragraphs>14</Paragraphs>
  <ScaleCrop>false</ScaleCrop>
  <Company>jysld</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307</cp:revision>
  <cp:lastPrinted>2009-01-22T10:11:00Z</cp:lastPrinted>
  <dcterms:created xsi:type="dcterms:W3CDTF">2012-11-21T05:49:00Z</dcterms:created>
  <dcterms:modified xsi:type="dcterms:W3CDTF">2016-01-18T07:08:00Z</dcterms:modified>
</cp:coreProperties>
</file>