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交银施罗德纯债债券型发起式证券投资基金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2015</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2015</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中国农业银行股份有限公司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二〇一六年一月二十一日</w:t>
      </w:r>
    </w:p>
    <w:p w:rsidR="009238DB" w:rsidRPr="007F52FA" w:rsidRDefault="009238DB" w:rsidP="007F50FB">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0F5B8C" w:rsidRDefault="00F27DEE">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0F5B8C" w:rsidRDefault="00F27DEE">
      <w:pPr>
        <w:spacing w:before="29" w:line="288" w:lineRule="auto"/>
        <w:ind w:firstLineChars="200" w:firstLine="480"/>
        <w:rPr>
          <w:rFonts w:eastAsiaTheme="minorEastAsia"/>
          <w:color w:val="000000"/>
          <w:sz w:val="24"/>
        </w:rPr>
      </w:pPr>
      <w:r>
        <w:rPr>
          <w:rFonts w:eastAsiaTheme="minorEastAsia"/>
          <w:color w:val="000000"/>
          <w:sz w:val="24"/>
        </w:rPr>
        <w:t>基金托管人中国农业银行股份有限公司根据本基金合同规定，于</w:t>
      </w:r>
      <w:r>
        <w:rPr>
          <w:rFonts w:eastAsiaTheme="minorEastAsia"/>
          <w:color w:val="000000"/>
          <w:sz w:val="24"/>
        </w:rPr>
        <w:t>2016</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0F5B8C" w:rsidRDefault="00F27DEE">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0F5B8C" w:rsidRDefault="00F27DEE">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0F5B8C" w:rsidRDefault="00F27DEE">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2015</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交银纯债债券发起</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519718</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2012</w:t>
            </w:r>
            <w:r w:rsidRPr="007F52FA">
              <w:rPr>
                <w:color w:val="000000"/>
                <w:kern w:val="0"/>
                <w:sz w:val="24"/>
              </w:rPr>
              <w:t>年</w:t>
            </w:r>
            <w:r w:rsidRPr="007F52FA">
              <w:rPr>
                <w:color w:val="000000"/>
                <w:kern w:val="0"/>
                <w:sz w:val="24"/>
              </w:rPr>
              <w:t>12</w:t>
            </w:r>
            <w:r w:rsidRPr="007F52FA">
              <w:rPr>
                <w:color w:val="000000"/>
                <w:kern w:val="0"/>
                <w:sz w:val="24"/>
              </w:rPr>
              <w:t>月</w:t>
            </w:r>
            <w:r w:rsidRPr="007F52FA">
              <w:rPr>
                <w:color w:val="000000"/>
                <w:kern w:val="0"/>
                <w:sz w:val="24"/>
              </w:rPr>
              <w:t>19</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2,012,941,991.08</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本基金为纯债基金，在严格控制投资风险的基础上，追求稳定的当期收益和基金资产的稳健增值。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自下而上地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交银纯债债券发起</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交银纯债债券发起</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519718</w:t>
            </w:r>
            <w:r w:rsidRPr="007F52FA">
              <w:rPr>
                <w:color w:val="000000" w:themeColor="text1"/>
                <w:sz w:val="24"/>
              </w:rPr>
              <w:t>（前端）、</w:t>
            </w:r>
            <w:r w:rsidRPr="007F52FA">
              <w:rPr>
                <w:color w:val="000000" w:themeColor="text1"/>
                <w:sz w:val="24"/>
              </w:rPr>
              <w:t>519719</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519720</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1,084,466,928.74</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928,475,062.34</w:t>
            </w:r>
            <w:r w:rsidRPr="007F52FA">
              <w:rPr>
                <w:color w:val="000000"/>
                <w:kern w:val="0"/>
                <w:sz w:val="24"/>
              </w:rPr>
              <w:t>份</w:t>
            </w:r>
          </w:p>
        </w:tc>
      </w:tr>
    </w:tbl>
    <w:p w:rsidR="000F5B8C" w:rsidRDefault="00F27DEE">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类基金份额采用前端收费模式，</w:t>
      </w:r>
      <w:r>
        <w:rPr>
          <w:rFonts w:eastAsiaTheme="minorEastAsia"/>
          <w:color w:val="000000"/>
          <w:sz w:val="24"/>
        </w:rPr>
        <w:t>B</w:t>
      </w:r>
      <w:r>
        <w:rPr>
          <w:rFonts w:eastAsiaTheme="minorEastAsia"/>
          <w:color w:val="000000"/>
          <w:sz w:val="24"/>
        </w:rPr>
        <w:t>类基金份额采用后端收费模式，前端交易代码即为</w:t>
      </w:r>
      <w:r>
        <w:rPr>
          <w:rFonts w:eastAsiaTheme="minorEastAsia"/>
          <w:color w:val="000000"/>
          <w:sz w:val="24"/>
        </w:rPr>
        <w:t>A</w:t>
      </w:r>
      <w:r>
        <w:rPr>
          <w:rFonts w:eastAsiaTheme="minorEastAsia"/>
          <w:color w:val="000000"/>
          <w:sz w:val="24"/>
        </w:rPr>
        <w:t>类基金份额交易代码，后端交易代码即为</w:t>
      </w:r>
      <w:r>
        <w:rPr>
          <w:rFonts w:eastAsiaTheme="minorEastAsia"/>
          <w:color w:val="000000"/>
          <w:sz w:val="24"/>
        </w:rPr>
        <w:t>B</w:t>
      </w:r>
      <w:r>
        <w:rPr>
          <w:rFonts w:eastAsiaTheme="minorEastAsia"/>
          <w:color w:val="000000"/>
          <w:sz w:val="24"/>
        </w:rPr>
        <w:t>类基金份额交易代码。</w:t>
      </w:r>
    </w:p>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、本基金为发起式基金。</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2976E5" w:rsidRPr="007F52FA" w:rsidRDefault="009E549D" w:rsidP="007C14DF">
            <w:pPr>
              <w:adjustRightInd w:val="0"/>
              <w:spacing w:before="29" w:line="288" w:lineRule="auto"/>
              <w:ind w:left="17"/>
              <w:jc w:val="center"/>
              <w:rPr>
                <w:color w:val="000000"/>
                <w:sz w:val="24"/>
              </w:rPr>
            </w:pPr>
            <w:r w:rsidRPr="007F52FA">
              <w:rPr>
                <w:color w:val="000000"/>
                <w:sz w:val="24"/>
              </w:rPr>
              <w:t>报告期</w:t>
            </w:r>
          </w:p>
          <w:p w:rsidR="009E549D" w:rsidRPr="007F52FA" w:rsidRDefault="009E549D" w:rsidP="007C14DF">
            <w:pPr>
              <w:adjustRightInd w:val="0"/>
              <w:spacing w:before="29" w:line="288" w:lineRule="auto"/>
              <w:ind w:left="17"/>
              <w:jc w:val="center"/>
              <w:rPr>
                <w:color w:val="000000"/>
                <w:sz w:val="24"/>
              </w:rPr>
            </w:pPr>
            <w:r w:rsidRPr="007F52FA">
              <w:rPr>
                <w:color w:val="000000"/>
                <w:sz w:val="24"/>
              </w:rPr>
              <w:t>(2015</w:t>
            </w:r>
            <w:r w:rsidRPr="007F52FA">
              <w:rPr>
                <w:color w:val="000000"/>
                <w:sz w:val="24"/>
              </w:rPr>
              <w:t>年</w:t>
            </w:r>
            <w:r w:rsidRPr="007F52FA">
              <w:rPr>
                <w:color w:val="000000"/>
                <w:sz w:val="24"/>
              </w:rPr>
              <w:t>10</w:t>
            </w:r>
            <w:r w:rsidRPr="007F52FA">
              <w:rPr>
                <w:color w:val="000000"/>
                <w:sz w:val="24"/>
              </w:rPr>
              <w:t>月</w:t>
            </w:r>
            <w:r w:rsidRPr="007F52FA">
              <w:rPr>
                <w:color w:val="000000"/>
                <w:sz w:val="24"/>
              </w:rPr>
              <w:t>1</w:t>
            </w:r>
            <w:r w:rsidRPr="007F52FA">
              <w:rPr>
                <w:color w:val="000000"/>
                <w:sz w:val="24"/>
              </w:rPr>
              <w:t>日</w:t>
            </w:r>
            <w:r w:rsidRPr="007F52FA">
              <w:rPr>
                <w:color w:val="000000"/>
                <w:sz w:val="24"/>
              </w:rPr>
              <w:t>-2015</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w:t>
            </w:r>
            <w:r w:rsidRPr="007F52FA">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交银纯债债券发起</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交银纯债债券发起</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8,176,919.66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8,237,421.11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20,815,352.57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14,421,086.97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0.0226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0.0156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1,164,418,298.40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979,451,060.30</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1.074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1.055</w:t>
            </w:r>
          </w:p>
        </w:tc>
      </w:tr>
    </w:tbl>
    <w:p w:rsidR="000F5B8C" w:rsidRDefault="00F27DEE">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交银纯债债券发起</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lastRenderedPageBreak/>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0F5B8C">
        <w:trPr>
          <w:jc w:val="center"/>
        </w:trPr>
        <w:tc>
          <w:tcPr>
            <w:tcW w:w="1266" w:type="dxa"/>
            <w:vAlign w:val="center"/>
          </w:tcPr>
          <w:p w:rsidR="000F5B8C" w:rsidRDefault="00F27DEE">
            <w:pPr>
              <w:jc w:val="left"/>
            </w:pPr>
            <w:r>
              <w:rPr>
                <w:color w:val="000000"/>
                <w:sz w:val="24"/>
              </w:rPr>
              <w:lastRenderedPageBreak/>
              <w:t>过去三个月</w:t>
            </w:r>
          </w:p>
        </w:tc>
        <w:tc>
          <w:tcPr>
            <w:tcW w:w="1267" w:type="dxa"/>
            <w:vAlign w:val="center"/>
          </w:tcPr>
          <w:p w:rsidR="000F5B8C" w:rsidRDefault="00F27DEE">
            <w:pPr>
              <w:jc w:val="center"/>
            </w:pPr>
            <w:r>
              <w:rPr>
                <w:color w:val="000000"/>
                <w:sz w:val="24"/>
              </w:rPr>
              <w:t>2.28%</w:t>
            </w:r>
          </w:p>
        </w:tc>
        <w:tc>
          <w:tcPr>
            <w:tcW w:w="1267" w:type="dxa"/>
            <w:vAlign w:val="center"/>
          </w:tcPr>
          <w:p w:rsidR="000F5B8C" w:rsidRDefault="00F27DEE">
            <w:pPr>
              <w:jc w:val="center"/>
            </w:pPr>
            <w:r>
              <w:rPr>
                <w:color w:val="000000"/>
                <w:sz w:val="24"/>
              </w:rPr>
              <w:t>0.09%</w:t>
            </w:r>
          </w:p>
        </w:tc>
        <w:tc>
          <w:tcPr>
            <w:tcW w:w="1267" w:type="dxa"/>
            <w:vAlign w:val="center"/>
          </w:tcPr>
          <w:p w:rsidR="000F5B8C" w:rsidRDefault="00F27DEE">
            <w:pPr>
              <w:jc w:val="center"/>
            </w:pPr>
            <w:r>
              <w:rPr>
                <w:color w:val="000000"/>
                <w:sz w:val="24"/>
              </w:rPr>
              <w:t>1.81%</w:t>
            </w:r>
          </w:p>
        </w:tc>
        <w:tc>
          <w:tcPr>
            <w:tcW w:w="1267" w:type="dxa"/>
            <w:vAlign w:val="center"/>
          </w:tcPr>
          <w:p w:rsidR="000F5B8C" w:rsidRDefault="00F27DEE">
            <w:pPr>
              <w:jc w:val="center"/>
            </w:pPr>
            <w:r>
              <w:rPr>
                <w:color w:val="000000"/>
                <w:sz w:val="24"/>
              </w:rPr>
              <w:t>0.08%</w:t>
            </w:r>
          </w:p>
        </w:tc>
        <w:tc>
          <w:tcPr>
            <w:tcW w:w="1267" w:type="dxa"/>
            <w:vAlign w:val="center"/>
          </w:tcPr>
          <w:p w:rsidR="000F5B8C" w:rsidRDefault="00F27DEE">
            <w:pPr>
              <w:jc w:val="center"/>
            </w:pPr>
            <w:r>
              <w:rPr>
                <w:color w:val="000000"/>
                <w:sz w:val="24"/>
              </w:rPr>
              <w:t>0.47%</w:t>
            </w:r>
          </w:p>
        </w:tc>
        <w:tc>
          <w:tcPr>
            <w:tcW w:w="1267" w:type="dxa"/>
            <w:vAlign w:val="center"/>
          </w:tcPr>
          <w:p w:rsidR="000F5B8C" w:rsidRDefault="00F27DEE">
            <w:pPr>
              <w:jc w:val="center"/>
            </w:pPr>
            <w:r>
              <w:rPr>
                <w:color w:val="000000"/>
                <w:sz w:val="24"/>
              </w:rPr>
              <w:t>0.01%</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交银纯债债券发起</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0F5B8C">
        <w:trPr>
          <w:jc w:val="center"/>
        </w:trPr>
        <w:tc>
          <w:tcPr>
            <w:tcW w:w="1266" w:type="dxa"/>
            <w:vAlign w:val="center"/>
          </w:tcPr>
          <w:p w:rsidR="000F5B8C" w:rsidRDefault="00F27DEE">
            <w:pPr>
              <w:jc w:val="left"/>
            </w:pPr>
            <w:r>
              <w:rPr>
                <w:color w:val="000000"/>
                <w:sz w:val="24"/>
              </w:rPr>
              <w:t>过去三个月</w:t>
            </w:r>
          </w:p>
        </w:tc>
        <w:tc>
          <w:tcPr>
            <w:tcW w:w="1267" w:type="dxa"/>
            <w:vAlign w:val="center"/>
          </w:tcPr>
          <w:p w:rsidR="000F5B8C" w:rsidRDefault="00F27DEE">
            <w:pPr>
              <w:jc w:val="center"/>
            </w:pPr>
            <w:r>
              <w:rPr>
                <w:color w:val="000000"/>
                <w:sz w:val="24"/>
              </w:rPr>
              <w:t>2.12%</w:t>
            </w:r>
          </w:p>
        </w:tc>
        <w:tc>
          <w:tcPr>
            <w:tcW w:w="1267" w:type="dxa"/>
            <w:vAlign w:val="center"/>
          </w:tcPr>
          <w:p w:rsidR="000F5B8C" w:rsidRDefault="00F27DEE">
            <w:pPr>
              <w:jc w:val="center"/>
            </w:pPr>
            <w:r>
              <w:rPr>
                <w:color w:val="000000"/>
                <w:sz w:val="24"/>
              </w:rPr>
              <w:t>0.09%</w:t>
            </w:r>
          </w:p>
        </w:tc>
        <w:tc>
          <w:tcPr>
            <w:tcW w:w="1267" w:type="dxa"/>
            <w:vAlign w:val="center"/>
          </w:tcPr>
          <w:p w:rsidR="000F5B8C" w:rsidRDefault="00F27DEE">
            <w:pPr>
              <w:jc w:val="center"/>
            </w:pPr>
            <w:r>
              <w:rPr>
                <w:color w:val="000000"/>
                <w:sz w:val="24"/>
              </w:rPr>
              <w:t>1.81%</w:t>
            </w:r>
          </w:p>
        </w:tc>
        <w:tc>
          <w:tcPr>
            <w:tcW w:w="1267" w:type="dxa"/>
            <w:vAlign w:val="center"/>
          </w:tcPr>
          <w:p w:rsidR="000F5B8C" w:rsidRDefault="00F27DEE">
            <w:pPr>
              <w:jc w:val="center"/>
            </w:pPr>
            <w:r>
              <w:rPr>
                <w:color w:val="000000"/>
                <w:sz w:val="24"/>
              </w:rPr>
              <w:t>0.08%</w:t>
            </w:r>
          </w:p>
        </w:tc>
        <w:tc>
          <w:tcPr>
            <w:tcW w:w="1267" w:type="dxa"/>
            <w:vAlign w:val="center"/>
          </w:tcPr>
          <w:p w:rsidR="000F5B8C" w:rsidRDefault="00F27DEE">
            <w:pPr>
              <w:jc w:val="center"/>
            </w:pPr>
            <w:r>
              <w:rPr>
                <w:color w:val="000000"/>
                <w:sz w:val="24"/>
              </w:rPr>
              <w:t>0.31%</w:t>
            </w:r>
          </w:p>
        </w:tc>
        <w:tc>
          <w:tcPr>
            <w:tcW w:w="1267" w:type="dxa"/>
            <w:vAlign w:val="center"/>
          </w:tcPr>
          <w:p w:rsidR="000F5B8C" w:rsidRDefault="00F27DEE">
            <w:pPr>
              <w:jc w:val="center"/>
            </w:pPr>
            <w:r>
              <w:rPr>
                <w:color w:val="000000"/>
                <w:sz w:val="24"/>
              </w:rPr>
              <w:t>0.01%</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交银施罗德纯债债券型发起式证券投资基金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2012</w:t>
      </w:r>
      <w:r w:rsidR="00D04410" w:rsidRPr="007F52FA">
        <w:rPr>
          <w:rFonts w:ascii="Times New Roman" w:hAnsi="Times New Roman"/>
          <w:sz w:val="24"/>
          <w:szCs w:val="24"/>
        </w:rPr>
        <w:t>年</w:t>
      </w:r>
      <w:r w:rsidR="00D04410" w:rsidRPr="007F52FA">
        <w:rPr>
          <w:rFonts w:ascii="Times New Roman" w:hAnsi="Times New Roman"/>
          <w:sz w:val="24"/>
          <w:szCs w:val="24"/>
        </w:rPr>
        <w:t>12</w:t>
      </w:r>
      <w:r w:rsidR="00D04410" w:rsidRPr="007F52FA">
        <w:rPr>
          <w:rFonts w:ascii="Times New Roman" w:hAnsi="Times New Roman"/>
          <w:sz w:val="24"/>
          <w:szCs w:val="24"/>
        </w:rPr>
        <w:t>月</w:t>
      </w:r>
      <w:r w:rsidR="00D04410" w:rsidRPr="007F52FA">
        <w:rPr>
          <w:rFonts w:ascii="Times New Roman" w:hAnsi="Times New Roman"/>
          <w:sz w:val="24"/>
          <w:szCs w:val="24"/>
        </w:rPr>
        <w:t>19</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2015</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交银纯债债券发起</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交银纯债债券发起</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0F5B8C">
        <w:trPr>
          <w:jc w:val="center"/>
        </w:trPr>
        <w:tc>
          <w:tcPr>
            <w:tcW w:w="946" w:type="dxa"/>
            <w:vAlign w:val="center"/>
          </w:tcPr>
          <w:p w:rsidR="000F5B8C" w:rsidRDefault="00F27DEE">
            <w:pPr>
              <w:jc w:val="center"/>
            </w:pPr>
            <w:r>
              <w:rPr>
                <w:color w:val="000000"/>
                <w:sz w:val="24"/>
              </w:rPr>
              <w:t>孙超</w:t>
            </w:r>
          </w:p>
        </w:tc>
        <w:tc>
          <w:tcPr>
            <w:tcW w:w="924" w:type="dxa"/>
            <w:vAlign w:val="center"/>
          </w:tcPr>
          <w:p w:rsidR="000F5B8C" w:rsidRDefault="00F27DEE">
            <w:pPr>
              <w:jc w:val="center"/>
            </w:pPr>
            <w:r>
              <w:rPr>
                <w:color w:val="000000"/>
                <w:sz w:val="24"/>
              </w:rPr>
              <w:t>交银增利债券、交银纯债债券发起、交银荣祥保本混合、交银荣泰保本混合、交银定期支付月月丰债券、交银强化回报债券、交银丰润收益债券、交银丰享收益债券、交银丰泽收益债券、交银丰硕收益债券的基金经理</w:t>
            </w:r>
          </w:p>
        </w:tc>
        <w:tc>
          <w:tcPr>
            <w:tcW w:w="1202" w:type="dxa"/>
            <w:vAlign w:val="center"/>
          </w:tcPr>
          <w:p w:rsidR="000F5B8C" w:rsidRDefault="00F27DEE">
            <w:pPr>
              <w:jc w:val="center"/>
            </w:pPr>
            <w:r>
              <w:rPr>
                <w:color w:val="000000"/>
                <w:sz w:val="24"/>
              </w:rPr>
              <w:t>2015-05-09</w:t>
            </w:r>
          </w:p>
        </w:tc>
        <w:tc>
          <w:tcPr>
            <w:tcW w:w="1300" w:type="dxa"/>
            <w:vAlign w:val="center"/>
          </w:tcPr>
          <w:p w:rsidR="000F5B8C" w:rsidRDefault="00F27DEE">
            <w:pPr>
              <w:jc w:val="center"/>
            </w:pPr>
            <w:r>
              <w:rPr>
                <w:color w:val="000000"/>
                <w:sz w:val="24"/>
              </w:rPr>
              <w:t>-</w:t>
            </w:r>
          </w:p>
        </w:tc>
        <w:tc>
          <w:tcPr>
            <w:tcW w:w="1245" w:type="dxa"/>
            <w:vAlign w:val="center"/>
          </w:tcPr>
          <w:p w:rsidR="000F5B8C" w:rsidRDefault="00F27DEE">
            <w:pPr>
              <w:jc w:val="center"/>
            </w:pPr>
            <w:r>
              <w:rPr>
                <w:color w:val="000000"/>
                <w:sz w:val="24"/>
              </w:rPr>
              <w:t>4</w:t>
            </w:r>
            <w:r>
              <w:rPr>
                <w:color w:val="000000"/>
                <w:sz w:val="24"/>
              </w:rPr>
              <w:t>年</w:t>
            </w:r>
          </w:p>
        </w:tc>
        <w:tc>
          <w:tcPr>
            <w:tcW w:w="3251" w:type="dxa"/>
            <w:vAlign w:val="center"/>
          </w:tcPr>
          <w:p w:rsidR="000F5B8C" w:rsidRDefault="00F27DEE" w:rsidP="00666AC0">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sidR="00666AC0">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sidR="00666AC0">
              <w:rPr>
                <w:color w:val="000000"/>
                <w:sz w:val="24"/>
              </w:rPr>
              <w:t>17</w:t>
            </w:r>
            <w:r>
              <w:rPr>
                <w:color w:val="000000"/>
                <w:sz w:val="24"/>
              </w:rPr>
              <w:t>日担任交银施罗德双轮动债券型证券投资基金基金经理。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0F5B8C" w:rsidRDefault="00F27DEE">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F5B8C" w:rsidRDefault="00F27DEE">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F5B8C" w:rsidRDefault="00F27DEE">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0F5B8C" w:rsidRDefault="00F27DEE">
      <w:pPr>
        <w:spacing w:before="29" w:line="288" w:lineRule="auto"/>
        <w:ind w:firstLineChars="200" w:firstLine="480"/>
        <w:rPr>
          <w:color w:val="000000"/>
          <w:sz w:val="24"/>
        </w:rPr>
      </w:pPr>
      <w:r>
        <w:rPr>
          <w:color w:val="000000"/>
          <w:sz w:val="24"/>
        </w:rPr>
        <w:t>2015</w:t>
      </w:r>
      <w:r>
        <w:rPr>
          <w:color w:val="000000"/>
          <w:sz w:val="24"/>
        </w:rPr>
        <w:t>年四季度债券市场呈震荡上行走势，经济基本面依然不容乐观，通缩压力依旧较大。</w:t>
      </w:r>
      <w:r>
        <w:rPr>
          <w:color w:val="000000"/>
          <w:sz w:val="24"/>
        </w:rPr>
        <w:t>10</w:t>
      </w:r>
      <w:r>
        <w:rPr>
          <w:color w:val="000000"/>
          <w:sz w:val="24"/>
        </w:rPr>
        <w:t>月底央行再次降准降息，金融体系流动性充裕，银行理财和保险资金的配置需求推动债券利率再下一城。</w:t>
      </w:r>
      <w:r>
        <w:rPr>
          <w:color w:val="000000"/>
          <w:sz w:val="24"/>
        </w:rPr>
        <w:t>11</w:t>
      </w:r>
      <w:r>
        <w:rPr>
          <w:color w:val="000000"/>
          <w:sz w:val="24"/>
        </w:rPr>
        <w:t>月份，新股</w:t>
      </w:r>
      <w:r>
        <w:rPr>
          <w:color w:val="000000"/>
          <w:sz w:val="24"/>
        </w:rPr>
        <w:t>IPO</w:t>
      </w:r>
      <w:r>
        <w:rPr>
          <w:color w:val="000000"/>
          <w:sz w:val="24"/>
        </w:rPr>
        <w:t>重启的消息发布后，债市经历了短暂的调整，但</w:t>
      </w:r>
      <w:r>
        <w:rPr>
          <w:color w:val="000000"/>
          <w:sz w:val="24"/>
        </w:rPr>
        <w:t>“</w:t>
      </w:r>
      <w:r>
        <w:rPr>
          <w:color w:val="000000"/>
          <w:sz w:val="24"/>
        </w:rPr>
        <w:t>资产荒</w:t>
      </w:r>
      <w:r>
        <w:rPr>
          <w:color w:val="000000"/>
          <w:sz w:val="24"/>
        </w:rPr>
        <w:t>”</w:t>
      </w:r>
      <w:r>
        <w:rPr>
          <w:color w:val="000000"/>
          <w:sz w:val="24"/>
        </w:rPr>
        <w:t>现象仍然存在，宽松的流动性促使债市继续走牛。</w:t>
      </w:r>
    </w:p>
    <w:p w:rsidR="000F5B8C" w:rsidRDefault="00F27DEE">
      <w:pPr>
        <w:spacing w:before="29" w:line="288" w:lineRule="auto"/>
        <w:ind w:firstLineChars="200" w:firstLine="480"/>
        <w:rPr>
          <w:color w:val="000000"/>
          <w:sz w:val="24"/>
        </w:rPr>
      </w:pPr>
      <w:r>
        <w:rPr>
          <w:color w:val="000000"/>
          <w:sz w:val="24"/>
        </w:rPr>
        <w:t>中债总全价（总值）指数在四季度上涨</w:t>
      </w:r>
      <w:r>
        <w:rPr>
          <w:color w:val="000000"/>
          <w:sz w:val="24"/>
        </w:rPr>
        <w:t>2.37%</w:t>
      </w:r>
      <w:r>
        <w:rPr>
          <w:color w:val="000000"/>
          <w:sz w:val="24"/>
        </w:rPr>
        <w:t>。本基金提高了中长久期利率债和高等级信用债的配置比例，继续分享了债券牛市的成果。</w:t>
      </w:r>
    </w:p>
    <w:p w:rsidR="00952A72" w:rsidRPr="007F52FA" w:rsidRDefault="00323F25" w:rsidP="007C14DF">
      <w:pPr>
        <w:spacing w:before="29" w:line="288" w:lineRule="auto"/>
        <w:ind w:firstLineChars="200" w:firstLine="480"/>
        <w:rPr>
          <w:color w:val="000000"/>
          <w:sz w:val="24"/>
        </w:rPr>
      </w:pPr>
      <w:r w:rsidRPr="007F52FA">
        <w:rPr>
          <w:color w:val="000000"/>
          <w:sz w:val="24"/>
        </w:rPr>
        <w:t>展望后市，预计</w:t>
      </w:r>
      <w:r w:rsidRPr="007F52FA">
        <w:rPr>
          <w:color w:val="000000"/>
          <w:sz w:val="24"/>
        </w:rPr>
        <w:t>2016</w:t>
      </w:r>
      <w:r w:rsidRPr="007F52FA">
        <w:rPr>
          <w:color w:val="000000"/>
          <w:sz w:val="24"/>
        </w:rPr>
        <w:t>年房地产投资仍然难以大幅改善，通缩风险或将延续，经济基本面或许仍然支持债券牛市。为了对冲汇率市场波动引起的外汇流出，以及降低实体经济融资成本，央行预计还会保持适度宽松的货币政策。金融体系目前资金量充足，对债券仍有强烈的配置需求。当前期限利差极度扁平化，</w:t>
      </w:r>
      <w:r w:rsidRPr="007F52FA">
        <w:rPr>
          <w:color w:val="000000"/>
          <w:sz w:val="24"/>
        </w:rPr>
        <w:t>2016</w:t>
      </w:r>
      <w:r w:rsidRPr="007F52FA">
        <w:rPr>
          <w:color w:val="000000"/>
          <w:sz w:val="24"/>
        </w:rPr>
        <w:t>年在央行多种货币政策工具以及利率走廊的引导下，短端利率有望下行，并且波动性下降。然而货币政策边际影响将小于财政政策。后续财政方面的举措值得密切关注，财政政策一旦走向</w:t>
      </w:r>
      <w:r w:rsidRPr="007F52FA">
        <w:rPr>
          <w:color w:val="000000"/>
          <w:sz w:val="24"/>
        </w:rPr>
        <w:t>“</w:t>
      </w:r>
      <w:r w:rsidRPr="007F52FA">
        <w:rPr>
          <w:color w:val="000000"/>
          <w:sz w:val="24"/>
        </w:rPr>
        <w:t>实际积极</w:t>
      </w:r>
      <w:r w:rsidRPr="007F52FA">
        <w:rPr>
          <w:color w:val="000000"/>
          <w:sz w:val="24"/>
        </w:rPr>
        <w:t>”</w:t>
      </w:r>
      <w:r w:rsidRPr="007F52FA">
        <w:rPr>
          <w:color w:val="000000"/>
          <w:sz w:val="24"/>
        </w:rPr>
        <w:t>，将对债券市场产生明显影响。当前债券利率已经创下</w:t>
      </w:r>
      <w:r w:rsidRPr="007F52FA">
        <w:rPr>
          <w:color w:val="000000"/>
          <w:sz w:val="24"/>
        </w:rPr>
        <w:t>10</w:t>
      </w:r>
      <w:r w:rsidRPr="007F52FA">
        <w:rPr>
          <w:color w:val="000000"/>
          <w:sz w:val="24"/>
        </w:rPr>
        <w:t>年新低，投资者情绪较为脆弱，博弈所带来的波动将有所加大。从投资者结构来看，保险和银行理财的资产负债配置思路将面临重大挑战，打破刚兑步伐加快、信用风险逐渐暴露，保险和银行理财的风险偏好趋于下行。旨在转移流动性风险和信用风险的</w:t>
      </w:r>
      <w:r w:rsidRPr="007F52FA">
        <w:rPr>
          <w:color w:val="000000"/>
          <w:sz w:val="24"/>
        </w:rPr>
        <w:t>“</w:t>
      </w:r>
      <w:r w:rsidRPr="007F52FA">
        <w:rPr>
          <w:color w:val="000000"/>
          <w:sz w:val="24"/>
        </w:rPr>
        <w:t>委外</w:t>
      </w:r>
      <w:r w:rsidRPr="007F52FA">
        <w:rPr>
          <w:color w:val="000000"/>
          <w:sz w:val="24"/>
        </w:rPr>
        <w:t>”</w:t>
      </w:r>
      <w:r w:rsidRPr="007F52FA">
        <w:rPr>
          <w:color w:val="000000"/>
          <w:sz w:val="24"/>
        </w:rPr>
        <w:t>热潮预计将延续，但</w:t>
      </w:r>
      <w:r w:rsidRPr="007F52FA">
        <w:rPr>
          <w:color w:val="000000"/>
          <w:sz w:val="24"/>
        </w:rPr>
        <w:t>“</w:t>
      </w:r>
      <w:r w:rsidRPr="007F52FA">
        <w:rPr>
          <w:color w:val="000000"/>
          <w:sz w:val="24"/>
        </w:rPr>
        <w:t>委外</w:t>
      </w:r>
      <w:r w:rsidRPr="007F52FA">
        <w:rPr>
          <w:color w:val="000000"/>
          <w:sz w:val="24"/>
        </w:rPr>
        <w:t>”</w:t>
      </w:r>
      <w:r w:rsidRPr="007F52FA">
        <w:rPr>
          <w:color w:val="000000"/>
          <w:sz w:val="24"/>
        </w:rPr>
        <w:t>的道德风险爆发也许也近在眼前。股债混合产品为机构带来增厚收益的希望的同时，也不可避免地加大了其投资回报的波动性。从金融体系来看，金融深化下各类金融机构的</w:t>
      </w:r>
      <w:r w:rsidRPr="007F52FA">
        <w:rPr>
          <w:color w:val="000000"/>
          <w:sz w:val="24"/>
        </w:rPr>
        <w:t>“</w:t>
      </w:r>
      <w:r w:rsidRPr="007F52FA">
        <w:rPr>
          <w:color w:val="000000"/>
          <w:sz w:val="24"/>
        </w:rPr>
        <w:t>影子银行</w:t>
      </w:r>
      <w:r w:rsidRPr="007F52FA">
        <w:rPr>
          <w:color w:val="000000"/>
          <w:sz w:val="24"/>
        </w:rPr>
        <w:t>”</w:t>
      </w:r>
      <w:r w:rsidRPr="007F52FA">
        <w:rPr>
          <w:color w:val="000000"/>
          <w:sz w:val="24"/>
        </w:rPr>
        <w:t>业务进一步复杂化，刚性兑付下市场的野蛮生长与管理层维持金融稳定的目标并不相容，博弈过程则难以预料。总体来看，市场波动风险将明显加大。本基金</w:t>
      </w:r>
      <w:r w:rsidRPr="007F52FA">
        <w:rPr>
          <w:color w:val="000000"/>
          <w:sz w:val="24"/>
        </w:rPr>
        <w:t>2016</w:t>
      </w:r>
      <w:r w:rsidRPr="007F52FA">
        <w:rPr>
          <w:color w:val="000000"/>
          <w:sz w:val="24"/>
        </w:rPr>
        <w:t>年一季度考虑视情况适当缩短久期，继续维持高等级信用债和利率债的主体仓位，以审慎的操作风格应对债券市场可能的波动。</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2015</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日，交银纯债债券发起</w:t>
      </w:r>
      <w:r w:rsidRPr="007F52FA">
        <w:rPr>
          <w:color w:val="000000"/>
          <w:sz w:val="24"/>
        </w:rPr>
        <w:t>A/B</w:t>
      </w:r>
      <w:r w:rsidRPr="007F52FA">
        <w:rPr>
          <w:color w:val="000000"/>
          <w:sz w:val="24"/>
        </w:rPr>
        <w:t>份额净值为</w:t>
      </w:r>
      <w:r w:rsidRPr="007F52FA">
        <w:rPr>
          <w:color w:val="000000"/>
          <w:sz w:val="24"/>
        </w:rPr>
        <w:t>1.074</w:t>
      </w:r>
      <w:r w:rsidRPr="007F52FA">
        <w:rPr>
          <w:color w:val="000000"/>
          <w:sz w:val="24"/>
        </w:rPr>
        <w:t>元，本报告期份额净值增长率为</w:t>
      </w:r>
      <w:r w:rsidRPr="007F52FA">
        <w:rPr>
          <w:color w:val="000000"/>
          <w:sz w:val="24"/>
        </w:rPr>
        <w:t>2.28%</w:t>
      </w:r>
      <w:r w:rsidRPr="007F52FA">
        <w:rPr>
          <w:color w:val="000000"/>
          <w:sz w:val="24"/>
        </w:rPr>
        <w:t>，同期业绩比较基准增长率为</w:t>
      </w:r>
      <w:r w:rsidRPr="007F52FA">
        <w:rPr>
          <w:color w:val="000000"/>
          <w:sz w:val="24"/>
        </w:rPr>
        <w:t>1.81%</w:t>
      </w:r>
      <w:r w:rsidRPr="007F52FA">
        <w:rPr>
          <w:color w:val="000000"/>
          <w:sz w:val="24"/>
        </w:rPr>
        <w:t>；交银纯债债券发起</w:t>
      </w:r>
      <w:r w:rsidRPr="007F52FA">
        <w:rPr>
          <w:color w:val="000000"/>
          <w:sz w:val="24"/>
        </w:rPr>
        <w:t>C</w:t>
      </w:r>
      <w:r w:rsidRPr="007F52FA">
        <w:rPr>
          <w:color w:val="000000"/>
          <w:sz w:val="24"/>
        </w:rPr>
        <w:t>份额净值为</w:t>
      </w:r>
      <w:r w:rsidRPr="007F52FA">
        <w:rPr>
          <w:color w:val="000000"/>
          <w:sz w:val="24"/>
        </w:rPr>
        <w:t>1.055</w:t>
      </w:r>
      <w:r w:rsidRPr="007F52FA">
        <w:rPr>
          <w:color w:val="000000"/>
          <w:sz w:val="24"/>
        </w:rPr>
        <w:t>元，本报告期份额净值增长率为</w:t>
      </w:r>
      <w:r w:rsidRPr="007F52FA">
        <w:rPr>
          <w:color w:val="000000"/>
          <w:sz w:val="24"/>
        </w:rPr>
        <w:t>2.12%</w:t>
      </w:r>
      <w:r w:rsidRPr="007F52FA">
        <w:rPr>
          <w:color w:val="000000"/>
          <w:sz w:val="24"/>
        </w:rPr>
        <w:t>，同期业绩比较基准增长率为</w:t>
      </w:r>
      <w:r w:rsidRPr="007F52FA">
        <w:rPr>
          <w:color w:val="000000"/>
          <w:sz w:val="24"/>
        </w:rPr>
        <w:t>1.81%</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7F50FB">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2,979,041,803.01</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86.65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2,831,034,803.01</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82.34</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148,007,000.00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4.30</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392,756,991.67</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11.42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292,756,641.67</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8.51</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40,147,011.15</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1.17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26,184,241.66</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0.76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3,438,130,047.49</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207,080,000.00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9.66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619,545,000.00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28.90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619,545,000.00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28.90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696,593,303.01</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32.49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660,914,500.00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30.83</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415,992,000.00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19.40</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0F5B8C">
        <w:trPr>
          <w:jc w:val="center"/>
        </w:trPr>
        <w:tc>
          <w:tcPr>
            <w:tcW w:w="850" w:type="dxa"/>
            <w:vAlign w:val="center"/>
          </w:tcPr>
          <w:p w:rsidR="000F5B8C" w:rsidRDefault="00F27DEE">
            <w:pPr>
              <w:jc w:val="center"/>
            </w:pPr>
            <w:r>
              <w:rPr>
                <w:color w:val="000000"/>
                <w:sz w:val="24"/>
              </w:rPr>
              <w:t>9</w:t>
            </w:r>
          </w:p>
        </w:tc>
        <w:tc>
          <w:tcPr>
            <w:tcW w:w="3390" w:type="dxa"/>
            <w:vAlign w:val="center"/>
          </w:tcPr>
          <w:p w:rsidR="000F5B8C" w:rsidRDefault="00F27DEE">
            <w:pPr>
              <w:jc w:val="center"/>
            </w:pPr>
            <w:r>
              <w:rPr>
                <w:color w:val="000000"/>
                <w:sz w:val="24"/>
              </w:rPr>
              <w:t>地方政府债券</w:t>
            </w:r>
          </w:p>
        </w:tc>
        <w:tc>
          <w:tcPr>
            <w:tcW w:w="2948" w:type="dxa"/>
            <w:vAlign w:val="center"/>
          </w:tcPr>
          <w:p w:rsidR="000F5B8C" w:rsidRDefault="00F27DEE">
            <w:pPr>
              <w:jc w:val="center"/>
            </w:pPr>
            <w:r>
              <w:rPr>
                <w:color w:val="000000"/>
                <w:sz w:val="24"/>
              </w:rPr>
              <w:t>230,910,000.00</w:t>
            </w:r>
          </w:p>
        </w:tc>
        <w:tc>
          <w:tcPr>
            <w:tcW w:w="1680" w:type="dxa"/>
            <w:vAlign w:val="center"/>
          </w:tcPr>
          <w:p w:rsidR="000F5B8C" w:rsidRDefault="00F27DEE">
            <w:pPr>
              <w:jc w:val="center"/>
            </w:pPr>
            <w:r>
              <w:rPr>
                <w:color w:val="000000"/>
                <w:sz w:val="24"/>
              </w:rPr>
              <w:t>10.77</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11</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2,831,034,803.01</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132.05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0F5B8C">
        <w:trPr>
          <w:jc w:val="center"/>
        </w:trPr>
        <w:tc>
          <w:tcPr>
            <w:tcW w:w="1075" w:type="dxa"/>
            <w:vAlign w:val="center"/>
          </w:tcPr>
          <w:p w:rsidR="000F5B8C" w:rsidRDefault="00F27DEE">
            <w:pPr>
              <w:jc w:val="center"/>
            </w:pPr>
            <w:r>
              <w:rPr>
                <w:color w:val="000000"/>
                <w:sz w:val="24"/>
              </w:rPr>
              <w:t>1</w:t>
            </w:r>
          </w:p>
        </w:tc>
        <w:tc>
          <w:tcPr>
            <w:tcW w:w="1533" w:type="dxa"/>
            <w:vAlign w:val="center"/>
          </w:tcPr>
          <w:p w:rsidR="000F5B8C" w:rsidRDefault="00F27DEE">
            <w:pPr>
              <w:jc w:val="center"/>
            </w:pPr>
            <w:r>
              <w:rPr>
                <w:color w:val="000000"/>
                <w:sz w:val="24"/>
              </w:rPr>
              <w:t>150416</w:t>
            </w:r>
          </w:p>
        </w:tc>
        <w:tc>
          <w:tcPr>
            <w:tcW w:w="1533" w:type="dxa"/>
            <w:vAlign w:val="center"/>
          </w:tcPr>
          <w:p w:rsidR="000F5B8C" w:rsidRDefault="00F27DEE">
            <w:pPr>
              <w:jc w:val="center"/>
            </w:pPr>
            <w:r>
              <w:rPr>
                <w:color w:val="000000"/>
                <w:sz w:val="24"/>
              </w:rPr>
              <w:t>15</w:t>
            </w:r>
            <w:r>
              <w:rPr>
                <w:color w:val="000000"/>
                <w:sz w:val="24"/>
              </w:rPr>
              <w:t>农发</w:t>
            </w:r>
            <w:r>
              <w:rPr>
                <w:color w:val="000000"/>
                <w:sz w:val="24"/>
              </w:rPr>
              <w:t>16</w:t>
            </w:r>
          </w:p>
        </w:tc>
        <w:tc>
          <w:tcPr>
            <w:tcW w:w="1394" w:type="dxa"/>
            <w:vAlign w:val="center"/>
          </w:tcPr>
          <w:p w:rsidR="000F5B8C" w:rsidRDefault="00F27DEE">
            <w:pPr>
              <w:jc w:val="right"/>
            </w:pPr>
            <w:r>
              <w:rPr>
                <w:color w:val="000000"/>
                <w:sz w:val="24"/>
              </w:rPr>
              <w:t>1,800,000</w:t>
            </w:r>
          </w:p>
        </w:tc>
        <w:tc>
          <w:tcPr>
            <w:tcW w:w="1944" w:type="dxa"/>
            <w:vAlign w:val="center"/>
          </w:tcPr>
          <w:p w:rsidR="000F5B8C" w:rsidRDefault="00F27DEE">
            <w:pPr>
              <w:jc w:val="right"/>
            </w:pPr>
            <w:r>
              <w:rPr>
                <w:color w:val="000000"/>
                <w:sz w:val="24"/>
              </w:rPr>
              <w:t>180,414,000.00</w:t>
            </w:r>
          </w:p>
        </w:tc>
        <w:tc>
          <w:tcPr>
            <w:tcW w:w="1389" w:type="dxa"/>
            <w:vAlign w:val="center"/>
          </w:tcPr>
          <w:p w:rsidR="000F5B8C" w:rsidRDefault="00F27DEE">
            <w:pPr>
              <w:jc w:val="right"/>
            </w:pPr>
            <w:r>
              <w:rPr>
                <w:color w:val="000000"/>
                <w:sz w:val="24"/>
              </w:rPr>
              <w:t>8.42</w:t>
            </w:r>
          </w:p>
        </w:tc>
      </w:tr>
      <w:tr w:rsidR="000F5B8C">
        <w:trPr>
          <w:jc w:val="center"/>
        </w:trPr>
        <w:tc>
          <w:tcPr>
            <w:tcW w:w="1075" w:type="dxa"/>
            <w:vAlign w:val="center"/>
          </w:tcPr>
          <w:p w:rsidR="000F5B8C" w:rsidRDefault="00F27DEE">
            <w:pPr>
              <w:jc w:val="center"/>
            </w:pPr>
            <w:r>
              <w:rPr>
                <w:color w:val="000000"/>
                <w:sz w:val="24"/>
              </w:rPr>
              <w:t>2</w:t>
            </w:r>
          </w:p>
        </w:tc>
        <w:tc>
          <w:tcPr>
            <w:tcW w:w="1533" w:type="dxa"/>
            <w:vAlign w:val="center"/>
          </w:tcPr>
          <w:p w:rsidR="000F5B8C" w:rsidRDefault="00F27DEE">
            <w:pPr>
              <w:jc w:val="center"/>
            </w:pPr>
            <w:r>
              <w:rPr>
                <w:color w:val="000000"/>
                <w:sz w:val="24"/>
              </w:rPr>
              <w:t>150210</w:t>
            </w:r>
          </w:p>
        </w:tc>
        <w:tc>
          <w:tcPr>
            <w:tcW w:w="1533" w:type="dxa"/>
            <w:vAlign w:val="center"/>
          </w:tcPr>
          <w:p w:rsidR="000F5B8C" w:rsidRDefault="00F27DEE">
            <w:pPr>
              <w:jc w:val="center"/>
            </w:pPr>
            <w:r>
              <w:rPr>
                <w:color w:val="000000"/>
                <w:sz w:val="24"/>
              </w:rPr>
              <w:t>15</w:t>
            </w:r>
            <w:r>
              <w:rPr>
                <w:color w:val="000000"/>
                <w:sz w:val="24"/>
              </w:rPr>
              <w:t>国开</w:t>
            </w:r>
            <w:r>
              <w:rPr>
                <w:color w:val="000000"/>
                <w:sz w:val="24"/>
              </w:rPr>
              <w:t>10</w:t>
            </w:r>
          </w:p>
        </w:tc>
        <w:tc>
          <w:tcPr>
            <w:tcW w:w="1394" w:type="dxa"/>
            <w:vAlign w:val="center"/>
          </w:tcPr>
          <w:p w:rsidR="000F5B8C" w:rsidRDefault="00F27DEE">
            <w:pPr>
              <w:jc w:val="right"/>
            </w:pPr>
            <w:r>
              <w:rPr>
                <w:color w:val="000000"/>
                <w:sz w:val="24"/>
              </w:rPr>
              <w:t>1,200,000</w:t>
            </w:r>
          </w:p>
        </w:tc>
        <w:tc>
          <w:tcPr>
            <w:tcW w:w="1944" w:type="dxa"/>
            <w:vAlign w:val="center"/>
          </w:tcPr>
          <w:p w:rsidR="000F5B8C" w:rsidRDefault="00F27DEE">
            <w:pPr>
              <w:jc w:val="right"/>
            </w:pPr>
            <w:r>
              <w:rPr>
                <w:color w:val="000000"/>
                <w:sz w:val="24"/>
              </w:rPr>
              <w:t>130,032,000.00</w:t>
            </w:r>
          </w:p>
        </w:tc>
        <w:tc>
          <w:tcPr>
            <w:tcW w:w="1389" w:type="dxa"/>
            <w:vAlign w:val="center"/>
          </w:tcPr>
          <w:p w:rsidR="000F5B8C" w:rsidRDefault="00F27DEE">
            <w:pPr>
              <w:jc w:val="right"/>
            </w:pPr>
            <w:r>
              <w:rPr>
                <w:color w:val="000000"/>
                <w:sz w:val="24"/>
              </w:rPr>
              <w:t>6.07</w:t>
            </w:r>
          </w:p>
        </w:tc>
      </w:tr>
      <w:tr w:rsidR="000F5B8C">
        <w:trPr>
          <w:jc w:val="center"/>
        </w:trPr>
        <w:tc>
          <w:tcPr>
            <w:tcW w:w="1075" w:type="dxa"/>
            <w:vAlign w:val="center"/>
          </w:tcPr>
          <w:p w:rsidR="000F5B8C" w:rsidRDefault="00F27DEE">
            <w:pPr>
              <w:jc w:val="center"/>
            </w:pPr>
            <w:r>
              <w:rPr>
                <w:color w:val="000000"/>
                <w:sz w:val="24"/>
              </w:rPr>
              <w:t>3</w:t>
            </w:r>
          </w:p>
        </w:tc>
        <w:tc>
          <w:tcPr>
            <w:tcW w:w="1533" w:type="dxa"/>
            <w:vAlign w:val="center"/>
          </w:tcPr>
          <w:p w:rsidR="000F5B8C" w:rsidRDefault="00F27DEE">
            <w:pPr>
              <w:jc w:val="center"/>
            </w:pPr>
            <w:r>
              <w:rPr>
                <w:color w:val="000000"/>
                <w:sz w:val="24"/>
              </w:rPr>
              <w:t>150218</w:t>
            </w:r>
          </w:p>
        </w:tc>
        <w:tc>
          <w:tcPr>
            <w:tcW w:w="1533" w:type="dxa"/>
            <w:vAlign w:val="center"/>
          </w:tcPr>
          <w:p w:rsidR="000F5B8C" w:rsidRDefault="00F27DEE">
            <w:pPr>
              <w:jc w:val="center"/>
            </w:pPr>
            <w:r>
              <w:rPr>
                <w:color w:val="000000"/>
                <w:sz w:val="24"/>
              </w:rPr>
              <w:t>15</w:t>
            </w:r>
            <w:r>
              <w:rPr>
                <w:color w:val="000000"/>
                <w:sz w:val="24"/>
              </w:rPr>
              <w:t>国开</w:t>
            </w:r>
            <w:r>
              <w:rPr>
                <w:color w:val="000000"/>
                <w:sz w:val="24"/>
              </w:rPr>
              <w:t>18</w:t>
            </w:r>
          </w:p>
        </w:tc>
        <w:tc>
          <w:tcPr>
            <w:tcW w:w="1394" w:type="dxa"/>
            <w:vAlign w:val="center"/>
          </w:tcPr>
          <w:p w:rsidR="000F5B8C" w:rsidRDefault="00F27DEE">
            <w:pPr>
              <w:jc w:val="right"/>
            </w:pPr>
            <w:r>
              <w:rPr>
                <w:color w:val="000000"/>
                <w:sz w:val="24"/>
              </w:rPr>
              <w:t>1,100,000</w:t>
            </w:r>
          </w:p>
        </w:tc>
        <w:tc>
          <w:tcPr>
            <w:tcW w:w="1944" w:type="dxa"/>
            <w:vAlign w:val="center"/>
          </w:tcPr>
          <w:p w:rsidR="000F5B8C" w:rsidRDefault="00F27DEE">
            <w:pPr>
              <w:jc w:val="right"/>
            </w:pPr>
            <w:r>
              <w:rPr>
                <w:color w:val="000000"/>
                <w:sz w:val="24"/>
              </w:rPr>
              <w:t>115,522,000.00</w:t>
            </w:r>
          </w:p>
        </w:tc>
        <w:tc>
          <w:tcPr>
            <w:tcW w:w="1389" w:type="dxa"/>
            <w:vAlign w:val="center"/>
          </w:tcPr>
          <w:p w:rsidR="000F5B8C" w:rsidRDefault="00F27DEE">
            <w:pPr>
              <w:jc w:val="right"/>
            </w:pPr>
            <w:r>
              <w:rPr>
                <w:color w:val="000000"/>
                <w:sz w:val="24"/>
              </w:rPr>
              <w:t>5.39</w:t>
            </w:r>
          </w:p>
        </w:tc>
      </w:tr>
      <w:tr w:rsidR="000F5B8C">
        <w:trPr>
          <w:jc w:val="center"/>
        </w:trPr>
        <w:tc>
          <w:tcPr>
            <w:tcW w:w="1075" w:type="dxa"/>
            <w:vAlign w:val="center"/>
          </w:tcPr>
          <w:p w:rsidR="000F5B8C" w:rsidRDefault="00F27DEE">
            <w:pPr>
              <w:jc w:val="center"/>
            </w:pPr>
            <w:r>
              <w:rPr>
                <w:color w:val="000000"/>
                <w:sz w:val="24"/>
              </w:rPr>
              <w:t>4</w:t>
            </w:r>
          </w:p>
        </w:tc>
        <w:tc>
          <w:tcPr>
            <w:tcW w:w="1533" w:type="dxa"/>
            <w:vAlign w:val="center"/>
          </w:tcPr>
          <w:p w:rsidR="000F5B8C" w:rsidRDefault="00F27DEE">
            <w:pPr>
              <w:jc w:val="center"/>
            </w:pPr>
            <w:r>
              <w:rPr>
                <w:color w:val="000000"/>
                <w:sz w:val="24"/>
              </w:rPr>
              <w:t>150419</w:t>
            </w:r>
          </w:p>
        </w:tc>
        <w:tc>
          <w:tcPr>
            <w:tcW w:w="1533" w:type="dxa"/>
            <w:vAlign w:val="center"/>
          </w:tcPr>
          <w:p w:rsidR="000F5B8C" w:rsidRDefault="00F27DEE">
            <w:pPr>
              <w:jc w:val="center"/>
            </w:pPr>
            <w:r>
              <w:rPr>
                <w:color w:val="000000"/>
                <w:sz w:val="24"/>
              </w:rPr>
              <w:t>15</w:t>
            </w:r>
            <w:r>
              <w:rPr>
                <w:color w:val="000000"/>
                <w:sz w:val="24"/>
              </w:rPr>
              <w:t>农发</w:t>
            </w:r>
            <w:r>
              <w:rPr>
                <w:color w:val="000000"/>
                <w:sz w:val="24"/>
              </w:rPr>
              <w:t>19</w:t>
            </w:r>
          </w:p>
        </w:tc>
        <w:tc>
          <w:tcPr>
            <w:tcW w:w="1394" w:type="dxa"/>
            <w:vAlign w:val="center"/>
          </w:tcPr>
          <w:p w:rsidR="000F5B8C" w:rsidRDefault="00F27DEE">
            <w:pPr>
              <w:jc w:val="right"/>
            </w:pPr>
            <w:r>
              <w:rPr>
                <w:color w:val="000000"/>
                <w:sz w:val="24"/>
              </w:rPr>
              <w:t>1,100,000</w:t>
            </w:r>
          </w:p>
        </w:tc>
        <w:tc>
          <w:tcPr>
            <w:tcW w:w="1944" w:type="dxa"/>
            <w:vAlign w:val="center"/>
          </w:tcPr>
          <w:p w:rsidR="000F5B8C" w:rsidRDefault="00F27DEE">
            <w:pPr>
              <w:jc w:val="right"/>
            </w:pPr>
            <w:r>
              <w:rPr>
                <w:color w:val="000000"/>
                <w:sz w:val="24"/>
              </w:rPr>
              <w:t>110,209,000.00</w:t>
            </w:r>
          </w:p>
        </w:tc>
        <w:tc>
          <w:tcPr>
            <w:tcW w:w="1389" w:type="dxa"/>
            <w:vAlign w:val="center"/>
          </w:tcPr>
          <w:p w:rsidR="000F5B8C" w:rsidRDefault="00F27DEE">
            <w:pPr>
              <w:jc w:val="right"/>
            </w:pPr>
            <w:r>
              <w:rPr>
                <w:color w:val="000000"/>
                <w:sz w:val="24"/>
              </w:rPr>
              <w:t>5.14</w:t>
            </w:r>
          </w:p>
        </w:tc>
      </w:tr>
      <w:tr w:rsidR="000F5B8C">
        <w:trPr>
          <w:jc w:val="center"/>
        </w:trPr>
        <w:tc>
          <w:tcPr>
            <w:tcW w:w="1075" w:type="dxa"/>
            <w:vAlign w:val="center"/>
          </w:tcPr>
          <w:p w:rsidR="000F5B8C" w:rsidRDefault="00F27DEE">
            <w:pPr>
              <w:jc w:val="center"/>
            </w:pPr>
            <w:r>
              <w:rPr>
                <w:color w:val="000000"/>
                <w:sz w:val="24"/>
              </w:rPr>
              <w:t>5</w:t>
            </w:r>
          </w:p>
        </w:tc>
        <w:tc>
          <w:tcPr>
            <w:tcW w:w="1533" w:type="dxa"/>
            <w:vAlign w:val="center"/>
          </w:tcPr>
          <w:p w:rsidR="000F5B8C" w:rsidRDefault="00F27DEE">
            <w:pPr>
              <w:jc w:val="center"/>
            </w:pPr>
            <w:r>
              <w:rPr>
                <w:color w:val="000000"/>
                <w:sz w:val="24"/>
              </w:rPr>
              <w:t>019516</w:t>
            </w:r>
          </w:p>
        </w:tc>
        <w:tc>
          <w:tcPr>
            <w:tcW w:w="1533" w:type="dxa"/>
            <w:vAlign w:val="center"/>
          </w:tcPr>
          <w:p w:rsidR="000F5B8C" w:rsidRDefault="00F27DEE">
            <w:pPr>
              <w:jc w:val="center"/>
            </w:pPr>
            <w:r>
              <w:rPr>
                <w:color w:val="000000"/>
                <w:sz w:val="24"/>
              </w:rPr>
              <w:t>15</w:t>
            </w:r>
            <w:r>
              <w:rPr>
                <w:color w:val="000000"/>
                <w:sz w:val="24"/>
              </w:rPr>
              <w:t>国债</w:t>
            </w:r>
            <w:r>
              <w:rPr>
                <w:color w:val="000000"/>
                <w:sz w:val="24"/>
              </w:rPr>
              <w:t>16</w:t>
            </w:r>
          </w:p>
        </w:tc>
        <w:tc>
          <w:tcPr>
            <w:tcW w:w="1394" w:type="dxa"/>
            <w:vAlign w:val="center"/>
          </w:tcPr>
          <w:p w:rsidR="000F5B8C" w:rsidRDefault="00F27DEE">
            <w:pPr>
              <w:jc w:val="right"/>
            </w:pPr>
            <w:r>
              <w:rPr>
                <w:color w:val="000000"/>
                <w:sz w:val="24"/>
              </w:rPr>
              <w:t>1,000,000</w:t>
            </w:r>
          </w:p>
        </w:tc>
        <w:tc>
          <w:tcPr>
            <w:tcW w:w="1944" w:type="dxa"/>
            <w:vAlign w:val="center"/>
          </w:tcPr>
          <w:p w:rsidR="000F5B8C" w:rsidRDefault="00F27DEE">
            <w:pPr>
              <w:jc w:val="right"/>
            </w:pPr>
            <w:r>
              <w:rPr>
                <w:color w:val="000000"/>
                <w:sz w:val="24"/>
              </w:rPr>
              <w:t>105,680,000.00</w:t>
            </w:r>
          </w:p>
        </w:tc>
        <w:tc>
          <w:tcPr>
            <w:tcW w:w="1389" w:type="dxa"/>
            <w:vAlign w:val="center"/>
          </w:tcPr>
          <w:p w:rsidR="000F5B8C" w:rsidRDefault="00F27DEE">
            <w:pPr>
              <w:jc w:val="right"/>
            </w:pPr>
            <w:r>
              <w:rPr>
                <w:color w:val="000000"/>
                <w:sz w:val="24"/>
              </w:rPr>
              <w:t>4.93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tbl>
      <w:tblPr>
        <w:tblStyle w:val="af2"/>
        <w:tblW w:w="8868" w:type="dxa"/>
        <w:jc w:val="center"/>
        <w:tblCellMar>
          <w:top w:w="57" w:type="dxa"/>
          <w:bottom w:w="57" w:type="dxa"/>
        </w:tblCellMar>
        <w:tblLook w:val="04A0" w:firstRow="1" w:lastRow="0" w:firstColumn="1" w:lastColumn="0" w:noHBand="0" w:noVBand="1"/>
      </w:tblPr>
      <w:tblGrid>
        <w:gridCol w:w="1374"/>
        <w:gridCol w:w="1447"/>
        <w:gridCol w:w="1636"/>
        <w:gridCol w:w="1382"/>
        <w:gridCol w:w="1596"/>
        <w:gridCol w:w="1433"/>
      </w:tblGrid>
      <w:tr w:rsidR="009A0513" w:rsidRPr="007F52FA" w:rsidTr="00F27DEE">
        <w:trPr>
          <w:jc w:val="center"/>
        </w:trPr>
        <w:tc>
          <w:tcPr>
            <w:tcW w:w="137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447"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w="1636"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w="1382"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CB7A3B" w:rsidRPr="007F52FA">
              <w:rPr>
                <w:color w:val="000000"/>
                <w:kern w:val="0"/>
                <w:sz w:val="24"/>
              </w:rPr>
              <w:t>（</w:t>
            </w:r>
            <w:r w:rsidR="007627C8">
              <w:rPr>
                <w:rFonts w:hint="eastAsia"/>
                <w:color w:val="000000"/>
                <w:kern w:val="0"/>
                <w:sz w:val="24"/>
              </w:rPr>
              <w:t>份</w:t>
            </w:r>
            <w:r w:rsidR="00CB7A3B" w:rsidRPr="007F52FA">
              <w:rPr>
                <w:color w:val="000000"/>
                <w:kern w:val="0"/>
                <w:sz w:val="24"/>
              </w:rPr>
              <w:t>）</w:t>
            </w:r>
          </w:p>
        </w:tc>
        <w:tc>
          <w:tcPr>
            <w:tcW w:w="1596"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1B5C86" w:rsidRPr="007F52FA">
              <w:rPr>
                <w:color w:val="000000"/>
                <w:kern w:val="0"/>
                <w:sz w:val="24"/>
              </w:rPr>
              <w:t>（</w:t>
            </w:r>
            <w:r w:rsidR="001B5C86" w:rsidRPr="007F52FA">
              <w:rPr>
                <w:sz w:val="24"/>
              </w:rPr>
              <w:t>元</w:t>
            </w:r>
            <w:r w:rsidR="001B5C86" w:rsidRPr="007F52FA">
              <w:rPr>
                <w:color w:val="000000"/>
                <w:kern w:val="0"/>
                <w:sz w:val="24"/>
              </w:rPr>
              <w:t>）</w:t>
            </w:r>
          </w:p>
        </w:tc>
        <w:tc>
          <w:tcPr>
            <w:tcW w:w="143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sidR="00E412F2">
              <w:rPr>
                <w:rFonts w:hint="eastAsia"/>
                <w:color w:val="000000"/>
                <w:kern w:val="0"/>
                <w:sz w:val="24"/>
              </w:rPr>
              <w:t>比例</w:t>
            </w:r>
            <w:r w:rsidR="001B5C86" w:rsidRPr="007F52FA">
              <w:rPr>
                <w:color w:val="000000"/>
                <w:kern w:val="0"/>
                <w:sz w:val="24"/>
              </w:rPr>
              <w:t>（％）</w:t>
            </w:r>
          </w:p>
        </w:tc>
      </w:tr>
      <w:tr w:rsidR="000F5B8C" w:rsidTr="00F27DEE">
        <w:trPr>
          <w:jc w:val="center"/>
        </w:trPr>
        <w:tc>
          <w:tcPr>
            <w:tcW w:w="0" w:type="auto"/>
            <w:vAlign w:val="center"/>
          </w:tcPr>
          <w:p w:rsidR="000F5B8C" w:rsidRDefault="00F27DEE">
            <w:pPr>
              <w:jc w:val="center"/>
            </w:pPr>
            <w:r>
              <w:rPr>
                <w:color w:val="000000"/>
                <w:sz w:val="24"/>
              </w:rPr>
              <w:t>1</w:t>
            </w:r>
          </w:p>
        </w:tc>
        <w:tc>
          <w:tcPr>
            <w:tcW w:w="0" w:type="auto"/>
            <w:vAlign w:val="center"/>
          </w:tcPr>
          <w:p w:rsidR="000F5B8C" w:rsidRDefault="00F27DEE">
            <w:pPr>
              <w:jc w:val="center"/>
            </w:pPr>
            <w:r>
              <w:rPr>
                <w:color w:val="000000"/>
                <w:sz w:val="24"/>
              </w:rPr>
              <w:t>1589213</w:t>
            </w:r>
          </w:p>
        </w:tc>
        <w:tc>
          <w:tcPr>
            <w:tcW w:w="1636" w:type="dxa"/>
            <w:vAlign w:val="center"/>
          </w:tcPr>
          <w:p w:rsidR="000F5B8C" w:rsidRDefault="00F27DEE">
            <w:pPr>
              <w:jc w:val="center"/>
            </w:pPr>
            <w:r>
              <w:rPr>
                <w:color w:val="000000"/>
                <w:sz w:val="24"/>
              </w:rPr>
              <w:t>15</w:t>
            </w:r>
            <w:r>
              <w:rPr>
                <w:color w:val="000000"/>
                <w:sz w:val="24"/>
              </w:rPr>
              <w:t>开元</w:t>
            </w:r>
            <w:r>
              <w:rPr>
                <w:color w:val="000000"/>
                <w:sz w:val="24"/>
              </w:rPr>
              <w:t>5A3</w:t>
            </w:r>
          </w:p>
        </w:tc>
        <w:tc>
          <w:tcPr>
            <w:tcW w:w="1382" w:type="dxa"/>
            <w:vAlign w:val="center"/>
          </w:tcPr>
          <w:p w:rsidR="000F5B8C" w:rsidRDefault="00F27DEE">
            <w:pPr>
              <w:jc w:val="right"/>
            </w:pPr>
            <w:r>
              <w:rPr>
                <w:color w:val="000000"/>
                <w:sz w:val="24"/>
              </w:rPr>
              <w:t>500,000</w:t>
            </w:r>
          </w:p>
        </w:tc>
        <w:tc>
          <w:tcPr>
            <w:tcW w:w="0" w:type="auto"/>
            <w:vAlign w:val="center"/>
          </w:tcPr>
          <w:p w:rsidR="000F5B8C" w:rsidRDefault="00F27DEE">
            <w:pPr>
              <w:jc w:val="right"/>
            </w:pPr>
            <w:r>
              <w:rPr>
                <w:color w:val="000000"/>
                <w:sz w:val="24"/>
              </w:rPr>
              <w:t>50,310,000.00</w:t>
            </w:r>
          </w:p>
        </w:tc>
        <w:tc>
          <w:tcPr>
            <w:tcW w:w="0" w:type="auto"/>
            <w:vAlign w:val="center"/>
          </w:tcPr>
          <w:p w:rsidR="000F5B8C" w:rsidRDefault="00F27DEE">
            <w:pPr>
              <w:jc w:val="right"/>
            </w:pPr>
            <w:r>
              <w:rPr>
                <w:color w:val="000000"/>
                <w:sz w:val="24"/>
              </w:rPr>
              <w:t>2.35</w:t>
            </w:r>
          </w:p>
        </w:tc>
      </w:tr>
      <w:tr w:rsidR="000F5B8C" w:rsidTr="00F27DEE">
        <w:trPr>
          <w:jc w:val="center"/>
        </w:trPr>
        <w:tc>
          <w:tcPr>
            <w:tcW w:w="0" w:type="auto"/>
            <w:vAlign w:val="center"/>
          </w:tcPr>
          <w:p w:rsidR="000F5B8C" w:rsidRDefault="00F27DEE">
            <w:pPr>
              <w:jc w:val="center"/>
            </w:pPr>
            <w:r>
              <w:rPr>
                <w:color w:val="000000"/>
                <w:sz w:val="24"/>
              </w:rPr>
              <w:t>2</w:t>
            </w:r>
          </w:p>
        </w:tc>
        <w:tc>
          <w:tcPr>
            <w:tcW w:w="0" w:type="auto"/>
            <w:vAlign w:val="center"/>
          </w:tcPr>
          <w:p w:rsidR="000F5B8C" w:rsidRDefault="00F27DEE">
            <w:pPr>
              <w:jc w:val="center"/>
            </w:pPr>
            <w:r>
              <w:rPr>
                <w:color w:val="000000"/>
                <w:sz w:val="24"/>
              </w:rPr>
              <w:t>1589212</w:t>
            </w:r>
          </w:p>
        </w:tc>
        <w:tc>
          <w:tcPr>
            <w:tcW w:w="1636" w:type="dxa"/>
            <w:vAlign w:val="center"/>
          </w:tcPr>
          <w:p w:rsidR="000F5B8C" w:rsidRDefault="00F27DEE">
            <w:pPr>
              <w:jc w:val="center"/>
            </w:pPr>
            <w:r>
              <w:rPr>
                <w:color w:val="000000"/>
                <w:sz w:val="24"/>
              </w:rPr>
              <w:t>15</w:t>
            </w:r>
            <w:r>
              <w:rPr>
                <w:color w:val="000000"/>
                <w:sz w:val="24"/>
              </w:rPr>
              <w:t>开元</w:t>
            </w:r>
            <w:r>
              <w:rPr>
                <w:color w:val="000000"/>
                <w:sz w:val="24"/>
              </w:rPr>
              <w:t>5A2</w:t>
            </w:r>
          </w:p>
        </w:tc>
        <w:tc>
          <w:tcPr>
            <w:tcW w:w="1382" w:type="dxa"/>
            <w:vAlign w:val="center"/>
          </w:tcPr>
          <w:p w:rsidR="000F5B8C" w:rsidRDefault="00F27DEE">
            <w:pPr>
              <w:jc w:val="right"/>
            </w:pPr>
            <w:r>
              <w:rPr>
                <w:color w:val="000000"/>
                <w:sz w:val="24"/>
              </w:rPr>
              <w:t>500,000</w:t>
            </w:r>
          </w:p>
        </w:tc>
        <w:tc>
          <w:tcPr>
            <w:tcW w:w="0" w:type="auto"/>
            <w:vAlign w:val="center"/>
          </w:tcPr>
          <w:p w:rsidR="000F5B8C" w:rsidRDefault="00F27DEE">
            <w:pPr>
              <w:jc w:val="right"/>
            </w:pPr>
            <w:r>
              <w:rPr>
                <w:color w:val="000000"/>
                <w:sz w:val="24"/>
              </w:rPr>
              <w:t>50,230,000.00</w:t>
            </w:r>
          </w:p>
        </w:tc>
        <w:tc>
          <w:tcPr>
            <w:tcW w:w="0" w:type="auto"/>
            <w:vAlign w:val="center"/>
          </w:tcPr>
          <w:p w:rsidR="000F5B8C" w:rsidRDefault="00F27DEE">
            <w:pPr>
              <w:jc w:val="right"/>
            </w:pPr>
            <w:r>
              <w:rPr>
                <w:color w:val="000000"/>
                <w:sz w:val="24"/>
              </w:rPr>
              <w:t>2.34</w:t>
            </w:r>
          </w:p>
        </w:tc>
      </w:tr>
      <w:tr w:rsidR="000F5B8C" w:rsidTr="00F27DEE">
        <w:trPr>
          <w:jc w:val="center"/>
        </w:trPr>
        <w:tc>
          <w:tcPr>
            <w:tcW w:w="0" w:type="auto"/>
            <w:vAlign w:val="center"/>
          </w:tcPr>
          <w:p w:rsidR="000F5B8C" w:rsidRDefault="00F27DEE">
            <w:pPr>
              <w:jc w:val="center"/>
            </w:pPr>
            <w:r>
              <w:rPr>
                <w:color w:val="000000"/>
                <w:sz w:val="24"/>
              </w:rPr>
              <w:t>3</w:t>
            </w:r>
          </w:p>
        </w:tc>
        <w:tc>
          <w:tcPr>
            <w:tcW w:w="0" w:type="auto"/>
            <w:vAlign w:val="center"/>
          </w:tcPr>
          <w:p w:rsidR="000F5B8C" w:rsidRDefault="00F27DEE">
            <w:pPr>
              <w:jc w:val="center"/>
            </w:pPr>
            <w:r>
              <w:rPr>
                <w:color w:val="000000"/>
                <w:sz w:val="24"/>
              </w:rPr>
              <w:t>1589279</w:t>
            </w:r>
          </w:p>
        </w:tc>
        <w:tc>
          <w:tcPr>
            <w:tcW w:w="1636" w:type="dxa"/>
            <w:vAlign w:val="center"/>
          </w:tcPr>
          <w:p w:rsidR="000F5B8C" w:rsidRDefault="00F27DEE">
            <w:pPr>
              <w:jc w:val="center"/>
            </w:pPr>
            <w:r>
              <w:rPr>
                <w:color w:val="000000"/>
                <w:sz w:val="24"/>
              </w:rPr>
              <w:t>15</w:t>
            </w:r>
            <w:r>
              <w:rPr>
                <w:color w:val="000000"/>
                <w:sz w:val="24"/>
              </w:rPr>
              <w:t>开元</w:t>
            </w:r>
            <w:r>
              <w:rPr>
                <w:color w:val="000000"/>
                <w:sz w:val="24"/>
              </w:rPr>
              <w:t>8</w:t>
            </w:r>
            <w:r>
              <w:rPr>
                <w:color w:val="000000"/>
                <w:sz w:val="24"/>
              </w:rPr>
              <w:t>优先</w:t>
            </w:r>
          </w:p>
        </w:tc>
        <w:tc>
          <w:tcPr>
            <w:tcW w:w="1382" w:type="dxa"/>
            <w:vAlign w:val="center"/>
          </w:tcPr>
          <w:p w:rsidR="000F5B8C" w:rsidRDefault="00F27DEE">
            <w:pPr>
              <w:jc w:val="right"/>
            </w:pPr>
            <w:r>
              <w:rPr>
                <w:color w:val="000000"/>
                <w:sz w:val="24"/>
              </w:rPr>
              <w:t>300,000</w:t>
            </w:r>
          </w:p>
        </w:tc>
        <w:tc>
          <w:tcPr>
            <w:tcW w:w="0" w:type="auto"/>
            <w:vAlign w:val="center"/>
          </w:tcPr>
          <w:p w:rsidR="000F5B8C" w:rsidRDefault="00F27DEE">
            <w:pPr>
              <w:jc w:val="right"/>
            </w:pPr>
            <w:r>
              <w:rPr>
                <w:color w:val="000000"/>
                <w:sz w:val="24"/>
              </w:rPr>
              <w:t>29,967,000.00</w:t>
            </w:r>
          </w:p>
        </w:tc>
        <w:tc>
          <w:tcPr>
            <w:tcW w:w="0" w:type="auto"/>
            <w:vAlign w:val="center"/>
          </w:tcPr>
          <w:p w:rsidR="000F5B8C" w:rsidRDefault="00F27DEE">
            <w:pPr>
              <w:jc w:val="right"/>
            </w:pPr>
            <w:r>
              <w:rPr>
                <w:color w:val="000000"/>
                <w:sz w:val="24"/>
              </w:rPr>
              <w:t>1.40</w:t>
            </w:r>
          </w:p>
        </w:tc>
      </w:tr>
      <w:tr w:rsidR="000F5B8C" w:rsidTr="00F27DEE">
        <w:trPr>
          <w:jc w:val="center"/>
        </w:trPr>
        <w:tc>
          <w:tcPr>
            <w:tcW w:w="0" w:type="auto"/>
            <w:vAlign w:val="center"/>
          </w:tcPr>
          <w:p w:rsidR="000F5B8C" w:rsidRDefault="00F27DEE">
            <w:pPr>
              <w:jc w:val="center"/>
            </w:pPr>
            <w:r>
              <w:rPr>
                <w:color w:val="000000"/>
                <w:sz w:val="24"/>
              </w:rPr>
              <w:t>4</w:t>
            </w:r>
          </w:p>
        </w:tc>
        <w:tc>
          <w:tcPr>
            <w:tcW w:w="0" w:type="auto"/>
            <w:vAlign w:val="center"/>
          </w:tcPr>
          <w:p w:rsidR="000F5B8C" w:rsidRDefault="00F27DEE">
            <w:pPr>
              <w:jc w:val="center"/>
            </w:pPr>
            <w:r>
              <w:rPr>
                <w:color w:val="000000"/>
                <w:sz w:val="24"/>
              </w:rPr>
              <w:t>123935</w:t>
            </w:r>
          </w:p>
        </w:tc>
        <w:tc>
          <w:tcPr>
            <w:tcW w:w="1636" w:type="dxa"/>
            <w:vAlign w:val="center"/>
          </w:tcPr>
          <w:p w:rsidR="000F5B8C" w:rsidRDefault="00F27DEE">
            <w:pPr>
              <w:jc w:val="center"/>
            </w:pPr>
            <w:r>
              <w:rPr>
                <w:color w:val="000000"/>
                <w:sz w:val="24"/>
              </w:rPr>
              <w:t>15</w:t>
            </w:r>
            <w:r>
              <w:rPr>
                <w:color w:val="000000"/>
                <w:sz w:val="24"/>
              </w:rPr>
              <w:t>濮热</w:t>
            </w:r>
            <w:r>
              <w:rPr>
                <w:color w:val="000000"/>
                <w:sz w:val="24"/>
              </w:rPr>
              <w:t>03</w:t>
            </w:r>
          </w:p>
        </w:tc>
        <w:tc>
          <w:tcPr>
            <w:tcW w:w="1382" w:type="dxa"/>
            <w:vAlign w:val="center"/>
          </w:tcPr>
          <w:p w:rsidR="000F5B8C" w:rsidRDefault="00F27DEE">
            <w:pPr>
              <w:jc w:val="right"/>
            </w:pPr>
            <w:r>
              <w:rPr>
                <w:color w:val="000000"/>
                <w:sz w:val="24"/>
              </w:rPr>
              <w:t>50,000</w:t>
            </w:r>
          </w:p>
        </w:tc>
        <w:tc>
          <w:tcPr>
            <w:tcW w:w="0" w:type="auto"/>
            <w:vAlign w:val="center"/>
          </w:tcPr>
          <w:p w:rsidR="000F5B8C" w:rsidRDefault="00F27DEE">
            <w:pPr>
              <w:jc w:val="right"/>
            </w:pPr>
            <w:r>
              <w:rPr>
                <w:color w:val="000000"/>
                <w:sz w:val="24"/>
              </w:rPr>
              <w:t>5,000,000.00</w:t>
            </w:r>
          </w:p>
        </w:tc>
        <w:tc>
          <w:tcPr>
            <w:tcW w:w="0" w:type="auto"/>
            <w:vAlign w:val="center"/>
          </w:tcPr>
          <w:p w:rsidR="000F5B8C" w:rsidRDefault="00F27DEE">
            <w:pPr>
              <w:jc w:val="right"/>
            </w:pPr>
            <w:r>
              <w:rPr>
                <w:color w:val="000000"/>
                <w:sz w:val="24"/>
              </w:rPr>
              <w:t>0.23</w:t>
            </w:r>
          </w:p>
        </w:tc>
      </w:tr>
      <w:tr w:rsidR="000F5B8C" w:rsidTr="00F27DEE">
        <w:trPr>
          <w:jc w:val="center"/>
        </w:trPr>
        <w:tc>
          <w:tcPr>
            <w:tcW w:w="0" w:type="auto"/>
            <w:vAlign w:val="center"/>
          </w:tcPr>
          <w:p w:rsidR="000F5B8C" w:rsidRDefault="00F27DEE">
            <w:pPr>
              <w:jc w:val="center"/>
            </w:pPr>
            <w:r>
              <w:rPr>
                <w:color w:val="000000"/>
                <w:sz w:val="24"/>
              </w:rPr>
              <w:t>5</w:t>
            </w:r>
          </w:p>
        </w:tc>
        <w:tc>
          <w:tcPr>
            <w:tcW w:w="0" w:type="auto"/>
            <w:vAlign w:val="center"/>
          </w:tcPr>
          <w:p w:rsidR="000F5B8C" w:rsidRDefault="00F27DEE">
            <w:pPr>
              <w:jc w:val="center"/>
            </w:pPr>
            <w:r>
              <w:rPr>
                <w:color w:val="000000"/>
                <w:sz w:val="24"/>
              </w:rPr>
              <w:t>119237</w:t>
            </w:r>
          </w:p>
        </w:tc>
        <w:tc>
          <w:tcPr>
            <w:tcW w:w="1636" w:type="dxa"/>
            <w:vAlign w:val="center"/>
          </w:tcPr>
          <w:p w:rsidR="000F5B8C" w:rsidRDefault="00F27DEE">
            <w:pPr>
              <w:jc w:val="center"/>
            </w:pPr>
            <w:r>
              <w:rPr>
                <w:color w:val="000000"/>
                <w:sz w:val="24"/>
              </w:rPr>
              <w:t>南方</w:t>
            </w:r>
            <w:r>
              <w:rPr>
                <w:color w:val="000000"/>
                <w:sz w:val="24"/>
              </w:rPr>
              <w:t>A1</w:t>
            </w:r>
          </w:p>
        </w:tc>
        <w:tc>
          <w:tcPr>
            <w:tcW w:w="1382" w:type="dxa"/>
            <w:vAlign w:val="center"/>
          </w:tcPr>
          <w:p w:rsidR="000F5B8C" w:rsidRDefault="00F27DEE">
            <w:pPr>
              <w:jc w:val="right"/>
            </w:pPr>
            <w:r>
              <w:rPr>
                <w:color w:val="000000"/>
                <w:sz w:val="24"/>
              </w:rPr>
              <w:t>50,000</w:t>
            </w:r>
          </w:p>
        </w:tc>
        <w:tc>
          <w:tcPr>
            <w:tcW w:w="0" w:type="auto"/>
            <w:vAlign w:val="center"/>
          </w:tcPr>
          <w:p w:rsidR="000F5B8C" w:rsidRDefault="00F27DEE">
            <w:pPr>
              <w:jc w:val="right"/>
            </w:pPr>
            <w:r>
              <w:rPr>
                <w:color w:val="000000"/>
                <w:sz w:val="24"/>
              </w:rPr>
              <w:t>5,000,000.00</w:t>
            </w:r>
          </w:p>
        </w:tc>
        <w:tc>
          <w:tcPr>
            <w:tcW w:w="0" w:type="auto"/>
            <w:vAlign w:val="center"/>
          </w:tcPr>
          <w:p w:rsidR="000F5B8C" w:rsidRDefault="00F27DEE">
            <w:pPr>
              <w:jc w:val="right"/>
            </w:pPr>
            <w:r>
              <w:rPr>
                <w:color w:val="000000"/>
                <w:sz w:val="24"/>
              </w:rPr>
              <w:t>0.23</w:t>
            </w:r>
          </w:p>
        </w:tc>
      </w:tr>
      <w:tr w:rsidR="000F5B8C" w:rsidTr="00F27DEE">
        <w:trPr>
          <w:jc w:val="center"/>
        </w:trPr>
        <w:tc>
          <w:tcPr>
            <w:tcW w:w="0" w:type="auto"/>
            <w:vAlign w:val="center"/>
          </w:tcPr>
          <w:p w:rsidR="000F5B8C" w:rsidRDefault="00F27DEE">
            <w:pPr>
              <w:jc w:val="center"/>
            </w:pPr>
            <w:r>
              <w:rPr>
                <w:color w:val="000000"/>
                <w:sz w:val="24"/>
              </w:rPr>
              <w:t>6</w:t>
            </w:r>
          </w:p>
        </w:tc>
        <w:tc>
          <w:tcPr>
            <w:tcW w:w="0" w:type="auto"/>
            <w:vAlign w:val="center"/>
          </w:tcPr>
          <w:p w:rsidR="000F5B8C" w:rsidRDefault="00F27DEE">
            <w:pPr>
              <w:jc w:val="center"/>
            </w:pPr>
            <w:r>
              <w:rPr>
                <w:color w:val="000000"/>
                <w:sz w:val="24"/>
              </w:rPr>
              <w:t>123934</w:t>
            </w:r>
          </w:p>
        </w:tc>
        <w:tc>
          <w:tcPr>
            <w:tcW w:w="1636" w:type="dxa"/>
            <w:vAlign w:val="center"/>
          </w:tcPr>
          <w:p w:rsidR="000F5B8C" w:rsidRDefault="00F27DEE">
            <w:pPr>
              <w:jc w:val="center"/>
            </w:pPr>
            <w:r>
              <w:rPr>
                <w:color w:val="000000"/>
                <w:sz w:val="24"/>
              </w:rPr>
              <w:t>15</w:t>
            </w:r>
            <w:r>
              <w:rPr>
                <w:color w:val="000000"/>
                <w:sz w:val="24"/>
              </w:rPr>
              <w:t>濮热</w:t>
            </w:r>
            <w:r>
              <w:rPr>
                <w:color w:val="000000"/>
                <w:sz w:val="24"/>
              </w:rPr>
              <w:t>02</w:t>
            </w:r>
          </w:p>
        </w:tc>
        <w:tc>
          <w:tcPr>
            <w:tcW w:w="1382" w:type="dxa"/>
            <w:vAlign w:val="center"/>
          </w:tcPr>
          <w:p w:rsidR="000F5B8C" w:rsidRDefault="00F27DEE">
            <w:pPr>
              <w:jc w:val="right"/>
            </w:pPr>
            <w:r>
              <w:rPr>
                <w:color w:val="000000"/>
                <w:sz w:val="24"/>
              </w:rPr>
              <w:t>40,000</w:t>
            </w:r>
          </w:p>
        </w:tc>
        <w:tc>
          <w:tcPr>
            <w:tcW w:w="0" w:type="auto"/>
            <w:vAlign w:val="center"/>
          </w:tcPr>
          <w:p w:rsidR="000F5B8C" w:rsidRDefault="00F27DEE">
            <w:pPr>
              <w:jc w:val="right"/>
            </w:pPr>
            <w:r>
              <w:rPr>
                <w:color w:val="000000"/>
                <w:sz w:val="24"/>
              </w:rPr>
              <w:t>4,000,000.00</w:t>
            </w:r>
          </w:p>
        </w:tc>
        <w:tc>
          <w:tcPr>
            <w:tcW w:w="0" w:type="auto"/>
            <w:vAlign w:val="center"/>
          </w:tcPr>
          <w:p w:rsidR="000F5B8C" w:rsidRDefault="00F27DEE">
            <w:pPr>
              <w:jc w:val="right"/>
            </w:pPr>
            <w:r>
              <w:rPr>
                <w:color w:val="000000"/>
                <w:sz w:val="24"/>
              </w:rPr>
              <w:t>0.19</w:t>
            </w:r>
          </w:p>
        </w:tc>
      </w:tr>
      <w:tr w:rsidR="000F5B8C" w:rsidTr="00F27DEE">
        <w:trPr>
          <w:jc w:val="center"/>
        </w:trPr>
        <w:tc>
          <w:tcPr>
            <w:tcW w:w="0" w:type="auto"/>
            <w:vAlign w:val="center"/>
          </w:tcPr>
          <w:p w:rsidR="000F5B8C" w:rsidRDefault="00F27DEE">
            <w:pPr>
              <w:jc w:val="center"/>
            </w:pPr>
            <w:r>
              <w:rPr>
                <w:color w:val="000000"/>
                <w:sz w:val="24"/>
              </w:rPr>
              <w:t>7</w:t>
            </w:r>
          </w:p>
        </w:tc>
        <w:tc>
          <w:tcPr>
            <w:tcW w:w="0" w:type="auto"/>
            <w:vAlign w:val="center"/>
          </w:tcPr>
          <w:p w:rsidR="000F5B8C" w:rsidRDefault="00F27DEE">
            <w:pPr>
              <w:jc w:val="center"/>
            </w:pPr>
            <w:r>
              <w:rPr>
                <w:color w:val="000000"/>
                <w:sz w:val="24"/>
              </w:rPr>
              <w:t>123933</w:t>
            </w:r>
          </w:p>
        </w:tc>
        <w:tc>
          <w:tcPr>
            <w:tcW w:w="1636" w:type="dxa"/>
            <w:vAlign w:val="center"/>
          </w:tcPr>
          <w:p w:rsidR="000F5B8C" w:rsidRDefault="00F27DEE">
            <w:pPr>
              <w:jc w:val="center"/>
            </w:pPr>
            <w:r>
              <w:rPr>
                <w:color w:val="000000"/>
                <w:sz w:val="24"/>
              </w:rPr>
              <w:t>15</w:t>
            </w:r>
            <w:r>
              <w:rPr>
                <w:color w:val="000000"/>
                <w:sz w:val="24"/>
              </w:rPr>
              <w:t>濮热</w:t>
            </w:r>
            <w:r>
              <w:rPr>
                <w:color w:val="000000"/>
                <w:sz w:val="24"/>
              </w:rPr>
              <w:t>01</w:t>
            </w:r>
          </w:p>
        </w:tc>
        <w:tc>
          <w:tcPr>
            <w:tcW w:w="1382" w:type="dxa"/>
            <w:vAlign w:val="center"/>
          </w:tcPr>
          <w:p w:rsidR="000F5B8C" w:rsidRDefault="00F27DEE">
            <w:pPr>
              <w:jc w:val="right"/>
            </w:pPr>
            <w:r>
              <w:rPr>
                <w:color w:val="000000"/>
                <w:sz w:val="24"/>
              </w:rPr>
              <w:t>35,000</w:t>
            </w:r>
          </w:p>
        </w:tc>
        <w:tc>
          <w:tcPr>
            <w:tcW w:w="0" w:type="auto"/>
            <w:vAlign w:val="center"/>
          </w:tcPr>
          <w:p w:rsidR="000F5B8C" w:rsidRDefault="00F27DEE">
            <w:pPr>
              <w:jc w:val="right"/>
            </w:pPr>
            <w:r>
              <w:rPr>
                <w:color w:val="000000"/>
                <w:sz w:val="24"/>
              </w:rPr>
              <w:t>3,500,000.00</w:t>
            </w:r>
          </w:p>
        </w:tc>
        <w:tc>
          <w:tcPr>
            <w:tcW w:w="0" w:type="auto"/>
            <w:vAlign w:val="center"/>
          </w:tcPr>
          <w:p w:rsidR="000F5B8C" w:rsidRDefault="00F27DEE">
            <w:pPr>
              <w:jc w:val="right"/>
            </w:pPr>
            <w:r>
              <w:rPr>
                <w:color w:val="000000"/>
                <w:sz w:val="24"/>
              </w:rPr>
              <w:t>0.16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24,166.62</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24,482,394.88</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1,677,680.16</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26,184,241.66</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交银纯债债券发起</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交银纯债债券发起</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809,925,723.69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843,945,763.51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1,126,529,704.85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1,434,332,714.91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851,988,499.80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1,349,803,416.08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1,084,466,928.74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928,475,062.34</w:t>
            </w:r>
          </w:p>
        </w:tc>
      </w:tr>
    </w:tbl>
    <w:p w:rsidR="000F5B8C" w:rsidRDefault="00F27DEE">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7F50FB">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AE55CC" w:rsidRPr="00AE55CC" w:rsidRDefault="00AE55CC" w:rsidP="00AE55CC">
      <w:pPr>
        <w:autoSpaceDE w:val="0"/>
        <w:autoSpaceDN w:val="0"/>
        <w:adjustRightInd w:val="0"/>
        <w:spacing w:before="29" w:line="360" w:lineRule="auto"/>
        <w:ind w:left="15"/>
        <w:jc w:val="right"/>
        <w:rPr>
          <w:color w:val="000000"/>
          <w:kern w:val="0"/>
          <w:sz w:val="24"/>
        </w:rPr>
      </w:pPr>
      <w:r w:rsidRPr="00AE55CC">
        <w:rPr>
          <w:color w:val="000000"/>
          <w:kern w:val="0"/>
          <w:sz w:val="24"/>
        </w:rPr>
        <w:t>单位：份</w:t>
      </w:r>
    </w:p>
    <w:tbl>
      <w:tblPr>
        <w:tblW w:w="8998" w:type="dxa"/>
        <w:tblInd w:w="108" w:type="dxa"/>
        <w:tblLayout w:type="fixed"/>
        <w:tblLook w:val="0000" w:firstRow="0" w:lastRow="0" w:firstColumn="0" w:lastColumn="0" w:noHBand="0" w:noVBand="0"/>
      </w:tblPr>
      <w:tblGrid>
        <w:gridCol w:w="3204"/>
        <w:gridCol w:w="2897"/>
        <w:gridCol w:w="2897"/>
      </w:tblGrid>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center"/>
              <w:rPr>
                <w:color w:val="000000"/>
                <w:kern w:val="0"/>
                <w:sz w:val="24"/>
              </w:rPr>
            </w:pPr>
            <w:r w:rsidRPr="00AE55CC">
              <w:rPr>
                <w:color w:val="000000"/>
                <w:kern w:val="0"/>
                <w:sz w:val="24"/>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right"/>
              <w:rPr>
                <w:color w:val="000000"/>
                <w:sz w:val="24"/>
              </w:rPr>
            </w:pPr>
            <w:r w:rsidRPr="00AE55CC">
              <w:rPr>
                <w:sz w:val="24"/>
              </w:rPr>
              <w:t>交银纯债债券发起</w:t>
            </w:r>
            <w:r w:rsidRPr="00AE55CC">
              <w:rPr>
                <w:sz w:val="24"/>
              </w:rPr>
              <w:t>A/B</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right"/>
              <w:rPr>
                <w:color w:val="000000"/>
                <w:sz w:val="24"/>
              </w:rPr>
            </w:pPr>
            <w:r w:rsidRPr="00AE55CC">
              <w:rPr>
                <w:sz w:val="24"/>
              </w:rPr>
              <w:t>交银纯债债券发起</w:t>
            </w:r>
            <w:r w:rsidRPr="00AE55CC">
              <w:rPr>
                <w:sz w:val="24"/>
              </w:rPr>
              <w:t>C</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pStyle w:val="ac"/>
              <w:adjustRightInd w:val="0"/>
              <w:snapToGrid w:val="0"/>
              <w:spacing w:line="360" w:lineRule="exact"/>
              <w:rPr>
                <w:color w:val="000000"/>
                <w:szCs w:val="24"/>
              </w:rPr>
            </w:pPr>
            <w:r w:rsidRPr="00AE55CC">
              <w:rPr>
                <w:color w:val="000000"/>
                <w:szCs w:val="24"/>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11,007,328.93</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kern w:val="0"/>
                <w:sz w:val="24"/>
              </w:rPr>
              <w:t>本报告期</w:t>
            </w:r>
            <w:r w:rsidRPr="00AE55CC">
              <w:rPr>
                <w:color w:val="000000"/>
                <w:sz w:val="24"/>
              </w:rPr>
              <w:t>买入</w:t>
            </w:r>
            <w:r w:rsidRPr="00AE55CC">
              <w:rPr>
                <w:color w:val="000000"/>
                <w:sz w:val="24"/>
              </w:rPr>
              <w:t>/</w:t>
            </w:r>
            <w:r w:rsidRPr="00AE55CC">
              <w:rPr>
                <w:color w:val="000000"/>
                <w:sz w:val="24"/>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313,004.62</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kern w:val="0"/>
                <w:sz w:val="24"/>
              </w:rPr>
              <w:t>本报告期</w:t>
            </w:r>
            <w:r w:rsidRPr="00AE55CC">
              <w:rPr>
                <w:color w:val="000000"/>
                <w:sz w:val="24"/>
              </w:rPr>
              <w:t>卖出</w:t>
            </w:r>
            <w:r w:rsidRPr="00AE55CC">
              <w:rPr>
                <w:color w:val="000000"/>
                <w:sz w:val="24"/>
              </w:rPr>
              <w:t>/</w:t>
            </w:r>
            <w:r w:rsidRPr="00AE55CC">
              <w:rPr>
                <w:color w:val="000000"/>
                <w:sz w:val="24"/>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sz w:val="24"/>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11,320,333.55</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sz w:val="24"/>
              </w:rPr>
              <w:t>报告期期末持有的本基金份额占基金总份额比例（</w:t>
            </w:r>
            <w:r w:rsidRPr="00AE55CC">
              <w:rPr>
                <w:color w:val="000000"/>
                <w:sz w:val="24"/>
              </w:rPr>
              <w:t>%</w:t>
            </w: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0.56</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bl>
    <w:p w:rsidR="000F5B8C" w:rsidRDefault="00F27DEE">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 xml:space="preserve">    2</w:t>
      </w:r>
      <w:r w:rsidRPr="00AE55CC">
        <w:rPr>
          <w:color w:val="000000"/>
          <w:sz w:val="24"/>
        </w:rPr>
        <w:t>、如果本报告期间发生转换出业务，则总赎回份额中包含该业务。</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2"/>
        <w:gridCol w:w="1776"/>
        <w:gridCol w:w="1317"/>
        <w:gridCol w:w="1633"/>
        <w:gridCol w:w="1767"/>
        <w:gridCol w:w="1343"/>
      </w:tblGrid>
      <w:tr w:rsidR="00285618" w:rsidRPr="007F52FA" w:rsidTr="00735E32">
        <w:trPr>
          <w:trHeight w:val="340"/>
          <w:jc w:val="center"/>
        </w:trPr>
        <w:tc>
          <w:tcPr>
            <w:tcW w:w="1070" w:type="dxa"/>
            <w:vAlign w:val="center"/>
          </w:tcPr>
          <w:p w:rsidR="00285618" w:rsidRPr="007F52FA" w:rsidRDefault="00285618" w:rsidP="007C14DF">
            <w:pPr>
              <w:pStyle w:val="ac"/>
              <w:adjustRightInd w:val="0"/>
              <w:snapToGrid w:val="0"/>
              <w:spacing w:before="29" w:line="288" w:lineRule="auto"/>
              <w:jc w:val="center"/>
              <w:rPr>
                <w:color w:val="000000"/>
                <w:kern w:val="0"/>
                <w:szCs w:val="24"/>
              </w:rPr>
            </w:pPr>
            <w:r w:rsidRPr="007F52FA">
              <w:rPr>
                <w:color w:val="000000"/>
                <w:kern w:val="0"/>
                <w:szCs w:val="24"/>
              </w:rPr>
              <w:t>序号</w:t>
            </w:r>
          </w:p>
        </w:tc>
        <w:tc>
          <w:tcPr>
            <w:tcW w:w="1851"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交易方式</w:t>
            </w:r>
          </w:p>
        </w:tc>
        <w:tc>
          <w:tcPr>
            <w:tcW w:w="1370" w:type="dxa"/>
            <w:vAlign w:val="center"/>
          </w:tcPr>
          <w:p w:rsidR="00285618" w:rsidRPr="007F52FA" w:rsidRDefault="00285618" w:rsidP="007C14DF">
            <w:pPr>
              <w:adjustRightInd w:val="0"/>
              <w:snapToGrid w:val="0"/>
              <w:spacing w:before="29" w:line="288" w:lineRule="auto"/>
              <w:rPr>
                <w:color w:val="000000"/>
                <w:kern w:val="0"/>
                <w:sz w:val="24"/>
              </w:rPr>
            </w:pPr>
            <w:r w:rsidRPr="007F52FA">
              <w:rPr>
                <w:color w:val="000000"/>
                <w:kern w:val="0"/>
                <w:sz w:val="24"/>
              </w:rPr>
              <w:t>交易日期</w:t>
            </w:r>
          </w:p>
        </w:tc>
        <w:tc>
          <w:tcPr>
            <w:tcW w:w="1701"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交易份额（份</w:t>
            </w:r>
            <w:r w:rsidR="006B2CE8" w:rsidRPr="007F52FA">
              <w:rPr>
                <w:color w:val="000000"/>
                <w:kern w:val="0"/>
                <w:sz w:val="24"/>
              </w:rPr>
              <w:t>）</w:t>
            </w:r>
          </w:p>
        </w:tc>
        <w:tc>
          <w:tcPr>
            <w:tcW w:w="1842"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交易金额（元）</w:t>
            </w:r>
          </w:p>
        </w:tc>
        <w:tc>
          <w:tcPr>
            <w:tcW w:w="1397"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适用费率</w:t>
            </w:r>
          </w:p>
        </w:tc>
      </w:tr>
      <w:tr w:rsidR="000F5B8C">
        <w:trPr>
          <w:jc w:val="center"/>
        </w:trPr>
        <w:tc>
          <w:tcPr>
            <w:tcW w:w="1032" w:type="dxa"/>
            <w:vAlign w:val="center"/>
          </w:tcPr>
          <w:p w:rsidR="000F5B8C" w:rsidRDefault="00F27DEE">
            <w:pPr>
              <w:jc w:val="center"/>
            </w:pPr>
            <w:r>
              <w:rPr>
                <w:rFonts w:eastAsiaTheme="minorEastAsia"/>
                <w:color w:val="000000"/>
                <w:sz w:val="24"/>
              </w:rPr>
              <w:t>1</w:t>
            </w:r>
          </w:p>
        </w:tc>
        <w:tc>
          <w:tcPr>
            <w:tcW w:w="1776" w:type="dxa"/>
            <w:vAlign w:val="center"/>
          </w:tcPr>
          <w:p w:rsidR="000F5B8C" w:rsidRDefault="00F27DEE">
            <w:pPr>
              <w:jc w:val="center"/>
            </w:pPr>
            <w:r>
              <w:rPr>
                <w:rFonts w:eastAsiaTheme="minorEastAsia"/>
                <w:color w:val="000000"/>
                <w:sz w:val="24"/>
              </w:rPr>
              <w:t>红利再投</w:t>
            </w:r>
          </w:p>
        </w:tc>
        <w:tc>
          <w:tcPr>
            <w:tcW w:w="1317" w:type="dxa"/>
            <w:vAlign w:val="center"/>
          </w:tcPr>
          <w:p w:rsidR="000F5B8C" w:rsidRDefault="00F27DEE">
            <w:pPr>
              <w:jc w:val="center"/>
            </w:pPr>
            <w:r>
              <w:rPr>
                <w:rFonts w:eastAsiaTheme="minorEastAsia"/>
                <w:color w:val="000000"/>
                <w:sz w:val="24"/>
              </w:rPr>
              <w:t>2015-10-21</w:t>
            </w:r>
          </w:p>
        </w:tc>
        <w:tc>
          <w:tcPr>
            <w:tcW w:w="1633" w:type="dxa"/>
            <w:vAlign w:val="center"/>
          </w:tcPr>
          <w:p w:rsidR="000F5B8C" w:rsidRDefault="00F27DEE">
            <w:pPr>
              <w:jc w:val="right"/>
            </w:pPr>
            <w:r>
              <w:rPr>
                <w:rFonts w:eastAsiaTheme="minorEastAsia"/>
                <w:color w:val="000000"/>
                <w:sz w:val="24"/>
              </w:rPr>
              <w:t>313,004.62</w:t>
            </w:r>
          </w:p>
        </w:tc>
        <w:tc>
          <w:tcPr>
            <w:tcW w:w="1767" w:type="dxa"/>
            <w:vAlign w:val="center"/>
          </w:tcPr>
          <w:p w:rsidR="000F5B8C" w:rsidRDefault="00F27DEE">
            <w:pPr>
              <w:jc w:val="right"/>
            </w:pPr>
            <w:r>
              <w:rPr>
                <w:rFonts w:eastAsiaTheme="minorEastAsia"/>
                <w:color w:val="000000"/>
                <w:sz w:val="24"/>
              </w:rPr>
              <w:t>330,219.87</w:t>
            </w:r>
          </w:p>
        </w:tc>
        <w:tc>
          <w:tcPr>
            <w:tcW w:w="1343" w:type="dxa"/>
            <w:vAlign w:val="center"/>
          </w:tcPr>
          <w:p w:rsidR="000F5B8C" w:rsidRDefault="00F27DEE">
            <w:pPr>
              <w:jc w:val="center"/>
            </w:pPr>
            <w:r>
              <w:rPr>
                <w:rFonts w:eastAsiaTheme="minorEastAsia"/>
                <w:color w:val="000000"/>
                <w:sz w:val="24"/>
              </w:rPr>
              <w:t>-</w:t>
            </w:r>
          </w:p>
        </w:tc>
      </w:tr>
      <w:tr w:rsidR="00285618" w:rsidRPr="007F52FA" w:rsidTr="00735E32">
        <w:trPr>
          <w:trHeight w:val="340"/>
          <w:jc w:val="center"/>
        </w:trPr>
        <w:tc>
          <w:tcPr>
            <w:tcW w:w="1070" w:type="dxa"/>
            <w:vAlign w:val="center"/>
          </w:tcPr>
          <w:p w:rsidR="00285618" w:rsidRPr="007F52FA" w:rsidRDefault="00285618" w:rsidP="007C14DF">
            <w:pPr>
              <w:pStyle w:val="ac"/>
              <w:adjustRightInd w:val="0"/>
              <w:snapToGrid w:val="0"/>
              <w:spacing w:before="29" w:line="288" w:lineRule="auto"/>
              <w:jc w:val="center"/>
              <w:rPr>
                <w:color w:val="000000"/>
                <w:kern w:val="0"/>
                <w:szCs w:val="24"/>
              </w:rPr>
            </w:pPr>
            <w:r w:rsidRPr="007F52FA">
              <w:rPr>
                <w:color w:val="000000"/>
                <w:kern w:val="0"/>
                <w:szCs w:val="24"/>
              </w:rPr>
              <w:t>合计</w:t>
            </w:r>
          </w:p>
        </w:tc>
        <w:tc>
          <w:tcPr>
            <w:tcW w:w="1851" w:type="dxa"/>
            <w:vAlign w:val="center"/>
          </w:tcPr>
          <w:p w:rsidR="00285618" w:rsidRPr="007F52FA" w:rsidRDefault="00285618" w:rsidP="007C14DF">
            <w:pPr>
              <w:adjustRightInd w:val="0"/>
              <w:snapToGrid w:val="0"/>
              <w:spacing w:before="29" w:line="288" w:lineRule="auto"/>
              <w:jc w:val="right"/>
              <w:rPr>
                <w:color w:val="0000FF"/>
                <w:kern w:val="0"/>
                <w:sz w:val="24"/>
              </w:rPr>
            </w:pPr>
          </w:p>
        </w:tc>
        <w:tc>
          <w:tcPr>
            <w:tcW w:w="1370" w:type="dxa"/>
            <w:vAlign w:val="center"/>
          </w:tcPr>
          <w:p w:rsidR="00285618" w:rsidRPr="007F52FA" w:rsidRDefault="00285618" w:rsidP="007C14DF">
            <w:pPr>
              <w:adjustRightInd w:val="0"/>
              <w:snapToGrid w:val="0"/>
              <w:spacing w:before="29" w:line="288" w:lineRule="auto"/>
              <w:jc w:val="right"/>
              <w:rPr>
                <w:color w:val="0000FF"/>
                <w:kern w:val="0"/>
                <w:sz w:val="24"/>
              </w:rPr>
            </w:pPr>
          </w:p>
        </w:tc>
        <w:tc>
          <w:tcPr>
            <w:tcW w:w="1701" w:type="dxa"/>
            <w:vAlign w:val="center"/>
          </w:tcPr>
          <w:p w:rsidR="00285618" w:rsidRPr="007F52FA" w:rsidRDefault="00285618" w:rsidP="007C14DF">
            <w:pPr>
              <w:adjustRightInd w:val="0"/>
              <w:snapToGrid w:val="0"/>
              <w:spacing w:before="29" w:line="288" w:lineRule="auto"/>
              <w:jc w:val="right"/>
              <w:rPr>
                <w:rFonts w:eastAsiaTheme="minorEastAsia"/>
                <w:color w:val="000000"/>
                <w:sz w:val="24"/>
              </w:rPr>
            </w:pPr>
            <w:r w:rsidRPr="007F52FA">
              <w:rPr>
                <w:rFonts w:eastAsiaTheme="minorEastAsia"/>
                <w:color w:val="000000"/>
                <w:sz w:val="24"/>
              </w:rPr>
              <w:t>313,004.62</w:t>
            </w:r>
          </w:p>
        </w:tc>
        <w:tc>
          <w:tcPr>
            <w:tcW w:w="1842" w:type="dxa"/>
            <w:vAlign w:val="center"/>
          </w:tcPr>
          <w:p w:rsidR="00285618" w:rsidRPr="007F52FA" w:rsidRDefault="00285618" w:rsidP="007C14DF">
            <w:pPr>
              <w:adjustRightInd w:val="0"/>
              <w:snapToGrid w:val="0"/>
              <w:spacing w:before="29" w:line="288" w:lineRule="auto"/>
              <w:jc w:val="right"/>
              <w:rPr>
                <w:rFonts w:eastAsiaTheme="minorEastAsia"/>
                <w:color w:val="000000"/>
                <w:sz w:val="24"/>
              </w:rPr>
            </w:pPr>
            <w:r w:rsidRPr="007F52FA">
              <w:rPr>
                <w:rFonts w:eastAsiaTheme="minorEastAsia"/>
                <w:color w:val="000000"/>
                <w:sz w:val="24"/>
              </w:rPr>
              <w:t>330,219.87</w:t>
            </w:r>
          </w:p>
        </w:tc>
        <w:tc>
          <w:tcPr>
            <w:tcW w:w="1397" w:type="dxa"/>
            <w:vAlign w:val="center"/>
          </w:tcPr>
          <w:p w:rsidR="00285618" w:rsidRPr="007F52FA" w:rsidRDefault="00285618" w:rsidP="007C14DF">
            <w:pPr>
              <w:adjustRightInd w:val="0"/>
              <w:snapToGrid w:val="0"/>
              <w:spacing w:before="29" w:line="288" w:lineRule="auto"/>
              <w:jc w:val="right"/>
              <w:rPr>
                <w:color w:val="0000FF"/>
                <w:kern w:val="0"/>
                <w:sz w:val="24"/>
              </w:rPr>
            </w:pPr>
          </w:p>
        </w:tc>
      </w:tr>
    </w:tbl>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B47574" w:rsidRPr="007F52FA" w:rsidRDefault="00B47574" w:rsidP="007F50FB">
      <w:pPr>
        <w:pStyle w:val="1"/>
        <w:spacing w:beforeLines="100" w:before="312" w:afterLines="100" w:after="312" w:line="288" w:lineRule="auto"/>
        <w:jc w:val="center"/>
        <w:rPr>
          <w:rFonts w:eastAsiaTheme="minorEastAsia"/>
          <w:b w:val="0"/>
          <w:color w:val="000000"/>
          <w:sz w:val="24"/>
          <w:szCs w:val="24"/>
        </w:rPr>
      </w:pPr>
      <w:r w:rsidRPr="007F52FA">
        <w:rPr>
          <w:rFonts w:eastAsiaTheme="minorEastAsia"/>
          <w:color w:val="000000"/>
          <w:kern w:val="0"/>
          <w:sz w:val="24"/>
          <w:szCs w:val="24"/>
        </w:rPr>
        <w:t xml:space="preserve">§8  </w:t>
      </w:r>
      <w:r w:rsidR="00EA7533" w:rsidRPr="007F52FA">
        <w:rPr>
          <w:rFonts w:eastAsiaTheme="minorEastAsia"/>
          <w:color w:val="000000"/>
          <w:kern w:val="0"/>
          <w:sz w:val="24"/>
          <w:szCs w:val="24"/>
        </w:rPr>
        <w:t>报告期末</w:t>
      </w:r>
      <w:r w:rsidRPr="007F52FA">
        <w:rPr>
          <w:rFonts w:eastAsiaTheme="minorEastAsia"/>
          <w:color w:val="000000"/>
          <w:kern w:val="0"/>
          <w:sz w:val="24"/>
          <w:szCs w:val="24"/>
        </w:rPr>
        <w:t>发起式基金发起资金持有份额情况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7"/>
        <w:gridCol w:w="1645"/>
        <w:gridCol w:w="851"/>
        <w:gridCol w:w="1701"/>
        <w:gridCol w:w="850"/>
        <w:gridCol w:w="1434"/>
      </w:tblGrid>
      <w:tr w:rsidR="00B47574" w:rsidRPr="007F52FA" w:rsidTr="00F27DEE">
        <w:trPr>
          <w:trHeight w:val="543"/>
          <w:jc w:val="center"/>
        </w:trPr>
        <w:tc>
          <w:tcPr>
            <w:tcW w:w="2387"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widowControl/>
              <w:spacing w:before="29" w:line="288" w:lineRule="auto"/>
              <w:jc w:val="left"/>
              <w:rPr>
                <w:rFonts w:eastAsiaTheme="minorEastAsia"/>
                <w:color w:val="000000"/>
                <w:sz w:val="24"/>
              </w:rPr>
            </w:pPr>
            <w:r w:rsidRPr="007F52FA">
              <w:rPr>
                <w:rFonts w:eastAsiaTheme="minorEastAsia"/>
                <w:color w:val="000000"/>
                <w:sz w:val="24"/>
              </w:rPr>
              <w:t>项目</w:t>
            </w:r>
          </w:p>
        </w:tc>
        <w:tc>
          <w:tcPr>
            <w:tcW w:w="1645"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rPr>
                <w:rFonts w:eastAsiaTheme="minorEastAsia"/>
                <w:color w:val="000000"/>
                <w:sz w:val="24"/>
              </w:rPr>
            </w:pPr>
            <w:r w:rsidRPr="007F52FA">
              <w:rPr>
                <w:rFonts w:eastAsiaTheme="minorEastAsia"/>
                <w:color w:val="000000"/>
                <w:sz w:val="24"/>
              </w:rPr>
              <w:t>持有份额总数</w:t>
            </w:r>
          </w:p>
        </w:tc>
        <w:tc>
          <w:tcPr>
            <w:tcW w:w="851"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rPr>
                <w:rFonts w:eastAsiaTheme="minorEastAsia"/>
                <w:color w:val="000000"/>
                <w:sz w:val="24"/>
              </w:rPr>
            </w:pPr>
            <w:r w:rsidRPr="007F52FA">
              <w:rPr>
                <w:rFonts w:eastAsiaTheme="minorEastAsia"/>
                <w:color w:val="000000"/>
                <w:sz w:val="24"/>
              </w:rPr>
              <w:t>持有份额占基金总份额比例</w:t>
            </w:r>
          </w:p>
        </w:tc>
        <w:tc>
          <w:tcPr>
            <w:tcW w:w="1701"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rPr>
                <w:rFonts w:eastAsiaTheme="minorEastAsia"/>
                <w:color w:val="000000"/>
                <w:sz w:val="24"/>
              </w:rPr>
            </w:pPr>
            <w:r w:rsidRPr="007F52FA">
              <w:rPr>
                <w:rFonts w:eastAsiaTheme="minorEastAsia"/>
                <w:color w:val="000000"/>
                <w:sz w:val="24"/>
              </w:rPr>
              <w:t>发起份额总数</w:t>
            </w:r>
          </w:p>
        </w:tc>
        <w:tc>
          <w:tcPr>
            <w:tcW w:w="850"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rPr>
                <w:rFonts w:eastAsiaTheme="minorEastAsia"/>
                <w:color w:val="000000"/>
                <w:sz w:val="24"/>
              </w:rPr>
            </w:pPr>
            <w:r w:rsidRPr="007F52FA">
              <w:rPr>
                <w:rFonts w:eastAsiaTheme="minorEastAsia"/>
                <w:color w:val="000000"/>
                <w:sz w:val="24"/>
              </w:rPr>
              <w:t>发起份额占基金总份额比例</w:t>
            </w:r>
          </w:p>
        </w:tc>
        <w:tc>
          <w:tcPr>
            <w:tcW w:w="1434"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widowControl/>
              <w:spacing w:before="29" w:line="288" w:lineRule="auto"/>
              <w:jc w:val="left"/>
              <w:rPr>
                <w:rFonts w:eastAsiaTheme="minorEastAsia"/>
                <w:color w:val="000000"/>
                <w:sz w:val="24"/>
              </w:rPr>
            </w:pPr>
            <w:r w:rsidRPr="007F52FA">
              <w:rPr>
                <w:rFonts w:eastAsiaTheme="minorEastAsia"/>
                <w:color w:val="000000"/>
                <w:sz w:val="24"/>
              </w:rPr>
              <w:t>发起份额承诺持有期限</w:t>
            </w:r>
          </w:p>
        </w:tc>
      </w:tr>
      <w:tr w:rsidR="00B47574" w:rsidRPr="007F52FA" w:rsidTr="00F27DEE">
        <w:trPr>
          <w:jc w:val="center"/>
        </w:trPr>
        <w:tc>
          <w:tcPr>
            <w:tcW w:w="2387"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rPr>
                <w:rFonts w:eastAsiaTheme="minorEastAsia"/>
                <w:color w:val="000000"/>
                <w:sz w:val="24"/>
              </w:rPr>
            </w:pPr>
            <w:r w:rsidRPr="007F52FA">
              <w:rPr>
                <w:rFonts w:eastAsiaTheme="minorEastAsia"/>
                <w:color w:val="000000"/>
                <w:sz w:val="24"/>
              </w:rPr>
              <w:t>基金管理人固有资金</w:t>
            </w:r>
          </w:p>
        </w:tc>
        <w:tc>
          <w:tcPr>
            <w:tcW w:w="1645"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11,320,333.55</w:t>
            </w:r>
          </w:p>
        </w:tc>
        <w:tc>
          <w:tcPr>
            <w:tcW w:w="851"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0.56%</w:t>
            </w:r>
          </w:p>
        </w:tc>
        <w:tc>
          <w:tcPr>
            <w:tcW w:w="1701"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10,072,734.64</w:t>
            </w:r>
          </w:p>
        </w:tc>
        <w:tc>
          <w:tcPr>
            <w:tcW w:w="850"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0.50%</w:t>
            </w:r>
          </w:p>
        </w:tc>
        <w:tc>
          <w:tcPr>
            <w:tcW w:w="1434"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不低于三年</w:t>
            </w:r>
          </w:p>
        </w:tc>
      </w:tr>
      <w:tr w:rsidR="00B47574" w:rsidRPr="007F52FA" w:rsidTr="00F27DEE">
        <w:trPr>
          <w:trHeight w:val="790"/>
          <w:jc w:val="center"/>
        </w:trPr>
        <w:tc>
          <w:tcPr>
            <w:tcW w:w="2387"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rPr>
                <w:rFonts w:eastAsiaTheme="minorEastAsia"/>
                <w:color w:val="000000"/>
                <w:sz w:val="24"/>
              </w:rPr>
            </w:pPr>
            <w:r w:rsidRPr="007F52FA">
              <w:rPr>
                <w:rFonts w:eastAsiaTheme="minorEastAsia"/>
                <w:color w:val="000000"/>
                <w:sz w:val="24"/>
              </w:rPr>
              <w:t>基金管理人高级管理人员</w:t>
            </w:r>
          </w:p>
        </w:tc>
        <w:tc>
          <w:tcPr>
            <w:tcW w:w="1645"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434"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r>
      <w:tr w:rsidR="00B47574" w:rsidRPr="007F52FA" w:rsidTr="00F27DEE">
        <w:trPr>
          <w:jc w:val="center"/>
        </w:trPr>
        <w:tc>
          <w:tcPr>
            <w:tcW w:w="2387"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left"/>
              <w:rPr>
                <w:rFonts w:eastAsiaTheme="minorEastAsia"/>
                <w:color w:val="000000"/>
                <w:sz w:val="24"/>
              </w:rPr>
            </w:pPr>
            <w:r w:rsidRPr="007F52FA">
              <w:rPr>
                <w:rFonts w:eastAsiaTheme="minorEastAsia"/>
                <w:color w:val="000000"/>
                <w:sz w:val="24"/>
              </w:rPr>
              <w:t>基金经理等人员</w:t>
            </w:r>
          </w:p>
        </w:tc>
        <w:tc>
          <w:tcPr>
            <w:tcW w:w="1645"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434"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r>
      <w:tr w:rsidR="00B47574" w:rsidRPr="007F52FA" w:rsidTr="00F27DEE">
        <w:trPr>
          <w:jc w:val="center"/>
        </w:trPr>
        <w:tc>
          <w:tcPr>
            <w:tcW w:w="2387"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left"/>
              <w:rPr>
                <w:rFonts w:eastAsiaTheme="minorEastAsia"/>
                <w:color w:val="000000"/>
                <w:sz w:val="24"/>
              </w:rPr>
            </w:pPr>
            <w:r w:rsidRPr="007F52FA">
              <w:rPr>
                <w:rFonts w:eastAsiaTheme="minorEastAsia"/>
                <w:color w:val="000000"/>
                <w:sz w:val="24"/>
              </w:rPr>
              <w:t>基金管理人股东</w:t>
            </w:r>
          </w:p>
        </w:tc>
        <w:tc>
          <w:tcPr>
            <w:tcW w:w="1645"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434"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r>
      <w:tr w:rsidR="00B47574" w:rsidRPr="007F52FA" w:rsidTr="00F27DEE">
        <w:trPr>
          <w:jc w:val="center"/>
        </w:trPr>
        <w:tc>
          <w:tcPr>
            <w:tcW w:w="2387"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left"/>
              <w:rPr>
                <w:rFonts w:eastAsiaTheme="minorEastAsia"/>
                <w:color w:val="000000"/>
                <w:sz w:val="24"/>
              </w:rPr>
            </w:pPr>
            <w:r w:rsidRPr="007F52FA">
              <w:rPr>
                <w:rFonts w:eastAsiaTheme="minorEastAsia"/>
                <w:color w:val="000000"/>
                <w:sz w:val="24"/>
              </w:rPr>
              <w:t>其他</w:t>
            </w:r>
          </w:p>
        </w:tc>
        <w:tc>
          <w:tcPr>
            <w:tcW w:w="1645"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434"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r>
      <w:tr w:rsidR="00B47574" w:rsidRPr="007F52FA" w:rsidTr="00F27DEE">
        <w:trPr>
          <w:jc w:val="center"/>
        </w:trPr>
        <w:tc>
          <w:tcPr>
            <w:tcW w:w="2387"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left"/>
              <w:rPr>
                <w:rFonts w:eastAsiaTheme="minorEastAsia"/>
                <w:color w:val="000000"/>
                <w:sz w:val="24"/>
              </w:rPr>
            </w:pPr>
            <w:r w:rsidRPr="007F52FA">
              <w:rPr>
                <w:rFonts w:eastAsiaTheme="minorEastAsia"/>
                <w:color w:val="000000"/>
                <w:sz w:val="24"/>
              </w:rPr>
              <w:t>合计</w:t>
            </w:r>
          </w:p>
        </w:tc>
        <w:tc>
          <w:tcPr>
            <w:tcW w:w="1645"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11,320,333.55</w:t>
            </w:r>
          </w:p>
        </w:tc>
        <w:tc>
          <w:tcPr>
            <w:tcW w:w="851"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0.56%</w:t>
            </w:r>
          </w:p>
        </w:tc>
        <w:tc>
          <w:tcPr>
            <w:tcW w:w="1701"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10,072,734.64</w:t>
            </w:r>
          </w:p>
        </w:tc>
        <w:tc>
          <w:tcPr>
            <w:tcW w:w="850"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0.50%</w:t>
            </w:r>
          </w:p>
        </w:tc>
        <w:tc>
          <w:tcPr>
            <w:tcW w:w="1434"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r>
    </w:tbl>
    <w:p w:rsidR="00B47574" w:rsidRPr="007F52FA" w:rsidRDefault="00B4757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注：本报告期末持有份额总数为发起份额总数和截至本报告期末红利再投份额数的合计。</w:t>
      </w:r>
    </w:p>
    <w:p w:rsidR="00574FC7" w:rsidRPr="007F52FA" w:rsidRDefault="00574FC7"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7F50F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0F5B8C" w:rsidRDefault="00F27DEE">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、中国证监会批准交银施罗德纯债债券型发起式证券投资基金募集的文件；</w:t>
      </w:r>
      <w:r>
        <w:rPr>
          <w:rFonts w:eastAsiaTheme="minorEastAsia"/>
          <w:color w:val="000000"/>
          <w:sz w:val="24"/>
        </w:rPr>
        <w:t xml:space="preserve"> </w:t>
      </w:r>
    </w:p>
    <w:p w:rsidR="000F5B8C" w:rsidRDefault="00F27DEE">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、《交银施罗德纯债债券型发起式证券投资基金基金合同》；</w:t>
      </w:r>
      <w:r>
        <w:rPr>
          <w:rFonts w:eastAsiaTheme="minorEastAsia"/>
          <w:color w:val="000000"/>
          <w:sz w:val="24"/>
        </w:rPr>
        <w:t xml:space="preserve"> </w:t>
      </w:r>
    </w:p>
    <w:p w:rsidR="000F5B8C" w:rsidRDefault="00F27DEE">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、《交银施罗德纯债债券型发起式证券投资基金招募说明书》；</w:t>
      </w:r>
      <w:r>
        <w:rPr>
          <w:rFonts w:eastAsiaTheme="minorEastAsia"/>
          <w:color w:val="000000"/>
          <w:sz w:val="24"/>
        </w:rPr>
        <w:t xml:space="preserve"> </w:t>
      </w:r>
    </w:p>
    <w:p w:rsidR="000F5B8C" w:rsidRDefault="00F27DEE">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、《交银施罗德纯债债券型发起式证券投资基金托管协议》；</w:t>
      </w:r>
      <w:r>
        <w:rPr>
          <w:rFonts w:eastAsiaTheme="minorEastAsia"/>
          <w:color w:val="000000"/>
          <w:sz w:val="24"/>
        </w:rPr>
        <w:t xml:space="preserve"> </w:t>
      </w:r>
    </w:p>
    <w:p w:rsidR="000F5B8C" w:rsidRDefault="00F27DEE">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、关于募集交银施罗德纯债债券型发起式证券投资基金之法律意见书；</w:t>
      </w:r>
      <w:r>
        <w:rPr>
          <w:rFonts w:eastAsiaTheme="minorEastAsia"/>
          <w:color w:val="000000"/>
          <w:sz w:val="24"/>
        </w:rPr>
        <w:t xml:space="preserve"> </w:t>
      </w:r>
    </w:p>
    <w:p w:rsidR="000F5B8C" w:rsidRDefault="00F27DEE">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0F5B8C" w:rsidRDefault="00F27DEE">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、报告期内交银施罗德纯债债券型发起式证券投资基金在指定报刊上各项公告的原稿。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0F5B8C" w:rsidRDefault="00F27DEE">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617" w:rsidRDefault="007D6617">
      <w:r>
        <w:separator/>
      </w:r>
    </w:p>
  </w:endnote>
  <w:endnote w:type="continuationSeparator" w:id="0">
    <w:p w:rsidR="007D6617" w:rsidRDefault="007D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FD37F7">
      <w:rPr>
        <w:noProof/>
        <w:kern w:val="0"/>
        <w:szCs w:val="21"/>
      </w:rPr>
      <w:t>1</w:t>
    </w:r>
    <w:r>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FD37F7">
      <w:rPr>
        <w:noProof/>
        <w:kern w:val="0"/>
        <w:szCs w:val="21"/>
      </w:rPr>
      <w:t>13</w:t>
    </w:r>
    <w:r>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7F50F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617" w:rsidRDefault="007D6617">
      <w:r>
        <w:separator/>
      </w:r>
    </w:p>
  </w:footnote>
  <w:footnote w:type="continuationSeparator" w:id="0">
    <w:p w:rsidR="007D6617" w:rsidRDefault="007D66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FD37F7"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5B8C"/>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4A5E"/>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6AC0"/>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617"/>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27DEE"/>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37F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C5E67194-3BA9-450C-ACF5-400D2C96E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F2094-E410-41DE-854A-9D5659A5B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193</TotalTime>
  <Pages>13</Pages>
  <Words>1198</Words>
  <Characters>6829</Characters>
  <Application>Microsoft Office Word</Application>
  <DocSecurity>0</DocSecurity>
  <Lines>56</Lines>
  <Paragraphs>16</Paragraphs>
  <ScaleCrop>false</ScaleCrop>
  <Company>TRT. Ltd. Co.</Company>
  <LinksUpToDate>false</LinksUpToDate>
  <CharactersWithSpaces>8011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367</cp:revision>
  <cp:lastPrinted>2007-07-19T00:46:00Z</cp:lastPrinted>
  <dcterms:created xsi:type="dcterms:W3CDTF">2014-01-17T06:19:00Z</dcterms:created>
  <dcterms:modified xsi:type="dcterms:W3CDTF">2016-01-18T07:08:00Z</dcterms:modified>
</cp:coreProperties>
</file>