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11D0F" w:rsidRDefault="004830B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11D0F" w:rsidRDefault="004830B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11D0F" w:rsidRDefault="004830B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11D0F" w:rsidRDefault="004830B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11D0F" w:rsidRDefault="004830B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37,216,246.75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830BF" w:rsidRPr="00414345" w:rsidTr="004830B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830BF" w:rsidRPr="00414345" w:rsidTr="004830B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2,710,386.44</w:t>
            </w:r>
          </w:p>
        </w:tc>
      </w:tr>
      <w:tr w:rsidR="004830BF" w:rsidRPr="00414345" w:rsidTr="004830B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4,093,716.15</w:t>
            </w:r>
          </w:p>
        </w:tc>
      </w:tr>
      <w:tr w:rsidR="004830BF" w:rsidRPr="00414345" w:rsidTr="004830B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0.1135</w:t>
            </w:r>
          </w:p>
        </w:tc>
      </w:tr>
      <w:tr w:rsidR="004830BF" w:rsidRPr="00414345" w:rsidTr="004830B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36,574,694.93</w:t>
            </w:r>
          </w:p>
        </w:tc>
      </w:tr>
      <w:tr w:rsidR="004830BF" w:rsidRPr="00414345" w:rsidTr="004830B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0.983</w:t>
            </w:r>
          </w:p>
        </w:tc>
      </w:tr>
    </w:tbl>
    <w:p w:rsidR="00211D0F" w:rsidRDefault="004830B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11D0F">
        <w:trPr>
          <w:jc w:val="center"/>
        </w:trPr>
        <w:tc>
          <w:tcPr>
            <w:tcW w:w="1701" w:type="dxa"/>
            <w:vAlign w:val="center"/>
          </w:tcPr>
          <w:p w:rsidR="00211D0F" w:rsidRDefault="004830BF">
            <w:pPr>
              <w:jc w:val="left"/>
            </w:pPr>
            <w:r>
              <w:rPr>
                <w:color w:val="000000"/>
                <w:sz w:val="24"/>
                <w:szCs w:val="24"/>
              </w:rPr>
              <w:t>过去三个月</w:t>
            </w:r>
          </w:p>
        </w:tc>
        <w:tc>
          <w:tcPr>
            <w:tcW w:w="1045" w:type="dxa"/>
            <w:vAlign w:val="center"/>
          </w:tcPr>
          <w:p w:rsidR="00211D0F" w:rsidRDefault="004830BF">
            <w:pPr>
              <w:jc w:val="center"/>
            </w:pPr>
            <w:r>
              <w:rPr>
                <w:color w:val="000000"/>
                <w:sz w:val="24"/>
                <w:szCs w:val="24"/>
              </w:rPr>
              <w:t>14.30%</w:t>
            </w:r>
          </w:p>
        </w:tc>
        <w:tc>
          <w:tcPr>
            <w:tcW w:w="1344" w:type="dxa"/>
            <w:vAlign w:val="center"/>
          </w:tcPr>
          <w:p w:rsidR="00211D0F" w:rsidRDefault="004830BF">
            <w:pPr>
              <w:jc w:val="center"/>
            </w:pPr>
            <w:r>
              <w:rPr>
                <w:color w:val="000000"/>
                <w:sz w:val="24"/>
                <w:szCs w:val="24"/>
              </w:rPr>
              <w:t>1.51%</w:t>
            </w:r>
          </w:p>
        </w:tc>
        <w:tc>
          <w:tcPr>
            <w:tcW w:w="1194" w:type="dxa"/>
            <w:vAlign w:val="center"/>
          </w:tcPr>
          <w:p w:rsidR="00211D0F" w:rsidRDefault="004830BF">
            <w:pPr>
              <w:jc w:val="center"/>
            </w:pPr>
            <w:r>
              <w:rPr>
                <w:color w:val="000000"/>
                <w:sz w:val="24"/>
                <w:szCs w:val="24"/>
              </w:rPr>
              <w:t>13.14%</w:t>
            </w:r>
          </w:p>
        </w:tc>
        <w:tc>
          <w:tcPr>
            <w:tcW w:w="1492" w:type="dxa"/>
            <w:vAlign w:val="center"/>
          </w:tcPr>
          <w:p w:rsidR="00211D0F" w:rsidRDefault="004830BF">
            <w:pPr>
              <w:jc w:val="center"/>
            </w:pPr>
            <w:r>
              <w:rPr>
                <w:color w:val="000000"/>
                <w:sz w:val="24"/>
                <w:szCs w:val="24"/>
              </w:rPr>
              <w:t>1.38%</w:t>
            </w:r>
          </w:p>
        </w:tc>
        <w:tc>
          <w:tcPr>
            <w:tcW w:w="1194" w:type="dxa"/>
            <w:vAlign w:val="center"/>
          </w:tcPr>
          <w:p w:rsidR="00211D0F" w:rsidRDefault="004830BF">
            <w:pPr>
              <w:jc w:val="center"/>
            </w:pPr>
            <w:r>
              <w:rPr>
                <w:color w:val="000000"/>
                <w:sz w:val="24"/>
                <w:szCs w:val="24"/>
              </w:rPr>
              <w:t>1.16%</w:t>
            </w:r>
          </w:p>
        </w:tc>
        <w:tc>
          <w:tcPr>
            <w:tcW w:w="898" w:type="dxa"/>
            <w:vAlign w:val="center"/>
          </w:tcPr>
          <w:p w:rsidR="00211D0F" w:rsidRDefault="004830BF">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00D31F31">
        <w:rPr>
          <w:color w:val="000000"/>
          <w:sz w:val="24"/>
          <w:szCs w:val="24"/>
        </w:rPr>
        <w:t>3.2.2</w:t>
      </w:r>
      <w:r w:rsidR="00D31F31">
        <w:rPr>
          <w:rFonts w:ascii="宋体" w:hAnsi="宋体" w:hint="eastAsia"/>
          <w:color w:val="000000"/>
          <w:sz w:val="24"/>
          <w:szCs w:val="24"/>
        </w:rPr>
        <w:t>同。</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日，基金转型日至报告期期末，本基金转型时间未满一年。本基金的投资转型期为交银施罗德沪深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11D0F">
        <w:trPr>
          <w:jc w:val="center"/>
        </w:trPr>
        <w:tc>
          <w:tcPr>
            <w:tcW w:w="846" w:type="dxa"/>
            <w:vAlign w:val="center"/>
          </w:tcPr>
          <w:p w:rsidR="00211D0F" w:rsidRDefault="004830BF">
            <w:pPr>
              <w:jc w:val="center"/>
            </w:pPr>
            <w:r>
              <w:rPr>
                <w:color w:val="000000"/>
                <w:sz w:val="24"/>
                <w:szCs w:val="24"/>
              </w:rPr>
              <w:t>盖婷婷</w:t>
            </w:r>
          </w:p>
        </w:tc>
        <w:tc>
          <w:tcPr>
            <w:tcW w:w="845" w:type="dxa"/>
            <w:vAlign w:val="center"/>
          </w:tcPr>
          <w:p w:rsidR="00211D0F" w:rsidRDefault="004830BF">
            <w:pPr>
              <w:jc w:val="center"/>
            </w:pPr>
            <w:r>
              <w:rPr>
                <w:color w:val="000000"/>
                <w:sz w:val="24"/>
                <w:szCs w:val="24"/>
              </w:rPr>
              <w:t>交银消费新驱动股票的基金经理</w:t>
            </w:r>
          </w:p>
        </w:tc>
        <w:tc>
          <w:tcPr>
            <w:tcW w:w="1549" w:type="dxa"/>
            <w:vAlign w:val="center"/>
          </w:tcPr>
          <w:p w:rsidR="00211D0F" w:rsidRDefault="004830BF">
            <w:pPr>
              <w:jc w:val="center"/>
            </w:pPr>
            <w:r>
              <w:rPr>
                <w:color w:val="000000"/>
                <w:sz w:val="24"/>
                <w:szCs w:val="24"/>
              </w:rPr>
              <w:t>2015-07-01</w:t>
            </w:r>
          </w:p>
        </w:tc>
        <w:tc>
          <w:tcPr>
            <w:tcW w:w="1548" w:type="dxa"/>
            <w:vAlign w:val="center"/>
          </w:tcPr>
          <w:p w:rsidR="00211D0F" w:rsidRDefault="004830BF">
            <w:pPr>
              <w:jc w:val="center"/>
            </w:pPr>
            <w:r>
              <w:rPr>
                <w:color w:val="000000"/>
                <w:sz w:val="24"/>
                <w:szCs w:val="24"/>
              </w:rPr>
              <w:t>-</w:t>
            </w:r>
          </w:p>
        </w:tc>
        <w:tc>
          <w:tcPr>
            <w:tcW w:w="1407" w:type="dxa"/>
            <w:vAlign w:val="center"/>
          </w:tcPr>
          <w:p w:rsidR="00211D0F" w:rsidRDefault="004830BF">
            <w:pPr>
              <w:jc w:val="center"/>
            </w:pPr>
            <w:r>
              <w:rPr>
                <w:color w:val="000000"/>
                <w:sz w:val="24"/>
                <w:szCs w:val="24"/>
              </w:rPr>
              <w:t>9</w:t>
            </w:r>
            <w:r>
              <w:rPr>
                <w:color w:val="000000"/>
                <w:sz w:val="24"/>
                <w:szCs w:val="24"/>
              </w:rPr>
              <w:t>年</w:t>
            </w:r>
          </w:p>
        </w:tc>
        <w:tc>
          <w:tcPr>
            <w:tcW w:w="2673" w:type="dxa"/>
            <w:vAlign w:val="center"/>
          </w:tcPr>
          <w:p w:rsidR="00211D0F" w:rsidRDefault="004830BF">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11D0F" w:rsidRDefault="004830B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11D0F" w:rsidRDefault="004830B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11D0F" w:rsidRDefault="004830B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11D0F" w:rsidRDefault="004830BF">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年四季度，在以</w:t>
      </w:r>
      <w:r>
        <w:rPr>
          <w:color w:val="000000"/>
          <w:sz w:val="24"/>
          <w:szCs w:val="24"/>
        </w:rPr>
        <w:t>TMT</w:t>
      </w:r>
      <w:r>
        <w:rPr>
          <w:color w:val="000000"/>
          <w:sz w:val="24"/>
          <w:szCs w:val="24"/>
        </w:rPr>
        <w:t>板块以及文教娱卫板块为代表的现代服务行业的带动下，创业板和中小板指数取得较明显的涨幅。结构分化仍然延续，主题性投资机会，比如精准医疗、虚拟现实、无人驾驶和云计算大数据等仍然吸引大量人气，而传统产业因为经济疲软表现较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资金预计仍然会维持比较宽松的状态，创业板由于今年涨幅巨大面临一定的回调压力，随着政府将工作重心转到经济增长上，房地产、汽车等行业有望迎来政策支持，本基金的配置将更加均衡化，关注传统产业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830BF" w:rsidP="00C15CAC">
      <w:pPr>
        <w:spacing w:before="29" w:line="288" w:lineRule="auto"/>
        <w:ind w:firstLineChars="200" w:firstLine="480"/>
        <w:rPr>
          <w:color w:val="000000"/>
          <w:sz w:val="24"/>
          <w:szCs w:val="24"/>
        </w:rPr>
      </w:pPr>
      <w:r w:rsidRPr="004830BF">
        <w:rPr>
          <w:rFonts w:hint="eastAsia"/>
          <w:color w:val="000000"/>
          <w:sz w:val="24"/>
          <w:szCs w:val="24"/>
        </w:rPr>
        <w:t>截至</w:t>
      </w:r>
      <w:r w:rsidRPr="004830BF">
        <w:rPr>
          <w:rFonts w:hint="eastAsia"/>
          <w:color w:val="000000"/>
          <w:sz w:val="24"/>
          <w:szCs w:val="24"/>
        </w:rPr>
        <w:t>2015</w:t>
      </w:r>
      <w:r w:rsidRPr="004830BF">
        <w:rPr>
          <w:rFonts w:hint="eastAsia"/>
          <w:color w:val="000000"/>
          <w:sz w:val="24"/>
          <w:szCs w:val="24"/>
        </w:rPr>
        <w:t>年</w:t>
      </w:r>
      <w:r w:rsidRPr="004830BF">
        <w:rPr>
          <w:rFonts w:hint="eastAsia"/>
          <w:color w:val="000000"/>
          <w:sz w:val="24"/>
          <w:szCs w:val="24"/>
        </w:rPr>
        <w:t>12</w:t>
      </w:r>
      <w:r w:rsidRPr="004830BF">
        <w:rPr>
          <w:rFonts w:hint="eastAsia"/>
          <w:color w:val="000000"/>
          <w:sz w:val="24"/>
          <w:szCs w:val="24"/>
        </w:rPr>
        <w:t>月</w:t>
      </w:r>
      <w:r w:rsidRPr="004830BF">
        <w:rPr>
          <w:rFonts w:hint="eastAsia"/>
          <w:color w:val="000000"/>
          <w:sz w:val="24"/>
          <w:szCs w:val="24"/>
        </w:rPr>
        <w:t>31</w:t>
      </w:r>
      <w:r w:rsidRPr="004830BF">
        <w:rPr>
          <w:rFonts w:hint="eastAsia"/>
          <w:color w:val="000000"/>
          <w:sz w:val="24"/>
          <w:szCs w:val="24"/>
        </w:rPr>
        <w:t>日，本基金份额净值为</w:t>
      </w:r>
      <w:r w:rsidRPr="004830BF">
        <w:rPr>
          <w:rFonts w:hint="eastAsia"/>
          <w:color w:val="000000"/>
          <w:sz w:val="24"/>
          <w:szCs w:val="24"/>
        </w:rPr>
        <w:t>0.983</w:t>
      </w:r>
      <w:r w:rsidRPr="004830BF">
        <w:rPr>
          <w:rFonts w:hint="eastAsia"/>
          <w:color w:val="000000"/>
          <w:sz w:val="24"/>
          <w:szCs w:val="24"/>
        </w:rPr>
        <w:t>元，本报告期份额净值增长率为</w:t>
      </w:r>
      <w:r w:rsidRPr="004830BF">
        <w:rPr>
          <w:rFonts w:hint="eastAsia"/>
          <w:color w:val="000000"/>
          <w:sz w:val="24"/>
          <w:szCs w:val="24"/>
        </w:rPr>
        <w:t>14.30%</w:t>
      </w:r>
      <w:r w:rsidRPr="004830BF">
        <w:rPr>
          <w:rFonts w:hint="eastAsia"/>
          <w:color w:val="000000"/>
          <w:sz w:val="24"/>
          <w:szCs w:val="24"/>
        </w:rPr>
        <w:t>，同期业绩比较基准增长率为</w:t>
      </w:r>
      <w:r w:rsidRPr="004830BF">
        <w:rPr>
          <w:rFonts w:hint="eastAsia"/>
          <w:color w:val="000000"/>
          <w:sz w:val="24"/>
          <w:szCs w:val="24"/>
        </w:rPr>
        <w:t>13.14%</w:t>
      </w:r>
      <w:r w:rsidRPr="004830BF">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943D64">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7205FD" w:rsidRDefault="007205FD"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30,744,342.13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30,744,342.13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7,000,182.91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1,091,182.65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38,835,707.69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1,647,672.00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16,420,290.96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1,123,485.00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15,659.54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1,046,630.00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2,386,554.00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3,327,730.00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2,196,232.00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667,296.63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1,912,792.00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30,744,342.13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11D0F">
        <w:trPr>
          <w:jc w:val="center"/>
        </w:trPr>
        <w:tc>
          <w:tcPr>
            <w:tcW w:w="855" w:type="dxa"/>
            <w:vAlign w:val="center"/>
          </w:tcPr>
          <w:p w:rsidR="00211D0F" w:rsidRDefault="004830BF">
            <w:pPr>
              <w:jc w:val="center"/>
            </w:pPr>
            <w:r>
              <w:rPr>
                <w:color w:val="000000"/>
                <w:sz w:val="24"/>
                <w:szCs w:val="24"/>
              </w:rPr>
              <w:t>1</w:t>
            </w:r>
          </w:p>
        </w:tc>
        <w:tc>
          <w:tcPr>
            <w:tcW w:w="1334" w:type="dxa"/>
            <w:vAlign w:val="center"/>
          </w:tcPr>
          <w:p w:rsidR="00211D0F" w:rsidRDefault="004830BF">
            <w:pPr>
              <w:jc w:val="center"/>
            </w:pPr>
            <w:r>
              <w:rPr>
                <w:color w:val="000000"/>
                <w:sz w:val="24"/>
                <w:szCs w:val="24"/>
              </w:rPr>
              <w:t>002390</w:t>
            </w:r>
          </w:p>
        </w:tc>
        <w:tc>
          <w:tcPr>
            <w:tcW w:w="1777" w:type="dxa"/>
            <w:vAlign w:val="center"/>
          </w:tcPr>
          <w:p w:rsidR="00211D0F" w:rsidRDefault="004830BF">
            <w:pPr>
              <w:jc w:val="center"/>
            </w:pPr>
            <w:r>
              <w:rPr>
                <w:color w:val="000000"/>
                <w:sz w:val="24"/>
                <w:szCs w:val="24"/>
              </w:rPr>
              <w:t>信邦制药</w:t>
            </w:r>
          </w:p>
        </w:tc>
        <w:tc>
          <w:tcPr>
            <w:tcW w:w="1334" w:type="dxa"/>
            <w:vAlign w:val="center"/>
          </w:tcPr>
          <w:p w:rsidR="00211D0F" w:rsidRDefault="004830BF">
            <w:pPr>
              <w:jc w:val="right"/>
            </w:pPr>
            <w:r>
              <w:rPr>
                <w:color w:val="000000"/>
                <w:sz w:val="24"/>
                <w:szCs w:val="24"/>
              </w:rPr>
              <w:t>110,200</w:t>
            </w:r>
          </w:p>
        </w:tc>
        <w:tc>
          <w:tcPr>
            <w:tcW w:w="1924" w:type="dxa"/>
            <w:vAlign w:val="center"/>
          </w:tcPr>
          <w:p w:rsidR="00211D0F" w:rsidRDefault="004830BF">
            <w:pPr>
              <w:jc w:val="right"/>
            </w:pPr>
            <w:r>
              <w:rPr>
                <w:color w:val="000000"/>
                <w:sz w:val="24"/>
                <w:szCs w:val="24"/>
              </w:rPr>
              <w:t>1,581,370.00</w:t>
            </w:r>
          </w:p>
        </w:tc>
        <w:tc>
          <w:tcPr>
            <w:tcW w:w="1644" w:type="dxa"/>
            <w:vAlign w:val="center"/>
          </w:tcPr>
          <w:p w:rsidR="00211D0F" w:rsidRDefault="004830BF">
            <w:pPr>
              <w:jc w:val="right"/>
            </w:pPr>
            <w:r>
              <w:rPr>
                <w:color w:val="000000"/>
                <w:sz w:val="24"/>
                <w:szCs w:val="24"/>
              </w:rPr>
              <w:t>4.32</w:t>
            </w:r>
          </w:p>
        </w:tc>
      </w:tr>
      <w:tr w:rsidR="00211D0F">
        <w:trPr>
          <w:jc w:val="center"/>
        </w:trPr>
        <w:tc>
          <w:tcPr>
            <w:tcW w:w="855" w:type="dxa"/>
            <w:vAlign w:val="center"/>
          </w:tcPr>
          <w:p w:rsidR="00211D0F" w:rsidRDefault="004830BF">
            <w:pPr>
              <w:jc w:val="center"/>
            </w:pPr>
            <w:r>
              <w:rPr>
                <w:color w:val="000000"/>
                <w:sz w:val="24"/>
                <w:szCs w:val="24"/>
              </w:rPr>
              <w:t>2</w:t>
            </w:r>
          </w:p>
        </w:tc>
        <w:tc>
          <w:tcPr>
            <w:tcW w:w="1334" w:type="dxa"/>
            <w:vAlign w:val="center"/>
          </w:tcPr>
          <w:p w:rsidR="00211D0F" w:rsidRDefault="004830BF">
            <w:pPr>
              <w:jc w:val="center"/>
            </w:pPr>
            <w:r>
              <w:rPr>
                <w:color w:val="000000"/>
                <w:sz w:val="24"/>
                <w:szCs w:val="24"/>
              </w:rPr>
              <w:t>300161</w:t>
            </w:r>
          </w:p>
        </w:tc>
        <w:tc>
          <w:tcPr>
            <w:tcW w:w="1777" w:type="dxa"/>
            <w:vAlign w:val="center"/>
          </w:tcPr>
          <w:p w:rsidR="00211D0F" w:rsidRDefault="004830BF">
            <w:pPr>
              <w:jc w:val="center"/>
            </w:pPr>
            <w:r>
              <w:rPr>
                <w:color w:val="000000"/>
                <w:sz w:val="24"/>
                <w:szCs w:val="24"/>
              </w:rPr>
              <w:t>华中数控</w:t>
            </w:r>
          </w:p>
        </w:tc>
        <w:tc>
          <w:tcPr>
            <w:tcW w:w="1334" w:type="dxa"/>
            <w:vAlign w:val="center"/>
          </w:tcPr>
          <w:p w:rsidR="00211D0F" w:rsidRDefault="004830BF">
            <w:pPr>
              <w:jc w:val="right"/>
            </w:pPr>
            <w:r>
              <w:rPr>
                <w:color w:val="000000"/>
                <w:sz w:val="24"/>
                <w:szCs w:val="24"/>
              </w:rPr>
              <w:t>38,500</w:t>
            </w:r>
          </w:p>
        </w:tc>
        <w:tc>
          <w:tcPr>
            <w:tcW w:w="1924" w:type="dxa"/>
            <w:vAlign w:val="center"/>
          </w:tcPr>
          <w:p w:rsidR="00211D0F" w:rsidRDefault="004830BF">
            <w:pPr>
              <w:jc w:val="right"/>
            </w:pPr>
            <w:r>
              <w:rPr>
                <w:color w:val="000000"/>
                <w:sz w:val="24"/>
                <w:szCs w:val="24"/>
              </w:rPr>
              <w:t>1,413,720.00</w:t>
            </w:r>
          </w:p>
        </w:tc>
        <w:tc>
          <w:tcPr>
            <w:tcW w:w="1644" w:type="dxa"/>
            <w:vAlign w:val="center"/>
          </w:tcPr>
          <w:p w:rsidR="00211D0F" w:rsidRDefault="004830BF">
            <w:pPr>
              <w:jc w:val="right"/>
            </w:pPr>
            <w:r>
              <w:rPr>
                <w:color w:val="000000"/>
                <w:sz w:val="24"/>
                <w:szCs w:val="24"/>
              </w:rPr>
              <w:t>3.87</w:t>
            </w:r>
          </w:p>
        </w:tc>
      </w:tr>
      <w:tr w:rsidR="00211D0F">
        <w:trPr>
          <w:jc w:val="center"/>
        </w:trPr>
        <w:tc>
          <w:tcPr>
            <w:tcW w:w="855" w:type="dxa"/>
            <w:vAlign w:val="center"/>
          </w:tcPr>
          <w:p w:rsidR="00211D0F" w:rsidRDefault="004830BF">
            <w:pPr>
              <w:jc w:val="center"/>
            </w:pPr>
            <w:r>
              <w:rPr>
                <w:color w:val="000000"/>
                <w:sz w:val="24"/>
                <w:szCs w:val="24"/>
              </w:rPr>
              <w:t>3</w:t>
            </w:r>
          </w:p>
        </w:tc>
        <w:tc>
          <w:tcPr>
            <w:tcW w:w="1334" w:type="dxa"/>
            <w:vAlign w:val="center"/>
          </w:tcPr>
          <w:p w:rsidR="00211D0F" w:rsidRDefault="004830BF">
            <w:pPr>
              <w:jc w:val="center"/>
            </w:pPr>
            <w:r>
              <w:rPr>
                <w:color w:val="000000"/>
                <w:sz w:val="24"/>
                <w:szCs w:val="24"/>
              </w:rPr>
              <w:t>000625</w:t>
            </w:r>
          </w:p>
        </w:tc>
        <w:tc>
          <w:tcPr>
            <w:tcW w:w="1777" w:type="dxa"/>
            <w:vAlign w:val="center"/>
          </w:tcPr>
          <w:p w:rsidR="00211D0F" w:rsidRDefault="004830BF">
            <w:pPr>
              <w:jc w:val="center"/>
            </w:pPr>
            <w:r>
              <w:rPr>
                <w:color w:val="000000"/>
                <w:sz w:val="24"/>
                <w:szCs w:val="24"/>
              </w:rPr>
              <w:t>长安汽车</w:t>
            </w:r>
          </w:p>
        </w:tc>
        <w:tc>
          <w:tcPr>
            <w:tcW w:w="1334" w:type="dxa"/>
            <w:vAlign w:val="center"/>
          </w:tcPr>
          <w:p w:rsidR="00211D0F" w:rsidRDefault="004830BF">
            <w:pPr>
              <w:jc w:val="right"/>
            </w:pPr>
            <w:r>
              <w:rPr>
                <w:color w:val="000000"/>
                <w:sz w:val="24"/>
                <w:szCs w:val="24"/>
              </w:rPr>
              <w:t>78,200</w:t>
            </w:r>
          </w:p>
        </w:tc>
        <w:tc>
          <w:tcPr>
            <w:tcW w:w="1924" w:type="dxa"/>
            <w:vAlign w:val="center"/>
          </w:tcPr>
          <w:p w:rsidR="00211D0F" w:rsidRDefault="004830BF">
            <w:pPr>
              <w:jc w:val="right"/>
            </w:pPr>
            <w:r>
              <w:rPr>
                <w:color w:val="000000"/>
                <w:sz w:val="24"/>
                <w:szCs w:val="24"/>
              </w:rPr>
              <w:t>1,327,054.00</w:t>
            </w:r>
          </w:p>
        </w:tc>
        <w:tc>
          <w:tcPr>
            <w:tcW w:w="1644" w:type="dxa"/>
            <w:vAlign w:val="center"/>
          </w:tcPr>
          <w:p w:rsidR="00211D0F" w:rsidRDefault="004830BF">
            <w:pPr>
              <w:jc w:val="right"/>
            </w:pPr>
            <w:r>
              <w:rPr>
                <w:color w:val="000000"/>
                <w:sz w:val="24"/>
                <w:szCs w:val="24"/>
              </w:rPr>
              <w:t>3.63</w:t>
            </w:r>
          </w:p>
        </w:tc>
      </w:tr>
      <w:tr w:rsidR="00211D0F">
        <w:trPr>
          <w:jc w:val="center"/>
        </w:trPr>
        <w:tc>
          <w:tcPr>
            <w:tcW w:w="855" w:type="dxa"/>
            <w:vAlign w:val="center"/>
          </w:tcPr>
          <w:p w:rsidR="00211D0F" w:rsidRDefault="004830BF">
            <w:pPr>
              <w:jc w:val="center"/>
            </w:pPr>
            <w:r>
              <w:rPr>
                <w:color w:val="000000"/>
                <w:sz w:val="24"/>
                <w:szCs w:val="24"/>
              </w:rPr>
              <w:t>4</w:t>
            </w:r>
          </w:p>
        </w:tc>
        <w:tc>
          <w:tcPr>
            <w:tcW w:w="1334" w:type="dxa"/>
            <w:vAlign w:val="center"/>
          </w:tcPr>
          <w:p w:rsidR="00211D0F" w:rsidRDefault="004830BF">
            <w:pPr>
              <w:jc w:val="center"/>
            </w:pPr>
            <w:r>
              <w:rPr>
                <w:color w:val="000000"/>
                <w:sz w:val="24"/>
                <w:szCs w:val="24"/>
              </w:rPr>
              <w:t>600048</w:t>
            </w:r>
          </w:p>
        </w:tc>
        <w:tc>
          <w:tcPr>
            <w:tcW w:w="1777" w:type="dxa"/>
            <w:vAlign w:val="center"/>
          </w:tcPr>
          <w:p w:rsidR="00211D0F" w:rsidRDefault="004830BF">
            <w:pPr>
              <w:jc w:val="center"/>
            </w:pPr>
            <w:r>
              <w:rPr>
                <w:color w:val="000000"/>
                <w:sz w:val="24"/>
                <w:szCs w:val="24"/>
              </w:rPr>
              <w:t>保利地产</w:t>
            </w:r>
          </w:p>
        </w:tc>
        <w:tc>
          <w:tcPr>
            <w:tcW w:w="1334" w:type="dxa"/>
            <w:vAlign w:val="center"/>
          </w:tcPr>
          <w:p w:rsidR="00211D0F" w:rsidRDefault="004830BF">
            <w:pPr>
              <w:jc w:val="right"/>
            </w:pPr>
            <w:r>
              <w:rPr>
                <w:color w:val="000000"/>
                <w:sz w:val="24"/>
                <w:szCs w:val="24"/>
              </w:rPr>
              <w:t>121,800</w:t>
            </w:r>
          </w:p>
        </w:tc>
        <w:tc>
          <w:tcPr>
            <w:tcW w:w="1924" w:type="dxa"/>
            <w:vAlign w:val="center"/>
          </w:tcPr>
          <w:p w:rsidR="00211D0F" w:rsidRDefault="004830BF">
            <w:pPr>
              <w:jc w:val="right"/>
            </w:pPr>
            <w:r>
              <w:rPr>
                <w:color w:val="000000"/>
                <w:sz w:val="24"/>
                <w:szCs w:val="24"/>
              </w:rPr>
              <w:t>1,295,952.00</w:t>
            </w:r>
          </w:p>
        </w:tc>
        <w:tc>
          <w:tcPr>
            <w:tcW w:w="1644" w:type="dxa"/>
            <w:vAlign w:val="center"/>
          </w:tcPr>
          <w:p w:rsidR="00211D0F" w:rsidRDefault="004830BF">
            <w:pPr>
              <w:jc w:val="right"/>
            </w:pPr>
            <w:r>
              <w:rPr>
                <w:color w:val="000000"/>
                <w:sz w:val="24"/>
                <w:szCs w:val="24"/>
              </w:rPr>
              <w:t>3.54</w:t>
            </w:r>
          </w:p>
        </w:tc>
      </w:tr>
      <w:tr w:rsidR="00211D0F">
        <w:trPr>
          <w:jc w:val="center"/>
        </w:trPr>
        <w:tc>
          <w:tcPr>
            <w:tcW w:w="855" w:type="dxa"/>
            <w:vAlign w:val="center"/>
          </w:tcPr>
          <w:p w:rsidR="00211D0F" w:rsidRDefault="004830BF">
            <w:pPr>
              <w:jc w:val="center"/>
            </w:pPr>
            <w:r>
              <w:rPr>
                <w:color w:val="000000"/>
                <w:sz w:val="24"/>
                <w:szCs w:val="24"/>
              </w:rPr>
              <w:t>5</w:t>
            </w:r>
          </w:p>
        </w:tc>
        <w:tc>
          <w:tcPr>
            <w:tcW w:w="1334" w:type="dxa"/>
            <w:vAlign w:val="center"/>
          </w:tcPr>
          <w:p w:rsidR="00211D0F" w:rsidRDefault="004830BF">
            <w:pPr>
              <w:jc w:val="center"/>
            </w:pPr>
            <w:r>
              <w:rPr>
                <w:color w:val="000000"/>
                <w:sz w:val="24"/>
                <w:szCs w:val="24"/>
              </w:rPr>
              <w:t>600054</w:t>
            </w:r>
          </w:p>
        </w:tc>
        <w:tc>
          <w:tcPr>
            <w:tcW w:w="1777" w:type="dxa"/>
            <w:vAlign w:val="center"/>
          </w:tcPr>
          <w:p w:rsidR="00211D0F" w:rsidRDefault="004830BF">
            <w:pPr>
              <w:jc w:val="center"/>
            </w:pPr>
            <w:r>
              <w:rPr>
                <w:color w:val="000000"/>
                <w:sz w:val="24"/>
                <w:szCs w:val="24"/>
              </w:rPr>
              <w:t>黄山旅游</w:t>
            </w:r>
          </w:p>
        </w:tc>
        <w:tc>
          <w:tcPr>
            <w:tcW w:w="1334" w:type="dxa"/>
            <w:vAlign w:val="center"/>
          </w:tcPr>
          <w:p w:rsidR="00211D0F" w:rsidRDefault="004830BF">
            <w:pPr>
              <w:jc w:val="right"/>
            </w:pPr>
            <w:r>
              <w:rPr>
                <w:color w:val="000000"/>
                <w:sz w:val="24"/>
                <w:szCs w:val="24"/>
              </w:rPr>
              <w:t>53,800</w:t>
            </w:r>
          </w:p>
        </w:tc>
        <w:tc>
          <w:tcPr>
            <w:tcW w:w="1924" w:type="dxa"/>
            <w:vAlign w:val="center"/>
          </w:tcPr>
          <w:p w:rsidR="00211D0F" w:rsidRDefault="004830BF">
            <w:pPr>
              <w:jc w:val="right"/>
            </w:pPr>
            <w:r>
              <w:rPr>
                <w:color w:val="000000"/>
                <w:sz w:val="24"/>
                <w:szCs w:val="24"/>
              </w:rPr>
              <w:t>1,270,218.00</w:t>
            </w:r>
          </w:p>
        </w:tc>
        <w:tc>
          <w:tcPr>
            <w:tcW w:w="1644" w:type="dxa"/>
            <w:vAlign w:val="center"/>
          </w:tcPr>
          <w:p w:rsidR="00211D0F" w:rsidRDefault="004830BF">
            <w:pPr>
              <w:jc w:val="right"/>
            </w:pPr>
            <w:r>
              <w:rPr>
                <w:color w:val="000000"/>
                <w:sz w:val="24"/>
                <w:szCs w:val="24"/>
              </w:rPr>
              <w:t>3.47</w:t>
            </w:r>
          </w:p>
        </w:tc>
      </w:tr>
      <w:tr w:rsidR="00211D0F">
        <w:trPr>
          <w:jc w:val="center"/>
        </w:trPr>
        <w:tc>
          <w:tcPr>
            <w:tcW w:w="855" w:type="dxa"/>
            <w:vAlign w:val="center"/>
          </w:tcPr>
          <w:p w:rsidR="00211D0F" w:rsidRDefault="004830BF">
            <w:pPr>
              <w:jc w:val="center"/>
            </w:pPr>
            <w:r>
              <w:rPr>
                <w:color w:val="000000"/>
                <w:sz w:val="24"/>
                <w:szCs w:val="24"/>
              </w:rPr>
              <w:t>6</w:t>
            </w:r>
          </w:p>
        </w:tc>
        <w:tc>
          <w:tcPr>
            <w:tcW w:w="1334" w:type="dxa"/>
            <w:vAlign w:val="center"/>
          </w:tcPr>
          <w:p w:rsidR="00211D0F" w:rsidRDefault="004830BF">
            <w:pPr>
              <w:jc w:val="center"/>
            </w:pPr>
            <w:r>
              <w:rPr>
                <w:color w:val="000000"/>
                <w:sz w:val="24"/>
                <w:szCs w:val="24"/>
              </w:rPr>
              <w:t>000333</w:t>
            </w:r>
          </w:p>
        </w:tc>
        <w:tc>
          <w:tcPr>
            <w:tcW w:w="1777" w:type="dxa"/>
            <w:vAlign w:val="center"/>
          </w:tcPr>
          <w:p w:rsidR="00211D0F" w:rsidRDefault="004830BF">
            <w:pPr>
              <w:jc w:val="center"/>
            </w:pPr>
            <w:r>
              <w:rPr>
                <w:color w:val="000000"/>
                <w:sz w:val="24"/>
                <w:szCs w:val="24"/>
              </w:rPr>
              <w:t>美的集团</w:t>
            </w:r>
          </w:p>
        </w:tc>
        <w:tc>
          <w:tcPr>
            <w:tcW w:w="1334" w:type="dxa"/>
            <w:vAlign w:val="center"/>
          </w:tcPr>
          <w:p w:rsidR="00211D0F" w:rsidRDefault="004830BF">
            <w:pPr>
              <w:jc w:val="right"/>
            </w:pPr>
            <w:r>
              <w:rPr>
                <w:color w:val="000000"/>
                <w:sz w:val="24"/>
                <w:szCs w:val="24"/>
              </w:rPr>
              <w:t>36,800</w:t>
            </w:r>
          </w:p>
        </w:tc>
        <w:tc>
          <w:tcPr>
            <w:tcW w:w="1924" w:type="dxa"/>
            <w:vAlign w:val="center"/>
          </w:tcPr>
          <w:p w:rsidR="00211D0F" w:rsidRDefault="004830BF">
            <w:pPr>
              <w:jc w:val="right"/>
            </w:pPr>
            <w:r>
              <w:rPr>
                <w:color w:val="000000"/>
                <w:sz w:val="24"/>
                <w:szCs w:val="24"/>
              </w:rPr>
              <w:t>1,207,776.00</w:t>
            </w:r>
          </w:p>
        </w:tc>
        <w:tc>
          <w:tcPr>
            <w:tcW w:w="1644" w:type="dxa"/>
            <w:vAlign w:val="center"/>
          </w:tcPr>
          <w:p w:rsidR="00211D0F" w:rsidRDefault="004830BF">
            <w:pPr>
              <w:jc w:val="right"/>
            </w:pPr>
            <w:r>
              <w:rPr>
                <w:color w:val="000000"/>
                <w:sz w:val="24"/>
                <w:szCs w:val="24"/>
              </w:rPr>
              <w:t>3.30</w:t>
            </w:r>
          </w:p>
        </w:tc>
      </w:tr>
      <w:tr w:rsidR="00211D0F">
        <w:trPr>
          <w:jc w:val="center"/>
        </w:trPr>
        <w:tc>
          <w:tcPr>
            <w:tcW w:w="855" w:type="dxa"/>
            <w:vAlign w:val="center"/>
          </w:tcPr>
          <w:p w:rsidR="00211D0F" w:rsidRDefault="004830BF">
            <w:pPr>
              <w:jc w:val="center"/>
            </w:pPr>
            <w:r>
              <w:rPr>
                <w:color w:val="000000"/>
                <w:sz w:val="24"/>
                <w:szCs w:val="24"/>
              </w:rPr>
              <w:t>7</w:t>
            </w:r>
          </w:p>
        </w:tc>
        <w:tc>
          <w:tcPr>
            <w:tcW w:w="1334" w:type="dxa"/>
            <w:vAlign w:val="center"/>
          </w:tcPr>
          <w:p w:rsidR="00211D0F" w:rsidRDefault="004830BF">
            <w:pPr>
              <w:jc w:val="center"/>
            </w:pPr>
            <w:r>
              <w:rPr>
                <w:color w:val="000000"/>
                <w:sz w:val="24"/>
                <w:szCs w:val="24"/>
              </w:rPr>
              <w:t>000802</w:t>
            </w:r>
          </w:p>
        </w:tc>
        <w:tc>
          <w:tcPr>
            <w:tcW w:w="1777" w:type="dxa"/>
            <w:vAlign w:val="center"/>
          </w:tcPr>
          <w:p w:rsidR="00211D0F" w:rsidRDefault="004830BF">
            <w:pPr>
              <w:jc w:val="center"/>
            </w:pPr>
            <w:r>
              <w:rPr>
                <w:color w:val="000000"/>
                <w:sz w:val="24"/>
                <w:szCs w:val="24"/>
              </w:rPr>
              <w:t>北京文化</w:t>
            </w:r>
          </w:p>
        </w:tc>
        <w:tc>
          <w:tcPr>
            <w:tcW w:w="1334" w:type="dxa"/>
            <w:vAlign w:val="center"/>
          </w:tcPr>
          <w:p w:rsidR="00211D0F" w:rsidRDefault="004830BF">
            <w:pPr>
              <w:jc w:val="right"/>
            </w:pPr>
            <w:r>
              <w:rPr>
                <w:color w:val="000000"/>
                <w:sz w:val="24"/>
                <w:szCs w:val="24"/>
              </w:rPr>
              <w:t>34,300</w:t>
            </w:r>
          </w:p>
        </w:tc>
        <w:tc>
          <w:tcPr>
            <w:tcW w:w="1924" w:type="dxa"/>
            <w:vAlign w:val="center"/>
          </w:tcPr>
          <w:p w:rsidR="00211D0F" w:rsidRDefault="004830BF">
            <w:pPr>
              <w:jc w:val="right"/>
            </w:pPr>
            <w:r>
              <w:rPr>
                <w:color w:val="000000"/>
                <w:sz w:val="24"/>
                <w:szCs w:val="24"/>
              </w:rPr>
              <w:t>1,162,084.00</w:t>
            </w:r>
          </w:p>
        </w:tc>
        <w:tc>
          <w:tcPr>
            <w:tcW w:w="1644" w:type="dxa"/>
            <w:vAlign w:val="center"/>
          </w:tcPr>
          <w:p w:rsidR="00211D0F" w:rsidRDefault="004830BF">
            <w:pPr>
              <w:jc w:val="right"/>
            </w:pPr>
            <w:r>
              <w:rPr>
                <w:color w:val="000000"/>
                <w:sz w:val="24"/>
                <w:szCs w:val="24"/>
              </w:rPr>
              <w:t>3.18</w:t>
            </w:r>
          </w:p>
        </w:tc>
      </w:tr>
      <w:tr w:rsidR="00211D0F">
        <w:trPr>
          <w:jc w:val="center"/>
        </w:trPr>
        <w:tc>
          <w:tcPr>
            <w:tcW w:w="855" w:type="dxa"/>
            <w:vAlign w:val="center"/>
          </w:tcPr>
          <w:p w:rsidR="00211D0F" w:rsidRDefault="004830BF">
            <w:pPr>
              <w:jc w:val="center"/>
            </w:pPr>
            <w:r>
              <w:rPr>
                <w:color w:val="000000"/>
                <w:sz w:val="24"/>
                <w:szCs w:val="24"/>
              </w:rPr>
              <w:t>8</w:t>
            </w:r>
          </w:p>
        </w:tc>
        <w:tc>
          <w:tcPr>
            <w:tcW w:w="1334" w:type="dxa"/>
            <w:vAlign w:val="center"/>
          </w:tcPr>
          <w:p w:rsidR="00211D0F" w:rsidRDefault="004830BF">
            <w:pPr>
              <w:jc w:val="center"/>
            </w:pPr>
            <w:r>
              <w:rPr>
                <w:color w:val="000000"/>
                <w:sz w:val="24"/>
                <w:szCs w:val="24"/>
              </w:rPr>
              <w:t>300262</w:t>
            </w:r>
          </w:p>
        </w:tc>
        <w:tc>
          <w:tcPr>
            <w:tcW w:w="1777" w:type="dxa"/>
            <w:vAlign w:val="center"/>
          </w:tcPr>
          <w:p w:rsidR="00211D0F" w:rsidRDefault="004830BF">
            <w:pPr>
              <w:jc w:val="center"/>
            </w:pPr>
            <w:r>
              <w:rPr>
                <w:color w:val="000000"/>
                <w:sz w:val="24"/>
                <w:szCs w:val="24"/>
              </w:rPr>
              <w:t>巴安水务</w:t>
            </w:r>
          </w:p>
        </w:tc>
        <w:tc>
          <w:tcPr>
            <w:tcW w:w="1334" w:type="dxa"/>
            <w:vAlign w:val="center"/>
          </w:tcPr>
          <w:p w:rsidR="00211D0F" w:rsidRDefault="004830BF">
            <w:pPr>
              <w:jc w:val="right"/>
            </w:pPr>
            <w:r>
              <w:rPr>
                <w:color w:val="000000"/>
                <w:sz w:val="24"/>
                <w:szCs w:val="24"/>
              </w:rPr>
              <w:t>60,500</w:t>
            </w:r>
          </w:p>
        </w:tc>
        <w:tc>
          <w:tcPr>
            <w:tcW w:w="1924" w:type="dxa"/>
            <w:vAlign w:val="center"/>
          </w:tcPr>
          <w:p w:rsidR="00211D0F" w:rsidRDefault="004830BF">
            <w:pPr>
              <w:jc w:val="right"/>
            </w:pPr>
            <w:r>
              <w:rPr>
                <w:color w:val="000000"/>
                <w:sz w:val="24"/>
                <w:szCs w:val="24"/>
              </w:rPr>
              <w:t>1,123,485.00</w:t>
            </w:r>
          </w:p>
        </w:tc>
        <w:tc>
          <w:tcPr>
            <w:tcW w:w="1644" w:type="dxa"/>
            <w:vAlign w:val="center"/>
          </w:tcPr>
          <w:p w:rsidR="00211D0F" w:rsidRDefault="004830BF">
            <w:pPr>
              <w:jc w:val="right"/>
            </w:pPr>
            <w:r>
              <w:rPr>
                <w:color w:val="000000"/>
                <w:sz w:val="24"/>
                <w:szCs w:val="24"/>
              </w:rPr>
              <w:t>3.07</w:t>
            </w:r>
          </w:p>
        </w:tc>
      </w:tr>
      <w:tr w:rsidR="00211D0F">
        <w:trPr>
          <w:jc w:val="center"/>
        </w:trPr>
        <w:tc>
          <w:tcPr>
            <w:tcW w:w="855" w:type="dxa"/>
            <w:vAlign w:val="center"/>
          </w:tcPr>
          <w:p w:rsidR="00211D0F" w:rsidRDefault="004830BF">
            <w:pPr>
              <w:jc w:val="center"/>
            </w:pPr>
            <w:r>
              <w:rPr>
                <w:color w:val="000000"/>
                <w:sz w:val="24"/>
                <w:szCs w:val="24"/>
              </w:rPr>
              <w:t>9</w:t>
            </w:r>
          </w:p>
        </w:tc>
        <w:tc>
          <w:tcPr>
            <w:tcW w:w="1334" w:type="dxa"/>
            <w:vAlign w:val="center"/>
          </w:tcPr>
          <w:p w:rsidR="00211D0F" w:rsidRDefault="004830BF">
            <w:pPr>
              <w:jc w:val="center"/>
            </w:pPr>
            <w:r>
              <w:rPr>
                <w:color w:val="000000"/>
                <w:sz w:val="24"/>
                <w:szCs w:val="24"/>
              </w:rPr>
              <w:t>000538</w:t>
            </w:r>
          </w:p>
        </w:tc>
        <w:tc>
          <w:tcPr>
            <w:tcW w:w="1777" w:type="dxa"/>
            <w:vAlign w:val="center"/>
          </w:tcPr>
          <w:p w:rsidR="00211D0F" w:rsidRDefault="004830BF">
            <w:pPr>
              <w:jc w:val="center"/>
            </w:pPr>
            <w:r>
              <w:rPr>
                <w:color w:val="000000"/>
                <w:sz w:val="24"/>
                <w:szCs w:val="24"/>
              </w:rPr>
              <w:t>云南白药</w:t>
            </w:r>
          </w:p>
        </w:tc>
        <w:tc>
          <w:tcPr>
            <w:tcW w:w="1334" w:type="dxa"/>
            <w:vAlign w:val="center"/>
          </w:tcPr>
          <w:p w:rsidR="00211D0F" w:rsidRDefault="004830BF">
            <w:pPr>
              <w:jc w:val="right"/>
            </w:pPr>
            <w:r>
              <w:rPr>
                <w:color w:val="000000"/>
                <w:sz w:val="24"/>
                <w:szCs w:val="24"/>
              </w:rPr>
              <w:t>15,200</w:t>
            </w:r>
          </w:p>
        </w:tc>
        <w:tc>
          <w:tcPr>
            <w:tcW w:w="1924" w:type="dxa"/>
            <w:vAlign w:val="center"/>
          </w:tcPr>
          <w:p w:rsidR="00211D0F" w:rsidRDefault="004830BF">
            <w:pPr>
              <w:jc w:val="right"/>
            </w:pPr>
            <w:r>
              <w:rPr>
                <w:color w:val="000000"/>
                <w:sz w:val="24"/>
                <w:szCs w:val="24"/>
              </w:rPr>
              <w:t>1,103,824.00</w:t>
            </w:r>
          </w:p>
        </w:tc>
        <w:tc>
          <w:tcPr>
            <w:tcW w:w="1644" w:type="dxa"/>
            <w:vAlign w:val="center"/>
          </w:tcPr>
          <w:p w:rsidR="00211D0F" w:rsidRDefault="004830BF">
            <w:pPr>
              <w:jc w:val="right"/>
            </w:pPr>
            <w:r>
              <w:rPr>
                <w:color w:val="000000"/>
                <w:sz w:val="24"/>
                <w:szCs w:val="24"/>
              </w:rPr>
              <w:t>3.02</w:t>
            </w:r>
          </w:p>
        </w:tc>
      </w:tr>
      <w:tr w:rsidR="00211D0F">
        <w:trPr>
          <w:jc w:val="center"/>
        </w:trPr>
        <w:tc>
          <w:tcPr>
            <w:tcW w:w="855" w:type="dxa"/>
            <w:vAlign w:val="center"/>
          </w:tcPr>
          <w:p w:rsidR="00211D0F" w:rsidRDefault="004830BF">
            <w:pPr>
              <w:jc w:val="center"/>
            </w:pPr>
            <w:r>
              <w:rPr>
                <w:color w:val="000000"/>
                <w:sz w:val="24"/>
                <w:szCs w:val="24"/>
              </w:rPr>
              <w:t>10</w:t>
            </w:r>
          </w:p>
        </w:tc>
        <w:tc>
          <w:tcPr>
            <w:tcW w:w="1334" w:type="dxa"/>
            <w:vAlign w:val="center"/>
          </w:tcPr>
          <w:p w:rsidR="00211D0F" w:rsidRDefault="004830BF">
            <w:pPr>
              <w:jc w:val="center"/>
            </w:pPr>
            <w:r>
              <w:rPr>
                <w:color w:val="000000"/>
                <w:sz w:val="24"/>
                <w:szCs w:val="24"/>
              </w:rPr>
              <w:t>002456</w:t>
            </w:r>
          </w:p>
        </w:tc>
        <w:tc>
          <w:tcPr>
            <w:tcW w:w="1777" w:type="dxa"/>
            <w:vAlign w:val="center"/>
          </w:tcPr>
          <w:p w:rsidR="00211D0F" w:rsidRDefault="004830BF">
            <w:pPr>
              <w:jc w:val="center"/>
            </w:pPr>
            <w:r>
              <w:rPr>
                <w:color w:val="000000"/>
                <w:sz w:val="24"/>
                <w:szCs w:val="24"/>
              </w:rPr>
              <w:t>欧菲光</w:t>
            </w:r>
          </w:p>
        </w:tc>
        <w:tc>
          <w:tcPr>
            <w:tcW w:w="1334" w:type="dxa"/>
            <w:vAlign w:val="center"/>
          </w:tcPr>
          <w:p w:rsidR="00211D0F" w:rsidRDefault="004830BF">
            <w:pPr>
              <w:jc w:val="right"/>
            </w:pPr>
            <w:r>
              <w:rPr>
                <w:color w:val="000000"/>
                <w:sz w:val="24"/>
                <w:szCs w:val="24"/>
              </w:rPr>
              <w:t>35,400</w:t>
            </w:r>
          </w:p>
        </w:tc>
        <w:tc>
          <w:tcPr>
            <w:tcW w:w="1924" w:type="dxa"/>
            <w:vAlign w:val="center"/>
          </w:tcPr>
          <w:p w:rsidR="00211D0F" w:rsidRDefault="004830BF">
            <w:pPr>
              <w:jc w:val="right"/>
            </w:pPr>
            <w:r>
              <w:rPr>
                <w:color w:val="000000"/>
                <w:sz w:val="24"/>
                <w:szCs w:val="24"/>
              </w:rPr>
              <w:t>1,098,108.00</w:t>
            </w:r>
          </w:p>
        </w:tc>
        <w:tc>
          <w:tcPr>
            <w:tcW w:w="1644" w:type="dxa"/>
            <w:vAlign w:val="center"/>
          </w:tcPr>
          <w:p w:rsidR="00211D0F" w:rsidRDefault="004830BF">
            <w:pPr>
              <w:jc w:val="right"/>
            </w:pPr>
            <w:r>
              <w:rPr>
                <w:color w:val="000000"/>
                <w:sz w:val="24"/>
                <w:szCs w:val="24"/>
              </w:rPr>
              <w:t>3.00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39,892.09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984,231.13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1,627.84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65,431.59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1,091,182.65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28,656,954.30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23,890,214.07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15,330,921.62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37,216,246.75</w:t>
            </w:r>
          </w:p>
        </w:tc>
      </w:tr>
    </w:tbl>
    <w:p w:rsidR="00211D0F" w:rsidRDefault="004830B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31.95</w:t>
            </w:r>
          </w:p>
        </w:tc>
      </w:tr>
    </w:tbl>
    <w:p w:rsidR="00211D0F" w:rsidRDefault="004830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CA51F7"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鉴于交银施罗德消费新驱动股票型证券投资基金的业绩比较基准的指数停止计算编制，本基金管理人根据基金合同的相关约定，经与基金托管人协商一致，并报中国证监会备案，决定自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日起将交银施罗德消费新驱动股票型证券投资基金的业绩比较基准由原</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11D0F" w:rsidRDefault="004830B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211D0F" w:rsidRDefault="004830B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211D0F" w:rsidRDefault="004830B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211D0F" w:rsidRDefault="004830B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211D0F" w:rsidRDefault="004830B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211D0F" w:rsidRDefault="004830B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211D0F" w:rsidRDefault="004830B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211D0F" w:rsidRDefault="004830BF">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211D0F" w:rsidRDefault="004830BF">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211D0F" w:rsidRDefault="004830BF">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211D0F" w:rsidRDefault="004830BF">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11D0F" w:rsidRDefault="004830B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205F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205F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1D0F"/>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30BF"/>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5FD"/>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3D64"/>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1F7"/>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1F31"/>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6CFA4F8-3177-487B-80E8-0D719960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39A-0559-4CB3-AE19-1F5CB1C4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565</cp:revision>
  <dcterms:created xsi:type="dcterms:W3CDTF">2012-10-16T06:07:00Z</dcterms:created>
  <dcterms:modified xsi:type="dcterms:W3CDTF">2016-01-18T06:26:00Z</dcterms:modified>
</cp:coreProperties>
</file>