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2015</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2015</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二〇一六年一月二十一日</w:t>
      </w:r>
    </w:p>
    <w:p w:rsidR="00902E3F" w:rsidRPr="000E4C40" w:rsidRDefault="00902E3F" w:rsidP="00F41AA6">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5D191F" w:rsidRDefault="00CE628B">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D191F" w:rsidRDefault="00CE628B">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D191F" w:rsidRDefault="00CE628B">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D191F" w:rsidRDefault="00CE628B">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D191F" w:rsidRDefault="00CE628B">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2015</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102,031,532.55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19,873,199.04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82,158,333.51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(2015</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-2015</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128,036.13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909,190.37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128,036.13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909,190.37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19,873,199.04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82,158,333.51</w:t>
            </w:r>
          </w:p>
        </w:tc>
      </w:tr>
    </w:tbl>
    <w:p w:rsidR="005D191F" w:rsidRDefault="00CE628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5D191F">
        <w:trPr>
          <w:jc w:val="center"/>
        </w:trPr>
        <w:tc>
          <w:tcPr>
            <w:tcW w:w="1266" w:type="dxa"/>
            <w:vAlign w:val="center"/>
          </w:tcPr>
          <w:p w:rsidR="005D191F" w:rsidRDefault="00CE628B">
            <w:pPr>
              <w:jc w:val="left"/>
            </w:pPr>
            <w:r>
              <w:rPr>
                <w:color w:val="000000"/>
              </w:rPr>
              <w:t>过去三个月</w:t>
            </w:r>
          </w:p>
        </w:tc>
        <w:tc>
          <w:tcPr>
            <w:tcW w:w="1267" w:type="dxa"/>
            <w:vAlign w:val="center"/>
          </w:tcPr>
          <w:p w:rsidR="005D191F" w:rsidRDefault="00CE628B">
            <w:pPr>
              <w:jc w:val="center"/>
            </w:pPr>
            <w:r>
              <w:rPr>
                <w:color w:val="000000"/>
              </w:rPr>
              <w:t>0.6038%</w:t>
            </w:r>
          </w:p>
        </w:tc>
        <w:tc>
          <w:tcPr>
            <w:tcW w:w="1267" w:type="dxa"/>
            <w:vAlign w:val="center"/>
          </w:tcPr>
          <w:p w:rsidR="005D191F" w:rsidRDefault="00CE628B">
            <w:pPr>
              <w:jc w:val="center"/>
            </w:pPr>
            <w:r>
              <w:rPr>
                <w:color w:val="000000"/>
              </w:rPr>
              <w:t>0.0079%</w:t>
            </w:r>
          </w:p>
        </w:tc>
        <w:tc>
          <w:tcPr>
            <w:tcW w:w="1267" w:type="dxa"/>
            <w:vAlign w:val="center"/>
          </w:tcPr>
          <w:p w:rsidR="005D191F" w:rsidRDefault="00CE628B">
            <w:pPr>
              <w:jc w:val="center"/>
            </w:pPr>
            <w:r>
              <w:rPr>
                <w:color w:val="000000"/>
              </w:rPr>
              <w:t>0.3403%</w:t>
            </w:r>
          </w:p>
        </w:tc>
        <w:tc>
          <w:tcPr>
            <w:tcW w:w="1267" w:type="dxa"/>
            <w:vAlign w:val="center"/>
          </w:tcPr>
          <w:p w:rsidR="005D191F" w:rsidRDefault="00CE628B">
            <w:pPr>
              <w:jc w:val="center"/>
            </w:pPr>
            <w:r>
              <w:rPr>
                <w:color w:val="000000"/>
              </w:rPr>
              <w:t>0.0000%</w:t>
            </w:r>
          </w:p>
        </w:tc>
        <w:tc>
          <w:tcPr>
            <w:tcW w:w="1267" w:type="dxa"/>
            <w:vAlign w:val="center"/>
          </w:tcPr>
          <w:p w:rsidR="005D191F" w:rsidRDefault="00CE628B">
            <w:pPr>
              <w:jc w:val="center"/>
            </w:pPr>
            <w:r>
              <w:rPr>
                <w:color w:val="000000"/>
              </w:rPr>
              <w:t>0.2635%</w:t>
            </w:r>
          </w:p>
        </w:tc>
        <w:tc>
          <w:tcPr>
            <w:tcW w:w="1267" w:type="dxa"/>
            <w:vAlign w:val="center"/>
          </w:tcPr>
          <w:p w:rsidR="005D191F" w:rsidRDefault="00CE628B">
            <w:pPr>
              <w:jc w:val="center"/>
            </w:pPr>
            <w:r>
              <w:rPr>
                <w:color w:val="000000"/>
              </w:rPr>
              <w:t>0.0079%</w:t>
            </w:r>
          </w:p>
        </w:tc>
      </w:tr>
    </w:tbl>
    <w:p w:rsidR="005D191F" w:rsidRDefault="00CE628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5D191F">
        <w:trPr>
          <w:jc w:val="center"/>
        </w:trPr>
        <w:tc>
          <w:tcPr>
            <w:tcW w:w="1266" w:type="dxa"/>
            <w:vAlign w:val="center"/>
          </w:tcPr>
          <w:p w:rsidR="005D191F" w:rsidRDefault="00CE628B">
            <w:pPr>
              <w:jc w:val="left"/>
            </w:pPr>
            <w:r>
              <w:rPr>
                <w:color w:val="000000"/>
              </w:rPr>
              <w:t>过去三个月</w:t>
            </w:r>
          </w:p>
        </w:tc>
        <w:tc>
          <w:tcPr>
            <w:tcW w:w="1267" w:type="dxa"/>
            <w:vAlign w:val="center"/>
          </w:tcPr>
          <w:p w:rsidR="005D191F" w:rsidRDefault="00CE628B">
            <w:pPr>
              <w:jc w:val="center"/>
            </w:pPr>
            <w:r>
              <w:rPr>
                <w:color w:val="000000"/>
              </w:rPr>
              <w:t>0.6774%</w:t>
            </w:r>
          </w:p>
        </w:tc>
        <w:tc>
          <w:tcPr>
            <w:tcW w:w="1267" w:type="dxa"/>
            <w:vAlign w:val="center"/>
          </w:tcPr>
          <w:p w:rsidR="005D191F" w:rsidRDefault="00CE628B">
            <w:pPr>
              <w:jc w:val="center"/>
            </w:pPr>
            <w:r>
              <w:rPr>
                <w:color w:val="000000"/>
              </w:rPr>
              <w:t>0.0079%</w:t>
            </w:r>
          </w:p>
        </w:tc>
        <w:tc>
          <w:tcPr>
            <w:tcW w:w="1267" w:type="dxa"/>
            <w:vAlign w:val="center"/>
          </w:tcPr>
          <w:p w:rsidR="005D191F" w:rsidRDefault="00CE628B">
            <w:pPr>
              <w:jc w:val="center"/>
            </w:pPr>
            <w:r>
              <w:rPr>
                <w:color w:val="000000"/>
              </w:rPr>
              <w:t>0.3403%</w:t>
            </w:r>
          </w:p>
        </w:tc>
        <w:tc>
          <w:tcPr>
            <w:tcW w:w="1267" w:type="dxa"/>
            <w:vAlign w:val="center"/>
          </w:tcPr>
          <w:p w:rsidR="005D191F" w:rsidRDefault="00CE628B">
            <w:pPr>
              <w:jc w:val="center"/>
            </w:pPr>
            <w:r>
              <w:rPr>
                <w:color w:val="000000"/>
              </w:rPr>
              <w:t>0.0000%</w:t>
            </w:r>
          </w:p>
        </w:tc>
        <w:tc>
          <w:tcPr>
            <w:tcW w:w="1267" w:type="dxa"/>
            <w:vAlign w:val="center"/>
          </w:tcPr>
          <w:p w:rsidR="005D191F" w:rsidRDefault="00CE628B">
            <w:pPr>
              <w:jc w:val="center"/>
            </w:pPr>
            <w:r>
              <w:rPr>
                <w:color w:val="000000"/>
              </w:rPr>
              <w:t>0.3371%</w:t>
            </w:r>
          </w:p>
        </w:tc>
        <w:tc>
          <w:tcPr>
            <w:tcW w:w="1267" w:type="dxa"/>
            <w:vAlign w:val="center"/>
          </w:tcPr>
          <w:p w:rsidR="005D191F" w:rsidRDefault="00CE628B">
            <w:pPr>
              <w:jc w:val="center"/>
            </w:pPr>
            <w:r>
              <w:rPr>
                <w:color w:val="000000"/>
              </w:rPr>
              <w:t>0.0079%</w:t>
            </w:r>
          </w:p>
        </w:tc>
      </w:tr>
    </w:tbl>
    <w:p w:rsidR="005D191F" w:rsidRDefault="00CE628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2015</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2015</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5D191F">
        <w:trPr>
          <w:jc w:val="center"/>
        </w:trPr>
        <w:tc>
          <w:tcPr>
            <w:tcW w:w="945" w:type="dxa"/>
            <w:vAlign w:val="center"/>
          </w:tcPr>
          <w:p w:rsidR="005D191F" w:rsidRDefault="00CE628B">
            <w:pPr>
              <w:jc w:val="center"/>
            </w:pPr>
            <w:r>
              <w:rPr>
                <w:color w:val="000000"/>
                <w:sz w:val="24"/>
              </w:rPr>
              <w:t>黄莹洁</w:t>
            </w:r>
          </w:p>
        </w:tc>
        <w:tc>
          <w:tcPr>
            <w:tcW w:w="1589" w:type="dxa"/>
            <w:vAlign w:val="center"/>
          </w:tcPr>
          <w:p w:rsidR="005D191F" w:rsidRDefault="00CE628B">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478" w:type="dxa"/>
            <w:vAlign w:val="center"/>
          </w:tcPr>
          <w:p w:rsidR="005D191F" w:rsidRDefault="00CE628B">
            <w:pPr>
              <w:jc w:val="center"/>
            </w:pPr>
            <w:r>
              <w:rPr>
                <w:color w:val="000000"/>
                <w:sz w:val="24"/>
              </w:rPr>
              <w:t>2015-05-27</w:t>
            </w:r>
          </w:p>
        </w:tc>
        <w:tc>
          <w:tcPr>
            <w:tcW w:w="1478" w:type="dxa"/>
            <w:vAlign w:val="center"/>
          </w:tcPr>
          <w:p w:rsidR="005D191F" w:rsidRDefault="00CE628B">
            <w:pPr>
              <w:jc w:val="center"/>
            </w:pPr>
            <w:r>
              <w:rPr>
                <w:color w:val="000000"/>
                <w:sz w:val="24"/>
              </w:rPr>
              <w:t>-</w:t>
            </w:r>
          </w:p>
        </w:tc>
        <w:tc>
          <w:tcPr>
            <w:tcW w:w="986" w:type="dxa"/>
            <w:vAlign w:val="center"/>
          </w:tcPr>
          <w:p w:rsidR="005D191F" w:rsidRDefault="00CE628B">
            <w:pPr>
              <w:jc w:val="center"/>
            </w:pPr>
            <w:r>
              <w:rPr>
                <w:color w:val="000000"/>
                <w:sz w:val="24"/>
              </w:rPr>
              <w:t>7</w:t>
            </w:r>
            <w:r>
              <w:rPr>
                <w:color w:val="000000"/>
                <w:sz w:val="24"/>
              </w:rPr>
              <w:t>年</w:t>
            </w:r>
          </w:p>
        </w:tc>
        <w:tc>
          <w:tcPr>
            <w:tcW w:w="2392" w:type="dxa"/>
            <w:vAlign w:val="center"/>
          </w:tcPr>
          <w:p w:rsidR="005D191F" w:rsidRDefault="00CE628B">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5D191F" w:rsidRDefault="00CE628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D191F" w:rsidRDefault="00CE628B">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D191F" w:rsidRDefault="00CE628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5D191F" w:rsidRDefault="00CE628B">
      <w:pPr>
        <w:spacing w:before="29" w:line="288" w:lineRule="auto"/>
        <w:ind w:firstLineChars="200" w:firstLine="480"/>
        <w:rPr>
          <w:color w:val="000000"/>
          <w:sz w:val="24"/>
        </w:rPr>
      </w:pPr>
      <w:r>
        <w:rPr>
          <w:color w:val="000000"/>
          <w:sz w:val="24"/>
        </w:rPr>
        <w:t>本报告期内，经济增长低迷，央行继续维持宽松的货币政策。货币市场利率维持低位，小幅波动，年末因素也并未对总体流动性造成太大的影响。受</w:t>
      </w:r>
      <w:r>
        <w:rPr>
          <w:color w:val="000000"/>
          <w:sz w:val="24"/>
        </w:rPr>
        <w:t>IPO</w:t>
      </w:r>
      <w:r>
        <w:rPr>
          <w:color w:val="000000"/>
          <w:sz w:val="24"/>
        </w:rPr>
        <w:t>重启的影响，债券收益率在</w:t>
      </w:r>
      <w:r>
        <w:rPr>
          <w:color w:val="000000"/>
          <w:sz w:val="24"/>
        </w:rPr>
        <w:t>10</w:t>
      </w:r>
      <w:r>
        <w:rPr>
          <w:color w:val="000000"/>
          <w:sz w:val="24"/>
        </w:rPr>
        <w:t>月底、</w:t>
      </w:r>
      <w:r>
        <w:rPr>
          <w:color w:val="000000"/>
          <w:sz w:val="24"/>
        </w:rPr>
        <w:t>11</w:t>
      </w:r>
      <w:r>
        <w:rPr>
          <w:color w:val="000000"/>
          <w:sz w:val="24"/>
        </w:rPr>
        <w:t>月初有一波明显的上行，后在经济数据疲弱、降准预期升温、机构对</w:t>
      </w:r>
      <w:r>
        <w:rPr>
          <w:color w:val="000000"/>
          <w:sz w:val="24"/>
        </w:rPr>
        <w:t>2016</w:t>
      </w:r>
      <w:r>
        <w:rPr>
          <w:color w:val="000000"/>
          <w:sz w:val="24"/>
        </w:rPr>
        <w:t>年一季度普遍乐观使配置需求提前释放等因素的影响下，收益率又快速下行到历史低位。</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w:t>
      </w:r>
      <w:r>
        <w:rPr>
          <w:color w:val="000000"/>
          <w:sz w:val="24"/>
        </w:rPr>
        <w:t>10</w:t>
      </w:r>
      <w:r>
        <w:rPr>
          <w:color w:val="000000"/>
          <w:sz w:val="24"/>
        </w:rPr>
        <w:t>年期国债收益较上季度末大幅下行</w:t>
      </w:r>
      <w:r>
        <w:rPr>
          <w:color w:val="000000"/>
          <w:sz w:val="24"/>
        </w:rPr>
        <w:t>42bp</w:t>
      </w:r>
      <w:r>
        <w:rPr>
          <w:color w:val="000000"/>
          <w:sz w:val="24"/>
        </w:rPr>
        <w:t>到</w:t>
      </w:r>
      <w:r>
        <w:rPr>
          <w:color w:val="000000"/>
          <w:sz w:val="24"/>
        </w:rPr>
        <w:t>2.82%</w:t>
      </w:r>
      <w:r>
        <w:rPr>
          <w:color w:val="000000"/>
          <w:sz w:val="24"/>
        </w:rPr>
        <w:t>水平。</w:t>
      </w:r>
    </w:p>
    <w:p w:rsidR="005D191F" w:rsidRDefault="00CE628B">
      <w:pPr>
        <w:spacing w:before="29" w:line="288" w:lineRule="auto"/>
        <w:ind w:firstLineChars="200" w:firstLine="480"/>
        <w:rPr>
          <w:color w:val="000000"/>
          <w:sz w:val="24"/>
        </w:rPr>
      </w:pPr>
      <w:r>
        <w:rPr>
          <w:color w:val="000000"/>
          <w:sz w:val="24"/>
        </w:rPr>
        <w:t>基金操作方面，本基金主要投资于流动性较好的同业存款和短期债券，通过合理有效的久期管理，保障了组合充足的流动性，组合总体运行平稳。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2016</w:t>
      </w:r>
      <w:r w:rsidRPr="000E4C40">
        <w:rPr>
          <w:color w:val="000000"/>
          <w:sz w:val="24"/>
        </w:rPr>
        <w:t>年，预计经济基本面依旧疲弱，通胀仍将维持低位，货币宽松也将延续，降息降准周期尚未结束，债券收益率预计仍是下行趋势，但考虑到整体收益率已经处于历史低位，预计债市波动性大的特征会贯穿始终。此外随着去产能提速，部分企业或将面临破产或兼并重组，相关信用风险值得警惕。组合管理方面，本基金将注意跟踪流动性变化趋势并有针对性地作出资金安排，保障流动性充裕和资金安全。同时密切关注经济走势和政策变化，审时度势选择合适的投资品种，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0.6038%</w:t>
      </w:r>
      <w:r w:rsidRPr="000E4C40">
        <w:rPr>
          <w:color w:val="000000"/>
          <w:sz w:val="24"/>
        </w:rPr>
        <w:t>，同期业绩比较基准收益率为</w:t>
      </w:r>
      <w:r w:rsidRPr="000E4C40">
        <w:rPr>
          <w:color w:val="000000"/>
          <w:sz w:val="24"/>
        </w:rPr>
        <w:t>0.3403%</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0.6774%</w:t>
      </w:r>
      <w:r w:rsidRPr="000E4C40">
        <w:rPr>
          <w:color w:val="000000"/>
          <w:sz w:val="24"/>
        </w:rPr>
        <w:t>，同期业绩比较基准收益率为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50,016,722.17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48.94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50,016,722.17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48.94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9,500,134.25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9.30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42,033,061.38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41.13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648,585.04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102,198,502.84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13.66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106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本基金投资组合的平均剩余期限在每个交易日均不得超过</w:t>
      </w:r>
      <w:r w:rsidRPr="000E4C40">
        <w:rPr>
          <w:color w:val="000000"/>
          <w:sz w:val="24"/>
        </w:rPr>
        <w:t xml:space="preserve">141 </w:t>
      </w:r>
      <w:r w:rsidRPr="000E4C40">
        <w:rPr>
          <w:color w:val="000000"/>
          <w:sz w:val="24"/>
        </w:rPr>
        <w:t>天</w:t>
      </w:r>
      <w:r w:rsidRPr="000E4C40">
        <w:rPr>
          <w:color w:val="000000"/>
          <w:sz w:val="24"/>
        </w:rPr>
        <w:t>”</w:t>
      </w:r>
      <w:r w:rsidRPr="000E4C40">
        <w:rPr>
          <w:color w:val="000000"/>
          <w:sz w:val="24"/>
        </w:rPr>
        <w:t>。</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50.51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19.62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29.40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99.53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10,018,378.03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9.82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10,018,378.03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9.82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39,998,344.14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39.20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50,016,722.17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49.02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25"/>
        <w:gridCol w:w="1296"/>
        <w:gridCol w:w="2165"/>
        <w:gridCol w:w="996"/>
        <w:gridCol w:w="2079"/>
        <w:gridCol w:w="1407"/>
      </w:tblGrid>
      <w:tr w:rsidR="0044671E" w:rsidRPr="000E4C40" w:rsidTr="00CE628B">
        <w:trPr>
          <w:jc w:val="center"/>
        </w:trPr>
        <w:tc>
          <w:tcPr>
            <w:tcW w:w="97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9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229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70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13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459"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D191F" w:rsidTr="00CE628B">
        <w:trPr>
          <w:jc w:val="center"/>
        </w:trPr>
        <w:tc>
          <w:tcPr>
            <w:tcW w:w="0" w:type="auto"/>
            <w:vAlign w:val="center"/>
          </w:tcPr>
          <w:p w:rsidR="005D191F" w:rsidRDefault="00CE628B">
            <w:pPr>
              <w:jc w:val="center"/>
            </w:pPr>
            <w:r>
              <w:rPr>
                <w:color w:val="000000"/>
                <w:sz w:val="24"/>
              </w:rPr>
              <w:t>1</w:t>
            </w:r>
          </w:p>
        </w:tc>
        <w:tc>
          <w:tcPr>
            <w:tcW w:w="0" w:type="auto"/>
            <w:vAlign w:val="center"/>
          </w:tcPr>
          <w:p w:rsidR="005D191F" w:rsidRDefault="00CE628B">
            <w:pPr>
              <w:jc w:val="center"/>
            </w:pPr>
            <w:r>
              <w:rPr>
                <w:color w:val="000000"/>
                <w:sz w:val="24"/>
              </w:rPr>
              <w:t>150411</w:t>
            </w:r>
          </w:p>
        </w:tc>
        <w:tc>
          <w:tcPr>
            <w:tcW w:w="2297" w:type="dxa"/>
            <w:vAlign w:val="center"/>
          </w:tcPr>
          <w:p w:rsidR="005D191F" w:rsidRDefault="00CE628B">
            <w:pPr>
              <w:jc w:val="center"/>
            </w:pPr>
            <w:r>
              <w:rPr>
                <w:color w:val="000000"/>
                <w:sz w:val="24"/>
              </w:rPr>
              <w:t>15</w:t>
            </w:r>
            <w:r>
              <w:rPr>
                <w:color w:val="000000"/>
                <w:sz w:val="24"/>
              </w:rPr>
              <w:t>农发</w:t>
            </w:r>
            <w:r>
              <w:rPr>
                <w:color w:val="000000"/>
                <w:sz w:val="24"/>
              </w:rPr>
              <w:t>11</w:t>
            </w:r>
          </w:p>
        </w:tc>
        <w:tc>
          <w:tcPr>
            <w:tcW w:w="706" w:type="dxa"/>
            <w:vAlign w:val="center"/>
          </w:tcPr>
          <w:p w:rsidR="005D191F" w:rsidRDefault="00CE628B">
            <w:pPr>
              <w:jc w:val="right"/>
            </w:pPr>
            <w:r>
              <w:rPr>
                <w:color w:val="000000"/>
                <w:sz w:val="24"/>
              </w:rPr>
              <w:t>100,000</w:t>
            </w:r>
          </w:p>
        </w:tc>
        <w:tc>
          <w:tcPr>
            <w:tcW w:w="0" w:type="auto"/>
            <w:vAlign w:val="center"/>
          </w:tcPr>
          <w:p w:rsidR="005D191F" w:rsidRDefault="00CE628B">
            <w:pPr>
              <w:jc w:val="right"/>
            </w:pPr>
            <w:r>
              <w:rPr>
                <w:color w:val="000000"/>
                <w:sz w:val="24"/>
              </w:rPr>
              <w:t>10,018,378.03</w:t>
            </w:r>
          </w:p>
        </w:tc>
        <w:tc>
          <w:tcPr>
            <w:tcW w:w="0" w:type="auto"/>
            <w:vAlign w:val="center"/>
          </w:tcPr>
          <w:p w:rsidR="005D191F" w:rsidRDefault="00CE628B">
            <w:pPr>
              <w:jc w:val="right"/>
            </w:pPr>
            <w:r>
              <w:rPr>
                <w:color w:val="000000"/>
                <w:sz w:val="24"/>
              </w:rPr>
              <w:t>9.82</w:t>
            </w:r>
          </w:p>
        </w:tc>
      </w:tr>
      <w:tr w:rsidR="005D191F" w:rsidTr="00CE628B">
        <w:trPr>
          <w:jc w:val="center"/>
        </w:trPr>
        <w:tc>
          <w:tcPr>
            <w:tcW w:w="0" w:type="auto"/>
            <w:vAlign w:val="center"/>
          </w:tcPr>
          <w:p w:rsidR="005D191F" w:rsidRDefault="00CE628B">
            <w:pPr>
              <w:jc w:val="center"/>
            </w:pPr>
            <w:r>
              <w:rPr>
                <w:color w:val="000000"/>
                <w:sz w:val="24"/>
              </w:rPr>
              <w:t>2</w:t>
            </w:r>
          </w:p>
        </w:tc>
        <w:tc>
          <w:tcPr>
            <w:tcW w:w="0" w:type="auto"/>
            <w:vAlign w:val="center"/>
          </w:tcPr>
          <w:p w:rsidR="005D191F" w:rsidRDefault="00CE628B">
            <w:pPr>
              <w:jc w:val="center"/>
            </w:pPr>
            <w:r>
              <w:rPr>
                <w:color w:val="000000"/>
                <w:sz w:val="24"/>
              </w:rPr>
              <w:t>041559051</w:t>
            </w:r>
          </w:p>
        </w:tc>
        <w:tc>
          <w:tcPr>
            <w:tcW w:w="2297" w:type="dxa"/>
            <w:vAlign w:val="center"/>
          </w:tcPr>
          <w:p w:rsidR="005D191F" w:rsidRDefault="00CE628B">
            <w:pPr>
              <w:jc w:val="center"/>
            </w:pPr>
            <w:r>
              <w:rPr>
                <w:color w:val="000000"/>
                <w:sz w:val="24"/>
              </w:rPr>
              <w:t>15</w:t>
            </w:r>
            <w:r>
              <w:rPr>
                <w:color w:val="000000"/>
                <w:sz w:val="24"/>
              </w:rPr>
              <w:t>福州城投</w:t>
            </w:r>
            <w:r>
              <w:rPr>
                <w:color w:val="000000"/>
                <w:sz w:val="24"/>
              </w:rPr>
              <w:t>CP001</w:t>
            </w:r>
          </w:p>
        </w:tc>
        <w:tc>
          <w:tcPr>
            <w:tcW w:w="706" w:type="dxa"/>
            <w:vAlign w:val="center"/>
          </w:tcPr>
          <w:p w:rsidR="005D191F" w:rsidRDefault="00CE628B">
            <w:pPr>
              <w:jc w:val="right"/>
            </w:pPr>
            <w:r>
              <w:rPr>
                <w:color w:val="000000"/>
                <w:sz w:val="24"/>
              </w:rPr>
              <w:t>100,000</w:t>
            </w:r>
          </w:p>
        </w:tc>
        <w:tc>
          <w:tcPr>
            <w:tcW w:w="0" w:type="auto"/>
            <w:vAlign w:val="center"/>
          </w:tcPr>
          <w:p w:rsidR="005D191F" w:rsidRDefault="00CE628B">
            <w:pPr>
              <w:jc w:val="right"/>
            </w:pPr>
            <w:r>
              <w:rPr>
                <w:color w:val="000000"/>
                <w:sz w:val="24"/>
              </w:rPr>
              <w:t>10,006,924.97</w:t>
            </w:r>
          </w:p>
        </w:tc>
        <w:tc>
          <w:tcPr>
            <w:tcW w:w="0" w:type="auto"/>
            <w:vAlign w:val="center"/>
          </w:tcPr>
          <w:p w:rsidR="005D191F" w:rsidRDefault="00CE628B">
            <w:pPr>
              <w:jc w:val="right"/>
            </w:pPr>
            <w:r>
              <w:rPr>
                <w:color w:val="000000"/>
                <w:sz w:val="24"/>
              </w:rPr>
              <w:t>9.81</w:t>
            </w:r>
          </w:p>
        </w:tc>
      </w:tr>
      <w:tr w:rsidR="005D191F" w:rsidTr="00CE628B">
        <w:trPr>
          <w:jc w:val="center"/>
        </w:trPr>
        <w:tc>
          <w:tcPr>
            <w:tcW w:w="0" w:type="auto"/>
            <w:vAlign w:val="center"/>
          </w:tcPr>
          <w:p w:rsidR="005D191F" w:rsidRDefault="00CE628B">
            <w:pPr>
              <w:jc w:val="center"/>
            </w:pPr>
            <w:r>
              <w:rPr>
                <w:color w:val="000000"/>
                <w:sz w:val="24"/>
              </w:rPr>
              <w:t>3</w:t>
            </w:r>
          </w:p>
        </w:tc>
        <w:tc>
          <w:tcPr>
            <w:tcW w:w="0" w:type="auto"/>
            <w:vAlign w:val="center"/>
          </w:tcPr>
          <w:p w:rsidR="005D191F" w:rsidRDefault="00CE628B">
            <w:pPr>
              <w:jc w:val="center"/>
            </w:pPr>
            <w:r>
              <w:rPr>
                <w:color w:val="000000"/>
                <w:sz w:val="24"/>
              </w:rPr>
              <w:t>011584006</w:t>
            </w:r>
          </w:p>
        </w:tc>
        <w:tc>
          <w:tcPr>
            <w:tcW w:w="2297" w:type="dxa"/>
            <w:vAlign w:val="center"/>
          </w:tcPr>
          <w:p w:rsidR="005D191F" w:rsidRDefault="00CE628B">
            <w:pPr>
              <w:jc w:val="center"/>
            </w:pPr>
            <w:r>
              <w:rPr>
                <w:color w:val="000000"/>
                <w:sz w:val="24"/>
              </w:rPr>
              <w:t>15</w:t>
            </w:r>
            <w:r>
              <w:rPr>
                <w:color w:val="000000"/>
                <w:sz w:val="24"/>
              </w:rPr>
              <w:t>宁沪高</w:t>
            </w:r>
            <w:r>
              <w:rPr>
                <w:color w:val="000000"/>
                <w:sz w:val="24"/>
              </w:rPr>
              <w:t>SCP006</w:t>
            </w:r>
          </w:p>
        </w:tc>
        <w:tc>
          <w:tcPr>
            <w:tcW w:w="706" w:type="dxa"/>
            <w:vAlign w:val="center"/>
          </w:tcPr>
          <w:p w:rsidR="005D191F" w:rsidRDefault="00CE628B">
            <w:pPr>
              <w:jc w:val="right"/>
            </w:pPr>
            <w:r>
              <w:rPr>
                <w:color w:val="000000"/>
                <w:sz w:val="24"/>
              </w:rPr>
              <w:t>100,000</w:t>
            </w:r>
          </w:p>
        </w:tc>
        <w:tc>
          <w:tcPr>
            <w:tcW w:w="0" w:type="auto"/>
            <w:vAlign w:val="center"/>
          </w:tcPr>
          <w:p w:rsidR="005D191F" w:rsidRDefault="00CE628B">
            <w:pPr>
              <w:jc w:val="right"/>
            </w:pPr>
            <w:r>
              <w:rPr>
                <w:color w:val="000000"/>
                <w:sz w:val="24"/>
              </w:rPr>
              <w:t>9,998,858.52</w:t>
            </w:r>
          </w:p>
        </w:tc>
        <w:tc>
          <w:tcPr>
            <w:tcW w:w="0" w:type="auto"/>
            <w:vAlign w:val="center"/>
          </w:tcPr>
          <w:p w:rsidR="005D191F" w:rsidRDefault="00CE628B">
            <w:pPr>
              <w:jc w:val="right"/>
            </w:pPr>
            <w:r>
              <w:rPr>
                <w:color w:val="000000"/>
                <w:sz w:val="24"/>
              </w:rPr>
              <w:t>9.80</w:t>
            </w:r>
          </w:p>
        </w:tc>
      </w:tr>
      <w:tr w:rsidR="005D191F" w:rsidTr="00CE628B">
        <w:trPr>
          <w:jc w:val="center"/>
        </w:trPr>
        <w:tc>
          <w:tcPr>
            <w:tcW w:w="0" w:type="auto"/>
            <w:vAlign w:val="center"/>
          </w:tcPr>
          <w:p w:rsidR="005D191F" w:rsidRDefault="00CE628B">
            <w:pPr>
              <w:jc w:val="center"/>
            </w:pPr>
            <w:r>
              <w:rPr>
                <w:color w:val="000000"/>
                <w:sz w:val="24"/>
              </w:rPr>
              <w:t>4</w:t>
            </w:r>
          </w:p>
        </w:tc>
        <w:tc>
          <w:tcPr>
            <w:tcW w:w="0" w:type="auto"/>
            <w:vAlign w:val="center"/>
          </w:tcPr>
          <w:p w:rsidR="005D191F" w:rsidRDefault="00CE628B">
            <w:pPr>
              <w:jc w:val="center"/>
            </w:pPr>
            <w:r>
              <w:rPr>
                <w:color w:val="000000"/>
                <w:sz w:val="24"/>
              </w:rPr>
              <w:t>011599824</w:t>
            </w:r>
          </w:p>
        </w:tc>
        <w:tc>
          <w:tcPr>
            <w:tcW w:w="2297" w:type="dxa"/>
            <w:vAlign w:val="center"/>
          </w:tcPr>
          <w:p w:rsidR="005D191F" w:rsidRDefault="00CE628B">
            <w:pPr>
              <w:jc w:val="center"/>
            </w:pPr>
            <w:r>
              <w:rPr>
                <w:color w:val="000000"/>
                <w:sz w:val="24"/>
              </w:rPr>
              <w:t>15</w:t>
            </w:r>
            <w:r>
              <w:rPr>
                <w:color w:val="000000"/>
                <w:sz w:val="24"/>
              </w:rPr>
              <w:t>广晟</w:t>
            </w:r>
            <w:r>
              <w:rPr>
                <w:color w:val="000000"/>
                <w:sz w:val="24"/>
              </w:rPr>
              <w:t>SCP007</w:t>
            </w:r>
          </w:p>
        </w:tc>
        <w:tc>
          <w:tcPr>
            <w:tcW w:w="706" w:type="dxa"/>
            <w:vAlign w:val="center"/>
          </w:tcPr>
          <w:p w:rsidR="005D191F" w:rsidRDefault="00CE628B">
            <w:pPr>
              <w:jc w:val="right"/>
            </w:pPr>
            <w:r>
              <w:rPr>
                <w:color w:val="000000"/>
                <w:sz w:val="24"/>
              </w:rPr>
              <w:t>100,000</w:t>
            </w:r>
          </w:p>
        </w:tc>
        <w:tc>
          <w:tcPr>
            <w:tcW w:w="0" w:type="auto"/>
            <w:vAlign w:val="center"/>
          </w:tcPr>
          <w:p w:rsidR="005D191F" w:rsidRDefault="00CE628B">
            <w:pPr>
              <w:jc w:val="right"/>
            </w:pPr>
            <w:r>
              <w:rPr>
                <w:color w:val="000000"/>
                <w:sz w:val="24"/>
              </w:rPr>
              <w:t>9,996,401.39</w:t>
            </w:r>
          </w:p>
        </w:tc>
        <w:tc>
          <w:tcPr>
            <w:tcW w:w="0" w:type="auto"/>
            <w:vAlign w:val="center"/>
          </w:tcPr>
          <w:p w:rsidR="005D191F" w:rsidRDefault="00CE628B">
            <w:pPr>
              <w:jc w:val="right"/>
            </w:pPr>
            <w:r>
              <w:rPr>
                <w:color w:val="000000"/>
                <w:sz w:val="24"/>
              </w:rPr>
              <w:t>9.80</w:t>
            </w:r>
          </w:p>
        </w:tc>
      </w:tr>
      <w:tr w:rsidR="005D191F" w:rsidTr="00CE628B">
        <w:trPr>
          <w:jc w:val="center"/>
        </w:trPr>
        <w:tc>
          <w:tcPr>
            <w:tcW w:w="0" w:type="auto"/>
            <w:vAlign w:val="center"/>
          </w:tcPr>
          <w:p w:rsidR="005D191F" w:rsidRDefault="00CE628B">
            <w:pPr>
              <w:jc w:val="center"/>
            </w:pPr>
            <w:r>
              <w:rPr>
                <w:color w:val="000000"/>
                <w:sz w:val="24"/>
              </w:rPr>
              <w:t>5</w:t>
            </w:r>
          </w:p>
        </w:tc>
        <w:tc>
          <w:tcPr>
            <w:tcW w:w="0" w:type="auto"/>
            <w:vAlign w:val="center"/>
          </w:tcPr>
          <w:p w:rsidR="005D191F" w:rsidRDefault="00CE628B">
            <w:pPr>
              <w:jc w:val="center"/>
            </w:pPr>
            <w:r>
              <w:rPr>
                <w:color w:val="000000"/>
                <w:sz w:val="24"/>
              </w:rPr>
              <w:t>041553083</w:t>
            </w:r>
          </w:p>
        </w:tc>
        <w:tc>
          <w:tcPr>
            <w:tcW w:w="2297" w:type="dxa"/>
            <w:vAlign w:val="center"/>
          </w:tcPr>
          <w:p w:rsidR="005D191F" w:rsidRDefault="00CE628B">
            <w:pPr>
              <w:jc w:val="center"/>
            </w:pPr>
            <w:r>
              <w:rPr>
                <w:color w:val="000000"/>
                <w:sz w:val="24"/>
              </w:rPr>
              <w:t>15</w:t>
            </w:r>
            <w:r>
              <w:rPr>
                <w:color w:val="000000"/>
                <w:sz w:val="24"/>
              </w:rPr>
              <w:t>金隅</w:t>
            </w:r>
            <w:r>
              <w:rPr>
                <w:color w:val="000000"/>
                <w:sz w:val="24"/>
              </w:rPr>
              <w:t>CP001</w:t>
            </w:r>
          </w:p>
        </w:tc>
        <w:tc>
          <w:tcPr>
            <w:tcW w:w="706" w:type="dxa"/>
            <w:vAlign w:val="center"/>
          </w:tcPr>
          <w:p w:rsidR="005D191F" w:rsidRDefault="00CE628B">
            <w:pPr>
              <w:jc w:val="right"/>
            </w:pPr>
            <w:r>
              <w:rPr>
                <w:color w:val="000000"/>
                <w:sz w:val="24"/>
              </w:rPr>
              <w:t>100,000</w:t>
            </w:r>
          </w:p>
        </w:tc>
        <w:tc>
          <w:tcPr>
            <w:tcW w:w="0" w:type="auto"/>
            <w:vAlign w:val="center"/>
          </w:tcPr>
          <w:p w:rsidR="005D191F" w:rsidRDefault="00CE628B">
            <w:pPr>
              <w:jc w:val="right"/>
            </w:pPr>
            <w:r>
              <w:rPr>
                <w:color w:val="000000"/>
                <w:sz w:val="24"/>
              </w:rPr>
              <w:t>9,996,159.26</w:t>
            </w:r>
          </w:p>
        </w:tc>
        <w:tc>
          <w:tcPr>
            <w:tcW w:w="0" w:type="auto"/>
            <w:vAlign w:val="center"/>
          </w:tcPr>
          <w:p w:rsidR="005D191F" w:rsidRDefault="00CE628B">
            <w:pPr>
              <w:jc w:val="right"/>
            </w:pPr>
            <w:r>
              <w:rPr>
                <w:color w:val="000000"/>
                <w:sz w:val="24"/>
              </w:rPr>
              <w:t>9.80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0.1689%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0.0055%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0.0727%</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648,585.04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648,585.04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22,349,278.69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151,218,406.95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1,264,162.68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1,276,926.56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3,740,242.33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70,337,000.00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19,873,199.04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82,158,333.51</w:t>
            </w:r>
          </w:p>
        </w:tc>
      </w:tr>
    </w:tbl>
    <w:p w:rsidR="005D191F" w:rsidRDefault="00CE628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F41AA6">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5D191F" w:rsidRDefault="00CE628B">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5D191F" w:rsidRDefault="00CE628B">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5D191F" w:rsidRDefault="00CE628B">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5D191F" w:rsidRDefault="00CE628B">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5D191F" w:rsidRDefault="00CE628B">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5D191F" w:rsidRDefault="00CE628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D191F" w:rsidRDefault="00CE628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5D191F" w:rsidRDefault="00CE628B">
      <w:pPr>
        <w:spacing w:before="29" w:line="288" w:lineRule="auto"/>
        <w:ind w:firstLineChars="200" w:firstLine="480"/>
        <w:rPr>
          <w:color w:val="000000"/>
          <w:sz w:val="24"/>
        </w:rPr>
      </w:pPr>
      <w:r>
        <w:rPr>
          <w:color w:val="000000"/>
          <w:sz w:val="24"/>
        </w:rPr>
        <w:t>投资者可在办公时间内</w:t>
      </w:r>
      <w:r>
        <w:rPr>
          <w:color w:val="000000"/>
          <w:sz w:val="24"/>
        </w:rPr>
        <w:t>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B2" w:rsidRDefault="00B12EB2">
      <w:r>
        <w:separator/>
      </w:r>
    </w:p>
  </w:endnote>
  <w:endnote w:type="continuationSeparator" w:id="0">
    <w:p w:rsidR="00B12EB2" w:rsidRDefault="00B1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363ED1">
      <w:rPr>
        <w:kern w:val="0"/>
        <w:szCs w:val="21"/>
      </w:rPr>
      <w:fldChar w:fldCharType="begin"/>
    </w:r>
    <w:r>
      <w:rPr>
        <w:kern w:val="0"/>
        <w:szCs w:val="21"/>
      </w:rPr>
      <w:instrText xml:space="preserve"> PAGE </w:instrText>
    </w:r>
    <w:r w:rsidR="00363ED1">
      <w:rPr>
        <w:kern w:val="0"/>
        <w:szCs w:val="21"/>
      </w:rPr>
      <w:fldChar w:fldCharType="separate"/>
    </w:r>
    <w:r w:rsidR="00CE628B">
      <w:rPr>
        <w:noProof/>
        <w:kern w:val="0"/>
        <w:szCs w:val="21"/>
      </w:rPr>
      <w:t>1</w:t>
    </w:r>
    <w:r w:rsidR="00363ED1">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363ED1">
      <w:rPr>
        <w:rFonts w:hint="eastAsia"/>
        <w:kern w:val="0"/>
        <w:szCs w:val="21"/>
      </w:rPr>
      <w:fldChar w:fldCharType="begin"/>
    </w:r>
    <w:r>
      <w:rPr>
        <w:kern w:val="0"/>
        <w:szCs w:val="21"/>
      </w:rPr>
      <w:instrText xml:space="preserve"> NUMPAGES </w:instrText>
    </w:r>
    <w:r w:rsidR="00363ED1">
      <w:rPr>
        <w:rFonts w:hint="eastAsia"/>
        <w:kern w:val="0"/>
        <w:szCs w:val="21"/>
      </w:rPr>
      <w:fldChar w:fldCharType="separate"/>
    </w:r>
    <w:r w:rsidR="00CE628B">
      <w:rPr>
        <w:noProof/>
        <w:kern w:val="0"/>
        <w:szCs w:val="21"/>
      </w:rPr>
      <w:t>13</w:t>
    </w:r>
    <w:r w:rsidR="00363ED1">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B2" w:rsidRDefault="00B12EB2">
      <w:r>
        <w:separator/>
      </w:r>
    </w:p>
  </w:footnote>
  <w:footnote w:type="continuationSeparator" w:id="0">
    <w:p w:rsidR="00B12EB2" w:rsidRDefault="00B1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8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191F"/>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28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o:shapelayout v:ext="edit">
      <o:idmap v:ext="edit" data="1"/>
    </o:shapelayout>
  </w:shapeDefaults>
  <w:doNotEmbedSmartTags/>
  <w:decimalSymbol w:val="."/>
  <w:listSeparator w:val=","/>
  <w15:docId w15:val="{F8EEDD98-0381-4A3A-A26B-6D3A1671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F7A9D0A-0E44-47E4-A9EF-CBAAACDEE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13</Pages>
  <Words>1069</Words>
  <Characters>6094</Characters>
  <Application>Microsoft Office Word</Application>
  <DocSecurity>0</DocSecurity>
  <Lines>50</Lines>
  <Paragraphs>14</Paragraphs>
  <ScaleCrop>false</ScaleCrop>
  <Company>jysld</Company>
  <LinksUpToDate>false</LinksUpToDate>
  <CharactersWithSpaces>7149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306</cp:revision>
  <cp:lastPrinted>2009-01-22T10:11:00Z</cp:lastPrinted>
  <dcterms:created xsi:type="dcterms:W3CDTF">2012-11-21T05:49:00Z</dcterms:created>
  <dcterms:modified xsi:type="dcterms:W3CDTF">2016-01-13T08:20:00Z</dcterms:modified>
</cp:coreProperties>
</file>