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交银施罗德策略回报灵活配置混合型证券投资基金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基金托管人：中信银行股份有限公司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二〇一六年一月二十一日</w:t>
      </w:r>
    </w:p>
    <w:p w:rsidR="004061AC" w:rsidRPr="00414345" w:rsidRDefault="004061AC" w:rsidP="00983954">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F537C1" w:rsidRDefault="004311A1">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F537C1" w:rsidRDefault="004311A1">
      <w:pPr>
        <w:spacing w:before="29" w:line="288" w:lineRule="auto"/>
        <w:ind w:firstLineChars="200" w:firstLine="480"/>
        <w:rPr>
          <w:color w:val="000000"/>
          <w:sz w:val="24"/>
          <w:szCs w:val="24"/>
        </w:rPr>
      </w:pPr>
      <w:r>
        <w:rPr>
          <w:color w:val="000000"/>
          <w:sz w:val="24"/>
          <w:szCs w:val="24"/>
        </w:rPr>
        <w:t>基金托管人中信银行股份有限公司根据本基金合同规定，于</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F537C1" w:rsidRDefault="004311A1">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F537C1" w:rsidRDefault="004311A1">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F537C1" w:rsidRDefault="004311A1">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983954">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交银策略回报灵活配置混合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519710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27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173,937,560.24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本基金根据对宏观经济周期和市场环境的分析研究，自上而下配置资产，并通过对类属资产灵活运用多种投资策略，力争实现基金资产的长期稳定增值。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本基金将通过</w:t>
            </w:r>
            <w:r w:rsidRPr="00414345">
              <w:rPr>
                <w:color w:val="000000"/>
                <w:kern w:val="0"/>
                <w:sz w:val="24"/>
                <w:szCs w:val="24"/>
              </w:rPr>
              <w:t>“</w:t>
            </w:r>
            <w:r w:rsidRPr="00414345">
              <w:rPr>
                <w:color w:val="000000"/>
                <w:kern w:val="0"/>
                <w:sz w:val="24"/>
                <w:szCs w:val="24"/>
              </w:rPr>
              <w:t>自上而下</w:t>
            </w:r>
            <w:r w:rsidRPr="00414345">
              <w:rPr>
                <w:color w:val="000000"/>
                <w:kern w:val="0"/>
                <w:sz w:val="24"/>
                <w:szCs w:val="24"/>
              </w:rPr>
              <w:t>”</w:t>
            </w:r>
            <w:r w:rsidRPr="00414345">
              <w:rPr>
                <w:color w:val="000000"/>
                <w:kern w:val="0"/>
                <w:sz w:val="24"/>
                <w:szCs w:val="24"/>
              </w:rPr>
              <w:t>的定性分析和定量分析相结合以实现大类资产的灵活配置。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本基金为混合型证券投资基金，其预期收益和风险高于货币市场基金、债券型基金，而低于股票型基金，属于证券投资基金中的中高风险品种。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R="004061AC" w:rsidRPr="00414345" w:rsidRDefault="004311A1" w:rsidP="00C15CAC">
      <w:pPr>
        <w:autoSpaceDE w:val="0"/>
        <w:autoSpaceDN w:val="0"/>
        <w:adjustRightInd w:val="0"/>
        <w:spacing w:before="29" w:line="288" w:lineRule="auto"/>
        <w:jc w:val="left"/>
        <w:rPr>
          <w:color w:val="000000"/>
          <w:sz w:val="24"/>
          <w:szCs w:val="24"/>
        </w:rPr>
      </w:pPr>
      <w:r>
        <w:rPr>
          <w:color w:val="000000"/>
          <w:sz w:val="24"/>
          <w:szCs w:val="24"/>
        </w:rPr>
        <w:t>注：</w:t>
      </w:r>
      <w:r w:rsidR="004061AC" w:rsidRPr="00414345">
        <w:rPr>
          <w:color w:val="000000"/>
          <w:sz w:val="24"/>
          <w:szCs w:val="24"/>
        </w:rPr>
        <w:t>本基金业绩比较基准自</w:t>
      </w:r>
      <w:r w:rsidR="004061AC" w:rsidRPr="00414345">
        <w:rPr>
          <w:color w:val="000000"/>
          <w:sz w:val="24"/>
          <w:szCs w:val="24"/>
        </w:rPr>
        <w:t>2015</w:t>
      </w:r>
      <w:r w:rsidR="004061AC" w:rsidRPr="00414345">
        <w:rPr>
          <w:color w:val="000000"/>
          <w:sz w:val="24"/>
          <w:szCs w:val="24"/>
        </w:rPr>
        <w:t>年</w:t>
      </w:r>
      <w:r w:rsidR="004061AC" w:rsidRPr="00414345">
        <w:rPr>
          <w:color w:val="000000"/>
          <w:sz w:val="24"/>
          <w:szCs w:val="24"/>
        </w:rPr>
        <w:t>10</w:t>
      </w:r>
      <w:r w:rsidR="004061AC" w:rsidRPr="00414345">
        <w:rPr>
          <w:color w:val="000000"/>
          <w:sz w:val="24"/>
          <w:szCs w:val="24"/>
        </w:rPr>
        <w:t>月</w:t>
      </w:r>
      <w:r w:rsidR="004061AC" w:rsidRPr="00414345">
        <w:rPr>
          <w:color w:val="000000"/>
          <w:sz w:val="24"/>
          <w:szCs w:val="24"/>
        </w:rPr>
        <w:t>1</w:t>
      </w:r>
      <w:r>
        <w:rPr>
          <w:color w:val="000000"/>
          <w:sz w:val="24"/>
          <w:szCs w:val="24"/>
        </w:rPr>
        <w:t>日起，由</w:t>
      </w:r>
      <w:r w:rsidR="004061AC" w:rsidRPr="00414345">
        <w:rPr>
          <w:color w:val="000000"/>
          <w:sz w:val="24"/>
          <w:szCs w:val="24"/>
        </w:rPr>
        <w:t>“60%×</w:t>
      </w:r>
      <w:r w:rsidR="004061AC" w:rsidRPr="00414345">
        <w:rPr>
          <w:color w:val="000000"/>
          <w:sz w:val="24"/>
          <w:szCs w:val="24"/>
        </w:rPr>
        <w:t>沪深</w:t>
      </w:r>
      <w:r w:rsidR="004061AC" w:rsidRPr="00414345">
        <w:rPr>
          <w:color w:val="000000"/>
          <w:sz w:val="24"/>
          <w:szCs w:val="24"/>
        </w:rPr>
        <w:t>300</w:t>
      </w:r>
      <w:r w:rsidR="004061AC" w:rsidRPr="00414345">
        <w:rPr>
          <w:color w:val="000000"/>
          <w:sz w:val="24"/>
          <w:szCs w:val="24"/>
        </w:rPr>
        <w:t>指数收益率</w:t>
      </w:r>
      <w:r w:rsidR="004061AC" w:rsidRPr="00414345">
        <w:rPr>
          <w:color w:val="000000"/>
          <w:sz w:val="24"/>
          <w:szCs w:val="24"/>
        </w:rPr>
        <w:t>+40%×</w:t>
      </w:r>
      <w:r w:rsidR="004061AC" w:rsidRPr="00414345">
        <w:rPr>
          <w:color w:val="000000"/>
          <w:sz w:val="24"/>
          <w:szCs w:val="24"/>
        </w:rPr>
        <w:t>中信标普全债指数收益率</w:t>
      </w:r>
      <w:r w:rsidR="004061AC" w:rsidRPr="00414345">
        <w:rPr>
          <w:color w:val="000000"/>
          <w:sz w:val="24"/>
          <w:szCs w:val="24"/>
        </w:rPr>
        <w:t>”</w:t>
      </w:r>
      <w:r w:rsidR="004061AC" w:rsidRPr="00414345">
        <w:rPr>
          <w:color w:val="000000"/>
          <w:sz w:val="24"/>
          <w:szCs w:val="24"/>
        </w:rPr>
        <w:t>变更为</w:t>
      </w:r>
      <w:r w:rsidR="004061AC" w:rsidRPr="00414345">
        <w:rPr>
          <w:color w:val="000000"/>
          <w:sz w:val="24"/>
          <w:szCs w:val="24"/>
        </w:rPr>
        <w:t>“60%×</w:t>
      </w:r>
      <w:r w:rsidR="004061AC" w:rsidRPr="00414345">
        <w:rPr>
          <w:color w:val="000000"/>
          <w:sz w:val="24"/>
          <w:szCs w:val="24"/>
        </w:rPr>
        <w:t>沪深</w:t>
      </w:r>
      <w:r w:rsidR="004061AC" w:rsidRPr="00414345">
        <w:rPr>
          <w:color w:val="000000"/>
          <w:sz w:val="24"/>
          <w:szCs w:val="24"/>
        </w:rPr>
        <w:t>300</w:t>
      </w:r>
      <w:r w:rsidR="004061AC" w:rsidRPr="00414345">
        <w:rPr>
          <w:color w:val="000000"/>
          <w:sz w:val="24"/>
          <w:szCs w:val="24"/>
        </w:rPr>
        <w:t>指数收益率</w:t>
      </w:r>
      <w:r w:rsidR="004061AC" w:rsidRPr="00414345">
        <w:rPr>
          <w:color w:val="000000"/>
          <w:sz w:val="24"/>
          <w:szCs w:val="24"/>
        </w:rPr>
        <w:t>+40%×</w:t>
      </w:r>
      <w:r w:rsidR="004061AC" w:rsidRPr="00414345">
        <w:rPr>
          <w:color w:val="000000"/>
          <w:sz w:val="24"/>
          <w:szCs w:val="24"/>
        </w:rPr>
        <w:t>中证综合债券指数收益率</w:t>
      </w:r>
      <w:r w:rsidR="004061AC" w:rsidRPr="00414345">
        <w:rPr>
          <w:color w:val="000000"/>
          <w:sz w:val="24"/>
          <w:szCs w:val="24"/>
        </w:rPr>
        <w:t>”</w:t>
      </w:r>
      <w:r w:rsidR="004061AC" w:rsidRPr="00414345">
        <w:rPr>
          <w:color w:val="000000"/>
          <w:sz w:val="24"/>
          <w:szCs w:val="24"/>
        </w:rPr>
        <w:t>，详情见本基金管理人于</w:t>
      </w:r>
      <w:r w:rsidR="004061AC" w:rsidRPr="00414345">
        <w:rPr>
          <w:color w:val="000000"/>
          <w:sz w:val="24"/>
          <w:szCs w:val="24"/>
        </w:rPr>
        <w:t>2015</w:t>
      </w:r>
      <w:r w:rsidR="004061AC" w:rsidRPr="00414345">
        <w:rPr>
          <w:color w:val="000000"/>
          <w:sz w:val="24"/>
          <w:szCs w:val="24"/>
        </w:rPr>
        <w:t>年</w:t>
      </w:r>
      <w:r w:rsidR="004061AC" w:rsidRPr="00414345">
        <w:rPr>
          <w:color w:val="000000"/>
          <w:sz w:val="24"/>
          <w:szCs w:val="24"/>
        </w:rPr>
        <w:t>9</w:t>
      </w:r>
      <w:r w:rsidR="004061AC" w:rsidRPr="00414345">
        <w:rPr>
          <w:color w:val="000000"/>
          <w:sz w:val="24"/>
          <w:szCs w:val="24"/>
        </w:rPr>
        <w:t>月</w:t>
      </w:r>
      <w:r w:rsidR="004061AC" w:rsidRPr="00414345">
        <w:rPr>
          <w:color w:val="000000"/>
          <w:sz w:val="24"/>
          <w:szCs w:val="24"/>
        </w:rPr>
        <w:t>28</w:t>
      </w:r>
      <w:r w:rsidR="004061AC" w:rsidRPr="00414345">
        <w:rPr>
          <w:color w:val="000000"/>
          <w:sz w:val="24"/>
          <w:szCs w:val="24"/>
        </w:rPr>
        <w:t>日发布的《交银施罗德基金管理有限公司关于旗下部分基金业绩比较基准变更并修改基金合同相关内容的公告》。</w:t>
      </w:r>
      <w:r w:rsidR="004061AC" w:rsidRPr="00414345">
        <w:rPr>
          <w:color w:val="000000"/>
          <w:sz w:val="24"/>
          <w:szCs w:val="24"/>
        </w:rPr>
        <w:t xml:space="preserve"> </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983954">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4311A1" w:rsidRPr="00414345" w:rsidTr="004311A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4311A1" w:rsidRPr="00414345" w:rsidTr="004311A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24,703,557.49</w:t>
            </w:r>
          </w:p>
        </w:tc>
      </w:tr>
      <w:tr w:rsidR="004311A1" w:rsidRPr="00414345" w:rsidTr="004311A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45,185,269.32</w:t>
            </w:r>
          </w:p>
        </w:tc>
      </w:tr>
      <w:tr w:rsidR="004311A1" w:rsidRPr="00414345" w:rsidTr="004311A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0.2411</w:t>
            </w:r>
          </w:p>
        </w:tc>
      </w:tr>
      <w:tr w:rsidR="004311A1" w:rsidRPr="00414345" w:rsidTr="004311A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191,549,869.97</w:t>
            </w:r>
          </w:p>
        </w:tc>
      </w:tr>
      <w:tr w:rsidR="004311A1" w:rsidRPr="00414345" w:rsidTr="004311A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1.101</w:t>
            </w:r>
          </w:p>
        </w:tc>
      </w:tr>
    </w:tbl>
    <w:p w:rsidR="00F537C1" w:rsidRDefault="004311A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4311A1">
        <w:trPr>
          <w:jc w:val="center"/>
        </w:trPr>
        <w:tc>
          <w:tcPr>
            <w:tcW w:w="1701"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98"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F537C1">
        <w:trPr>
          <w:jc w:val="center"/>
        </w:trPr>
        <w:tc>
          <w:tcPr>
            <w:tcW w:w="1701" w:type="dxa"/>
            <w:vAlign w:val="center"/>
          </w:tcPr>
          <w:p w:rsidR="00F537C1" w:rsidRDefault="004311A1">
            <w:pPr>
              <w:jc w:val="left"/>
            </w:pPr>
            <w:r>
              <w:rPr>
                <w:color w:val="000000"/>
                <w:sz w:val="24"/>
                <w:szCs w:val="24"/>
              </w:rPr>
              <w:t>过去三个月</w:t>
            </w:r>
          </w:p>
        </w:tc>
        <w:tc>
          <w:tcPr>
            <w:tcW w:w="1045" w:type="dxa"/>
            <w:vAlign w:val="center"/>
          </w:tcPr>
          <w:p w:rsidR="00F537C1" w:rsidRDefault="004311A1">
            <w:pPr>
              <w:jc w:val="center"/>
            </w:pPr>
            <w:r>
              <w:rPr>
                <w:color w:val="000000"/>
                <w:sz w:val="24"/>
                <w:szCs w:val="24"/>
              </w:rPr>
              <w:t>26.55%</w:t>
            </w:r>
          </w:p>
        </w:tc>
        <w:tc>
          <w:tcPr>
            <w:tcW w:w="1344" w:type="dxa"/>
            <w:vAlign w:val="center"/>
          </w:tcPr>
          <w:p w:rsidR="00F537C1" w:rsidRDefault="004311A1">
            <w:pPr>
              <w:jc w:val="center"/>
            </w:pPr>
            <w:r>
              <w:rPr>
                <w:color w:val="000000"/>
                <w:sz w:val="24"/>
                <w:szCs w:val="24"/>
              </w:rPr>
              <w:t>1.76%</w:t>
            </w:r>
          </w:p>
        </w:tc>
        <w:tc>
          <w:tcPr>
            <w:tcW w:w="1194" w:type="dxa"/>
            <w:vAlign w:val="center"/>
          </w:tcPr>
          <w:p w:rsidR="00F537C1" w:rsidRDefault="004311A1">
            <w:pPr>
              <w:jc w:val="center"/>
            </w:pPr>
            <w:r>
              <w:rPr>
                <w:color w:val="000000"/>
                <w:sz w:val="24"/>
                <w:szCs w:val="24"/>
              </w:rPr>
              <w:t>10.87%</w:t>
            </w:r>
          </w:p>
        </w:tc>
        <w:tc>
          <w:tcPr>
            <w:tcW w:w="1492" w:type="dxa"/>
            <w:vAlign w:val="center"/>
          </w:tcPr>
          <w:p w:rsidR="00F537C1" w:rsidRDefault="004311A1">
            <w:pPr>
              <w:jc w:val="center"/>
            </w:pPr>
            <w:r>
              <w:rPr>
                <w:color w:val="000000"/>
                <w:sz w:val="24"/>
                <w:szCs w:val="24"/>
              </w:rPr>
              <w:t>1.00%</w:t>
            </w:r>
          </w:p>
        </w:tc>
        <w:tc>
          <w:tcPr>
            <w:tcW w:w="1194" w:type="dxa"/>
            <w:vAlign w:val="center"/>
          </w:tcPr>
          <w:p w:rsidR="00F537C1" w:rsidRDefault="004311A1">
            <w:pPr>
              <w:jc w:val="center"/>
            </w:pPr>
            <w:r>
              <w:rPr>
                <w:color w:val="000000"/>
                <w:sz w:val="24"/>
                <w:szCs w:val="24"/>
              </w:rPr>
              <w:t>15.68%</w:t>
            </w:r>
          </w:p>
        </w:tc>
        <w:tc>
          <w:tcPr>
            <w:tcW w:w="898" w:type="dxa"/>
            <w:vAlign w:val="center"/>
          </w:tcPr>
          <w:p w:rsidR="00F537C1" w:rsidRDefault="004311A1">
            <w:pPr>
              <w:jc w:val="center"/>
            </w:pPr>
            <w:r>
              <w:rPr>
                <w:color w:val="000000"/>
                <w:sz w:val="24"/>
                <w:szCs w:val="24"/>
              </w:rPr>
              <w:t>0.76%</w:t>
            </w:r>
          </w:p>
        </w:tc>
      </w:tr>
    </w:tbl>
    <w:p w:rsidR="004311A1" w:rsidRDefault="004311A1" w:rsidP="004311A1">
      <w:pPr>
        <w:spacing w:before="29" w:line="288" w:lineRule="auto"/>
        <w:rPr>
          <w:color w:val="000000"/>
          <w:sz w:val="24"/>
          <w:szCs w:val="24"/>
        </w:rPr>
      </w:pPr>
      <w:r>
        <w:rPr>
          <w:rFonts w:ascii="宋体" w:hAnsi="宋体" w:hint="eastAsia"/>
          <w:color w:val="000000"/>
          <w:sz w:val="24"/>
          <w:szCs w:val="24"/>
        </w:rPr>
        <w:t>注：本基金业绩比较基准自</w:t>
      </w:r>
      <w:r>
        <w:rPr>
          <w:color w:val="000000"/>
          <w:sz w:val="24"/>
          <w:szCs w:val="24"/>
        </w:rPr>
        <w:t>2015</w:t>
      </w:r>
      <w:r>
        <w:rPr>
          <w:rFonts w:ascii="宋体" w:hAnsi="宋体" w:hint="eastAsia"/>
          <w:color w:val="000000"/>
          <w:sz w:val="24"/>
          <w:szCs w:val="24"/>
        </w:rPr>
        <w:t>年</w:t>
      </w:r>
      <w:r>
        <w:rPr>
          <w:color w:val="000000"/>
          <w:sz w:val="24"/>
          <w:szCs w:val="24"/>
        </w:rPr>
        <w:t>10</w:t>
      </w:r>
      <w:r>
        <w:rPr>
          <w:rFonts w:ascii="宋体" w:hAnsi="宋体" w:hint="eastAsia"/>
          <w:color w:val="000000"/>
          <w:sz w:val="24"/>
          <w:szCs w:val="24"/>
        </w:rPr>
        <w:t>月</w:t>
      </w:r>
      <w:r>
        <w:rPr>
          <w:color w:val="000000"/>
          <w:sz w:val="24"/>
          <w:szCs w:val="24"/>
        </w:rPr>
        <w:t>1</w:t>
      </w:r>
      <w:r>
        <w:rPr>
          <w:rFonts w:ascii="宋体" w:hAnsi="宋体" w:hint="eastAsia"/>
          <w:color w:val="000000"/>
          <w:sz w:val="24"/>
          <w:szCs w:val="24"/>
        </w:rPr>
        <w:t>日起，由“</w:t>
      </w:r>
      <w:r>
        <w:rPr>
          <w:color w:val="000000"/>
          <w:sz w:val="24"/>
          <w:szCs w:val="24"/>
        </w:rPr>
        <w:t>60%×</w:t>
      </w:r>
      <w:r>
        <w:rPr>
          <w:rFonts w:ascii="宋体" w:hAnsi="宋体" w:hint="eastAsia"/>
          <w:color w:val="000000"/>
          <w:sz w:val="24"/>
          <w:szCs w:val="24"/>
        </w:rPr>
        <w:t>沪深</w:t>
      </w:r>
      <w:r>
        <w:rPr>
          <w:color w:val="000000"/>
          <w:sz w:val="24"/>
          <w:szCs w:val="24"/>
        </w:rPr>
        <w:t>300</w:t>
      </w:r>
      <w:r>
        <w:rPr>
          <w:rFonts w:ascii="宋体" w:hAnsi="宋体" w:hint="eastAsia"/>
          <w:color w:val="000000"/>
          <w:sz w:val="24"/>
          <w:szCs w:val="24"/>
        </w:rPr>
        <w:t>指数收益率</w:t>
      </w:r>
      <w:r>
        <w:rPr>
          <w:color w:val="000000"/>
          <w:sz w:val="24"/>
          <w:szCs w:val="24"/>
        </w:rPr>
        <w:t>+40%×</w:t>
      </w:r>
      <w:r>
        <w:rPr>
          <w:rFonts w:ascii="宋体" w:hAnsi="宋体" w:hint="eastAsia"/>
          <w:color w:val="000000"/>
          <w:sz w:val="24"/>
          <w:szCs w:val="24"/>
        </w:rPr>
        <w:lastRenderedPageBreak/>
        <w:t>中信标普全债指数收益率”变更为“</w:t>
      </w:r>
      <w:r>
        <w:rPr>
          <w:sz w:val="24"/>
          <w:szCs w:val="24"/>
        </w:rPr>
        <w:t>60%×</w:t>
      </w:r>
      <w:r>
        <w:rPr>
          <w:rFonts w:ascii="宋体" w:hAnsi="宋体" w:hint="eastAsia"/>
          <w:sz w:val="24"/>
          <w:szCs w:val="24"/>
        </w:rPr>
        <w:t>沪深</w:t>
      </w:r>
      <w:r>
        <w:rPr>
          <w:sz w:val="24"/>
          <w:szCs w:val="24"/>
        </w:rPr>
        <w:t>300</w:t>
      </w:r>
      <w:r>
        <w:rPr>
          <w:rFonts w:ascii="宋体" w:hAnsi="宋体" w:hint="eastAsia"/>
          <w:sz w:val="24"/>
          <w:szCs w:val="24"/>
        </w:rPr>
        <w:t>指数收益率</w:t>
      </w:r>
      <w:r>
        <w:rPr>
          <w:sz w:val="24"/>
          <w:szCs w:val="24"/>
        </w:rPr>
        <w:t>+40%×</w:t>
      </w:r>
      <w:r>
        <w:rPr>
          <w:rFonts w:ascii="宋体" w:hAnsi="宋体" w:hint="eastAsia"/>
          <w:sz w:val="24"/>
          <w:szCs w:val="24"/>
        </w:rPr>
        <w:t>中证综合债券指数收益率</w:t>
      </w:r>
      <w:r>
        <w:rPr>
          <w:rFonts w:ascii="宋体" w:hAnsi="宋体" w:hint="eastAsia"/>
          <w:color w:val="000000"/>
          <w:sz w:val="24"/>
          <w:szCs w:val="24"/>
        </w:rPr>
        <w:t>”，</w:t>
      </w:r>
      <w:r>
        <w:rPr>
          <w:color w:val="000000"/>
          <w:sz w:val="24"/>
          <w:szCs w:val="24"/>
        </w:rPr>
        <w:t>3.2.2</w:t>
      </w:r>
      <w:r>
        <w:rPr>
          <w:rFonts w:ascii="宋体" w:hAnsi="宋体" w:hint="eastAsia"/>
          <w:color w:val="000000"/>
          <w:sz w:val="24"/>
          <w:szCs w:val="24"/>
        </w:rPr>
        <w:t>同。详情见本基金管理人于</w:t>
      </w:r>
      <w:r>
        <w:rPr>
          <w:color w:val="000000"/>
          <w:sz w:val="24"/>
          <w:szCs w:val="24"/>
        </w:rPr>
        <w:t>2015</w:t>
      </w:r>
      <w:r>
        <w:rPr>
          <w:rFonts w:ascii="宋体" w:hAnsi="宋体" w:hint="eastAsia"/>
          <w:color w:val="000000"/>
          <w:sz w:val="24"/>
          <w:szCs w:val="24"/>
        </w:rPr>
        <w:t>年</w:t>
      </w:r>
      <w:r>
        <w:rPr>
          <w:color w:val="000000"/>
          <w:sz w:val="24"/>
          <w:szCs w:val="24"/>
        </w:rPr>
        <w:t>9</w:t>
      </w:r>
      <w:r>
        <w:rPr>
          <w:rFonts w:ascii="宋体" w:hAnsi="宋体" w:hint="eastAsia"/>
          <w:color w:val="000000"/>
          <w:sz w:val="24"/>
          <w:szCs w:val="24"/>
        </w:rPr>
        <w:t>月</w:t>
      </w:r>
      <w:r>
        <w:rPr>
          <w:color w:val="000000"/>
          <w:sz w:val="24"/>
          <w:szCs w:val="24"/>
        </w:rPr>
        <w:t>28</w:t>
      </w:r>
      <w:r>
        <w:rPr>
          <w:rFonts w:ascii="宋体" w:hAnsi="宋体" w:hint="eastAsia"/>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交银施罗德策略回报灵活配置混合型证券投资基金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F537C1" w:rsidRDefault="004311A1">
      <w:pPr>
        <w:autoSpaceDE w:val="0"/>
        <w:autoSpaceDN w:val="0"/>
        <w:adjustRightInd w:val="0"/>
        <w:spacing w:before="29" w:line="288" w:lineRule="auto"/>
        <w:jc w:val="left"/>
        <w:rPr>
          <w:color w:val="000000"/>
          <w:sz w:val="24"/>
          <w:szCs w:val="24"/>
        </w:rPr>
      </w:pPr>
      <w:r>
        <w:rPr>
          <w:color w:val="000000"/>
          <w:sz w:val="24"/>
          <w:szCs w:val="24"/>
        </w:rPr>
        <w:t>注：本基金由交银施罗德荣安保本混合型证券投资基金转型而来。基金转型日为</w:t>
      </w:r>
      <w:r>
        <w:rPr>
          <w:color w:val="000000"/>
          <w:sz w:val="24"/>
          <w:szCs w:val="24"/>
        </w:rPr>
        <w:t>2015</w:t>
      </w:r>
      <w:r>
        <w:rPr>
          <w:color w:val="000000"/>
          <w:sz w:val="24"/>
          <w:szCs w:val="24"/>
        </w:rPr>
        <w:t>年</w:t>
      </w:r>
      <w:r>
        <w:rPr>
          <w:color w:val="000000"/>
          <w:sz w:val="24"/>
          <w:szCs w:val="24"/>
        </w:rPr>
        <w:t>6</w:t>
      </w:r>
      <w:r>
        <w:rPr>
          <w:color w:val="000000"/>
          <w:sz w:val="24"/>
          <w:szCs w:val="24"/>
        </w:rPr>
        <w:t>月</w:t>
      </w:r>
      <w:r>
        <w:rPr>
          <w:color w:val="000000"/>
          <w:sz w:val="24"/>
          <w:szCs w:val="24"/>
        </w:rPr>
        <w:t>27</w:t>
      </w:r>
      <w:r>
        <w:rPr>
          <w:color w:val="000000"/>
          <w:sz w:val="24"/>
          <w:szCs w:val="24"/>
        </w:rPr>
        <w:t>日，基金转型日至报告期期末，本基金转型时间未满一年。本基金的投资转型期为交银施罗德荣安保本混合型证券投资基金保本周期到期选择期截止日次日（即</w:t>
      </w:r>
      <w:r>
        <w:rPr>
          <w:color w:val="000000"/>
          <w:sz w:val="24"/>
          <w:szCs w:val="24"/>
        </w:rPr>
        <w:t>2015</w:t>
      </w:r>
      <w:r>
        <w:rPr>
          <w:color w:val="000000"/>
          <w:sz w:val="24"/>
          <w:szCs w:val="24"/>
        </w:rPr>
        <w:t>年</w:t>
      </w:r>
      <w:r>
        <w:rPr>
          <w:color w:val="000000"/>
          <w:sz w:val="24"/>
          <w:szCs w:val="24"/>
        </w:rPr>
        <w:t>6</w:t>
      </w:r>
      <w:r>
        <w:rPr>
          <w:color w:val="000000"/>
          <w:sz w:val="24"/>
          <w:szCs w:val="24"/>
        </w:rPr>
        <w:t>月</w:t>
      </w:r>
      <w:r>
        <w:rPr>
          <w:color w:val="000000"/>
          <w:sz w:val="24"/>
          <w:szCs w:val="24"/>
        </w:rPr>
        <w:t>27</w:t>
      </w:r>
      <w:r>
        <w:rPr>
          <w:color w:val="000000"/>
          <w:sz w:val="24"/>
          <w:szCs w:val="24"/>
        </w:rPr>
        <w:t>日）起的</w:t>
      </w:r>
      <w:r>
        <w:rPr>
          <w:color w:val="000000"/>
          <w:sz w:val="24"/>
          <w:szCs w:val="24"/>
        </w:rPr>
        <w:t>3</w:t>
      </w:r>
      <w:r>
        <w:rPr>
          <w:color w:val="000000"/>
          <w:sz w:val="24"/>
          <w:szCs w:val="24"/>
        </w:rPr>
        <w:t>个月。截至投资转型期结束，本基金各项资产配置比例符合基金合同及招募说明书有关投资比例的约定。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983954">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F537C1">
        <w:trPr>
          <w:jc w:val="center"/>
        </w:trPr>
        <w:tc>
          <w:tcPr>
            <w:tcW w:w="846" w:type="dxa"/>
            <w:vAlign w:val="center"/>
          </w:tcPr>
          <w:p w:rsidR="00F537C1" w:rsidRDefault="004311A1">
            <w:pPr>
              <w:jc w:val="center"/>
            </w:pPr>
            <w:r>
              <w:rPr>
                <w:color w:val="000000"/>
                <w:sz w:val="24"/>
                <w:szCs w:val="24"/>
              </w:rPr>
              <w:t>项廷锋</w:t>
            </w:r>
          </w:p>
        </w:tc>
        <w:tc>
          <w:tcPr>
            <w:tcW w:w="845" w:type="dxa"/>
            <w:vAlign w:val="center"/>
          </w:tcPr>
          <w:p w:rsidR="00F537C1" w:rsidRDefault="004311A1">
            <w:pPr>
              <w:jc w:val="center"/>
            </w:pPr>
            <w:r>
              <w:rPr>
                <w:color w:val="000000"/>
                <w:sz w:val="24"/>
                <w:szCs w:val="24"/>
              </w:rPr>
              <w:t>交银双利债券、交银策略回报灵活配置混合、交银荣祥保本混合、交银荣泰保本混合、交银周期回报灵活配置混合、交银新回报灵活配置混合、交银荣和保本混合、交银多策略回报灵活配置混合的基金经理，公司投资总监</w:t>
            </w:r>
          </w:p>
        </w:tc>
        <w:tc>
          <w:tcPr>
            <w:tcW w:w="1549" w:type="dxa"/>
            <w:vAlign w:val="center"/>
          </w:tcPr>
          <w:p w:rsidR="00F537C1" w:rsidRDefault="004311A1">
            <w:pPr>
              <w:jc w:val="center"/>
            </w:pPr>
            <w:r>
              <w:rPr>
                <w:color w:val="000000"/>
                <w:sz w:val="24"/>
                <w:szCs w:val="24"/>
              </w:rPr>
              <w:t>2015-06-27</w:t>
            </w:r>
          </w:p>
        </w:tc>
        <w:tc>
          <w:tcPr>
            <w:tcW w:w="1548" w:type="dxa"/>
            <w:vAlign w:val="center"/>
          </w:tcPr>
          <w:p w:rsidR="00F537C1" w:rsidRDefault="004311A1">
            <w:pPr>
              <w:jc w:val="center"/>
            </w:pPr>
            <w:r>
              <w:rPr>
                <w:color w:val="000000"/>
                <w:sz w:val="24"/>
                <w:szCs w:val="24"/>
              </w:rPr>
              <w:t>2015-10-07</w:t>
            </w:r>
          </w:p>
        </w:tc>
        <w:tc>
          <w:tcPr>
            <w:tcW w:w="1407" w:type="dxa"/>
            <w:vAlign w:val="center"/>
          </w:tcPr>
          <w:p w:rsidR="00F537C1" w:rsidRDefault="004311A1">
            <w:pPr>
              <w:jc w:val="center"/>
            </w:pPr>
            <w:r>
              <w:rPr>
                <w:color w:val="000000"/>
                <w:sz w:val="24"/>
                <w:szCs w:val="24"/>
              </w:rPr>
              <w:t>16</w:t>
            </w:r>
            <w:r>
              <w:rPr>
                <w:color w:val="000000"/>
                <w:sz w:val="24"/>
                <w:szCs w:val="24"/>
              </w:rPr>
              <w:t>年</w:t>
            </w:r>
          </w:p>
        </w:tc>
        <w:tc>
          <w:tcPr>
            <w:tcW w:w="2673" w:type="dxa"/>
            <w:vAlign w:val="center"/>
          </w:tcPr>
          <w:p w:rsidR="00F537C1" w:rsidRDefault="004311A1" w:rsidP="005C0C81">
            <w:r>
              <w:rPr>
                <w:color w:val="000000"/>
                <w:sz w:val="24"/>
                <w:szCs w:val="24"/>
              </w:rPr>
              <w:t>项廷锋先生，上海交通大学管理学博士。历任华安基金管理有限公司研究员、固定收益投资经理和基金经理。其中</w:t>
            </w:r>
            <w:r>
              <w:rPr>
                <w:color w:val="000000"/>
                <w:sz w:val="24"/>
                <w:szCs w:val="24"/>
              </w:rPr>
              <w:t>2003</w:t>
            </w:r>
            <w:r>
              <w:rPr>
                <w:color w:val="000000"/>
                <w:sz w:val="24"/>
                <w:szCs w:val="24"/>
              </w:rPr>
              <w:t>年</w:t>
            </w:r>
            <w:r>
              <w:rPr>
                <w:color w:val="000000"/>
                <w:sz w:val="24"/>
                <w:szCs w:val="24"/>
              </w:rPr>
              <w:t>12</w:t>
            </w:r>
            <w:r>
              <w:rPr>
                <w:color w:val="000000"/>
                <w:sz w:val="24"/>
                <w:szCs w:val="24"/>
              </w:rPr>
              <w:t>月至</w:t>
            </w:r>
            <w:r>
              <w:rPr>
                <w:color w:val="000000"/>
                <w:sz w:val="24"/>
                <w:szCs w:val="24"/>
              </w:rPr>
              <w:t>2007</w:t>
            </w:r>
            <w:r>
              <w:rPr>
                <w:color w:val="000000"/>
                <w:sz w:val="24"/>
                <w:szCs w:val="24"/>
              </w:rPr>
              <w:t>年</w:t>
            </w:r>
            <w:r>
              <w:rPr>
                <w:color w:val="000000"/>
                <w:sz w:val="24"/>
                <w:szCs w:val="24"/>
              </w:rPr>
              <w:t>5</w:t>
            </w:r>
            <w:r>
              <w:rPr>
                <w:color w:val="000000"/>
                <w:sz w:val="24"/>
                <w:szCs w:val="24"/>
              </w:rPr>
              <w:t>月担任华安现金富利投资基金基金经理。</w:t>
            </w:r>
            <w:r>
              <w:rPr>
                <w:color w:val="000000"/>
                <w:sz w:val="24"/>
                <w:szCs w:val="24"/>
              </w:rPr>
              <w:t>2007</w:t>
            </w:r>
            <w:r>
              <w:rPr>
                <w:color w:val="000000"/>
                <w:sz w:val="24"/>
                <w:szCs w:val="24"/>
              </w:rPr>
              <w:t>年加入交银施罗德基金管理有限公司，历任固定收益部总经理。</w:t>
            </w:r>
            <w:r w:rsidR="005C0C81" w:rsidRPr="002C41FB">
              <w:rPr>
                <w:color w:val="000000"/>
                <w:sz w:val="24"/>
                <w:szCs w:val="24"/>
              </w:rPr>
              <w:t>2012</w:t>
            </w:r>
            <w:r w:rsidR="005C0C81" w:rsidRPr="002C41FB">
              <w:rPr>
                <w:rFonts w:hint="eastAsia"/>
                <w:color w:val="000000"/>
                <w:sz w:val="24"/>
                <w:szCs w:val="24"/>
              </w:rPr>
              <w:t>年</w:t>
            </w:r>
            <w:r w:rsidR="005C0C81" w:rsidRPr="002C41FB">
              <w:rPr>
                <w:color w:val="000000"/>
                <w:sz w:val="24"/>
                <w:szCs w:val="24"/>
              </w:rPr>
              <w:t>6</w:t>
            </w:r>
            <w:r w:rsidR="005C0C81" w:rsidRPr="002C41FB">
              <w:rPr>
                <w:rFonts w:hint="eastAsia"/>
                <w:color w:val="000000"/>
                <w:sz w:val="24"/>
                <w:szCs w:val="24"/>
              </w:rPr>
              <w:t>月</w:t>
            </w:r>
            <w:r w:rsidR="005C0C81" w:rsidRPr="002C41FB">
              <w:rPr>
                <w:color w:val="000000"/>
                <w:sz w:val="24"/>
                <w:szCs w:val="24"/>
              </w:rPr>
              <w:t>20</w:t>
            </w:r>
            <w:r w:rsidR="005C0C81" w:rsidRPr="002C41FB">
              <w:rPr>
                <w:rFonts w:hint="eastAsia"/>
                <w:color w:val="000000"/>
                <w:sz w:val="24"/>
                <w:szCs w:val="24"/>
              </w:rPr>
              <w:t>日至</w:t>
            </w:r>
            <w:r w:rsidR="005C0C81" w:rsidRPr="002C41FB">
              <w:rPr>
                <w:color w:val="000000"/>
                <w:sz w:val="24"/>
                <w:szCs w:val="24"/>
              </w:rPr>
              <w:t>2015</w:t>
            </w:r>
            <w:r w:rsidR="005C0C81" w:rsidRPr="002C41FB">
              <w:rPr>
                <w:rFonts w:hint="eastAsia"/>
                <w:color w:val="000000"/>
                <w:sz w:val="24"/>
                <w:szCs w:val="24"/>
              </w:rPr>
              <w:t>年</w:t>
            </w:r>
            <w:r w:rsidR="005C0C81" w:rsidRPr="002C41FB">
              <w:rPr>
                <w:color w:val="000000"/>
                <w:sz w:val="24"/>
                <w:szCs w:val="24"/>
              </w:rPr>
              <w:t>6</w:t>
            </w:r>
            <w:r w:rsidR="005C0C81" w:rsidRPr="002C41FB">
              <w:rPr>
                <w:rFonts w:hint="eastAsia"/>
                <w:color w:val="000000"/>
                <w:sz w:val="24"/>
                <w:szCs w:val="24"/>
              </w:rPr>
              <w:t>月</w:t>
            </w:r>
            <w:r w:rsidR="005C0C81" w:rsidRPr="002C41FB">
              <w:rPr>
                <w:color w:val="000000"/>
                <w:sz w:val="24"/>
                <w:szCs w:val="24"/>
              </w:rPr>
              <w:t>26</w:t>
            </w:r>
            <w:r w:rsidR="005C0C81" w:rsidRPr="002C41FB">
              <w:rPr>
                <w:rFonts w:hint="eastAsia"/>
                <w:color w:val="000000"/>
                <w:sz w:val="24"/>
                <w:szCs w:val="24"/>
              </w:rPr>
              <w:t>日担任已转型的交银施罗德荣安保本混合型证券投资基金基金经理、</w:t>
            </w:r>
            <w:r w:rsidR="005C0C81" w:rsidRPr="002C41FB">
              <w:rPr>
                <w:color w:val="000000"/>
                <w:sz w:val="24"/>
                <w:szCs w:val="24"/>
              </w:rPr>
              <w:t>2013</w:t>
            </w:r>
            <w:r w:rsidR="005C0C81" w:rsidRPr="002C41FB">
              <w:rPr>
                <w:rFonts w:hint="eastAsia"/>
                <w:color w:val="000000"/>
                <w:sz w:val="24"/>
                <w:szCs w:val="24"/>
              </w:rPr>
              <w:t>年</w:t>
            </w:r>
            <w:r w:rsidR="005C0C81" w:rsidRPr="002C41FB">
              <w:rPr>
                <w:color w:val="000000"/>
                <w:sz w:val="24"/>
                <w:szCs w:val="24"/>
              </w:rPr>
              <w:t>9</w:t>
            </w:r>
            <w:r w:rsidR="005C0C81" w:rsidRPr="002C41FB">
              <w:rPr>
                <w:rFonts w:hint="eastAsia"/>
                <w:color w:val="000000"/>
                <w:sz w:val="24"/>
                <w:szCs w:val="24"/>
              </w:rPr>
              <w:t>月</w:t>
            </w:r>
            <w:r w:rsidR="005C0C81" w:rsidRPr="002C41FB">
              <w:rPr>
                <w:color w:val="000000"/>
                <w:sz w:val="24"/>
                <w:szCs w:val="24"/>
              </w:rPr>
              <w:t>4</w:t>
            </w:r>
            <w:r w:rsidR="005C0C81" w:rsidRPr="002C41FB">
              <w:rPr>
                <w:rFonts w:hint="eastAsia"/>
                <w:color w:val="000000"/>
                <w:sz w:val="24"/>
                <w:szCs w:val="24"/>
              </w:rPr>
              <w:t>日至</w:t>
            </w:r>
            <w:r w:rsidR="005C0C81" w:rsidRPr="002C41FB">
              <w:rPr>
                <w:color w:val="000000"/>
                <w:sz w:val="24"/>
                <w:szCs w:val="24"/>
              </w:rPr>
              <w:t>2014</w:t>
            </w:r>
            <w:r w:rsidR="005C0C81" w:rsidRPr="002C41FB">
              <w:rPr>
                <w:rFonts w:hint="eastAsia"/>
                <w:color w:val="000000"/>
                <w:sz w:val="24"/>
                <w:szCs w:val="24"/>
              </w:rPr>
              <w:t>年</w:t>
            </w:r>
            <w:r w:rsidR="005C0C81" w:rsidRPr="002C41FB">
              <w:rPr>
                <w:color w:val="000000"/>
                <w:sz w:val="24"/>
                <w:szCs w:val="24"/>
              </w:rPr>
              <w:t>12</w:t>
            </w:r>
            <w:r w:rsidR="005C0C81" w:rsidRPr="002C41FB">
              <w:rPr>
                <w:rFonts w:hint="eastAsia"/>
                <w:color w:val="000000"/>
                <w:sz w:val="24"/>
                <w:szCs w:val="24"/>
              </w:rPr>
              <w:t>月</w:t>
            </w:r>
            <w:r w:rsidR="005C0C81" w:rsidRPr="002C41FB">
              <w:rPr>
                <w:color w:val="000000"/>
                <w:sz w:val="24"/>
                <w:szCs w:val="24"/>
              </w:rPr>
              <w:t>18</w:t>
            </w:r>
            <w:r w:rsidR="005C0C81" w:rsidRPr="002C41FB">
              <w:rPr>
                <w:rFonts w:hint="eastAsia"/>
                <w:color w:val="000000"/>
                <w:sz w:val="24"/>
                <w:szCs w:val="24"/>
              </w:rPr>
              <w:t>日担任交银施罗德定期支付双息平衡混合型证券投资基金基金经理、</w:t>
            </w:r>
            <w:r w:rsidR="005C0C81" w:rsidRPr="002C41FB">
              <w:rPr>
                <w:color w:val="000000"/>
                <w:sz w:val="24"/>
                <w:szCs w:val="24"/>
              </w:rPr>
              <w:t>2013</w:t>
            </w:r>
            <w:r w:rsidR="005C0C81" w:rsidRPr="002C41FB">
              <w:rPr>
                <w:rFonts w:hint="eastAsia"/>
                <w:color w:val="000000"/>
                <w:sz w:val="24"/>
                <w:szCs w:val="24"/>
              </w:rPr>
              <w:t>年</w:t>
            </w:r>
            <w:r w:rsidR="005C0C81" w:rsidRPr="002C41FB">
              <w:rPr>
                <w:color w:val="000000"/>
                <w:sz w:val="24"/>
                <w:szCs w:val="24"/>
              </w:rPr>
              <w:t>4</w:t>
            </w:r>
            <w:r w:rsidR="005C0C81" w:rsidRPr="002C41FB">
              <w:rPr>
                <w:rFonts w:hint="eastAsia"/>
                <w:color w:val="000000"/>
                <w:sz w:val="24"/>
                <w:szCs w:val="24"/>
              </w:rPr>
              <w:t>月</w:t>
            </w:r>
            <w:r w:rsidR="005C0C81" w:rsidRPr="002C41FB">
              <w:rPr>
                <w:color w:val="000000"/>
                <w:sz w:val="24"/>
                <w:szCs w:val="24"/>
              </w:rPr>
              <w:t>24</w:t>
            </w:r>
            <w:r w:rsidR="005C0C81" w:rsidRPr="002C41FB">
              <w:rPr>
                <w:rFonts w:hint="eastAsia"/>
                <w:color w:val="000000"/>
                <w:sz w:val="24"/>
                <w:szCs w:val="24"/>
              </w:rPr>
              <w:t>日至</w:t>
            </w:r>
            <w:r w:rsidR="005C0C81" w:rsidRPr="002C41FB">
              <w:rPr>
                <w:color w:val="000000"/>
                <w:sz w:val="24"/>
                <w:szCs w:val="24"/>
              </w:rPr>
              <w:t>2015</w:t>
            </w:r>
            <w:r w:rsidR="005C0C81" w:rsidRPr="002C41FB">
              <w:rPr>
                <w:rFonts w:hint="eastAsia"/>
                <w:color w:val="000000"/>
                <w:sz w:val="24"/>
                <w:szCs w:val="24"/>
              </w:rPr>
              <w:t>年</w:t>
            </w:r>
            <w:r w:rsidR="005C0C81" w:rsidRPr="002C41FB">
              <w:rPr>
                <w:color w:val="000000"/>
                <w:sz w:val="24"/>
                <w:szCs w:val="24"/>
              </w:rPr>
              <w:t>10</w:t>
            </w:r>
            <w:r w:rsidR="005C0C81" w:rsidRPr="002C41FB">
              <w:rPr>
                <w:rFonts w:hint="eastAsia"/>
                <w:color w:val="000000"/>
                <w:sz w:val="24"/>
                <w:szCs w:val="24"/>
              </w:rPr>
              <w:t>月</w:t>
            </w:r>
            <w:r w:rsidR="005C0C81" w:rsidRPr="002C41FB">
              <w:rPr>
                <w:color w:val="000000"/>
                <w:sz w:val="24"/>
                <w:szCs w:val="24"/>
              </w:rPr>
              <w:t>6</w:t>
            </w:r>
            <w:r w:rsidR="005C0C81" w:rsidRPr="002C41FB">
              <w:rPr>
                <w:rFonts w:hint="eastAsia"/>
                <w:color w:val="000000"/>
                <w:sz w:val="24"/>
                <w:szCs w:val="24"/>
              </w:rPr>
              <w:t>日担任交银施罗德荣祥保本混合型证券投资基金基金经理、</w:t>
            </w:r>
            <w:r w:rsidR="005C0C81" w:rsidRPr="002C41FB">
              <w:rPr>
                <w:color w:val="000000"/>
                <w:sz w:val="24"/>
                <w:szCs w:val="24"/>
              </w:rPr>
              <w:t>2013</w:t>
            </w:r>
            <w:r w:rsidR="005C0C81" w:rsidRPr="002C41FB">
              <w:rPr>
                <w:rFonts w:hint="eastAsia"/>
                <w:color w:val="000000"/>
                <w:sz w:val="24"/>
                <w:szCs w:val="24"/>
              </w:rPr>
              <w:t>年</w:t>
            </w:r>
            <w:r w:rsidR="005C0C81" w:rsidRPr="002C41FB">
              <w:rPr>
                <w:color w:val="000000"/>
                <w:sz w:val="24"/>
                <w:szCs w:val="24"/>
              </w:rPr>
              <w:t>12</w:t>
            </w:r>
            <w:r w:rsidR="005C0C81" w:rsidRPr="002C41FB">
              <w:rPr>
                <w:rFonts w:hint="eastAsia"/>
                <w:color w:val="000000"/>
                <w:sz w:val="24"/>
                <w:szCs w:val="24"/>
              </w:rPr>
              <w:t>月</w:t>
            </w:r>
            <w:r w:rsidR="005C0C81" w:rsidRPr="002C41FB">
              <w:rPr>
                <w:color w:val="000000"/>
                <w:sz w:val="24"/>
                <w:szCs w:val="24"/>
              </w:rPr>
              <w:t>25</w:t>
            </w:r>
            <w:r w:rsidR="005C0C81" w:rsidRPr="002C41FB">
              <w:rPr>
                <w:rFonts w:hint="eastAsia"/>
                <w:color w:val="000000"/>
                <w:sz w:val="24"/>
                <w:szCs w:val="24"/>
              </w:rPr>
              <w:t>日至</w:t>
            </w:r>
            <w:r w:rsidR="005C0C81" w:rsidRPr="002C41FB">
              <w:rPr>
                <w:color w:val="000000"/>
                <w:sz w:val="24"/>
                <w:szCs w:val="24"/>
              </w:rPr>
              <w:t>2015</w:t>
            </w:r>
            <w:r w:rsidR="005C0C81" w:rsidRPr="002C41FB">
              <w:rPr>
                <w:rFonts w:hint="eastAsia"/>
                <w:color w:val="000000"/>
                <w:sz w:val="24"/>
                <w:szCs w:val="24"/>
              </w:rPr>
              <w:t>年</w:t>
            </w:r>
            <w:r w:rsidR="005C0C81" w:rsidRPr="002C41FB">
              <w:rPr>
                <w:color w:val="000000"/>
                <w:sz w:val="24"/>
                <w:szCs w:val="24"/>
              </w:rPr>
              <w:t>10</w:t>
            </w:r>
            <w:r w:rsidR="005C0C81" w:rsidRPr="002C41FB">
              <w:rPr>
                <w:rFonts w:hint="eastAsia"/>
                <w:color w:val="000000"/>
                <w:sz w:val="24"/>
                <w:szCs w:val="24"/>
              </w:rPr>
              <w:t>月</w:t>
            </w:r>
            <w:r w:rsidR="005C0C81" w:rsidRPr="002C41FB">
              <w:rPr>
                <w:color w:val="000000"/>
                <w:sz w:val="24"/>
                <w:szCs w:val="24"/>
              </w:rPr>
              <w:t>6</w:t>
            </w:r>
            <w:r w:rsidR="005C0C81" w:rsidRPr="002C41FB">
              <w:rPr>
                <w:rFonts w:hint="eastAsia"/>
                <w:color w:val="000000"/>
                <w:sz w:val="24"/>
                <w:szCs w:val="24"/>
              </w:rPr>
              <w:t>日担任交银施罗德荣泰保本混合型证券投资基金基金经理、</w:t>
            </w:r>
            <w:r w:rsidR="005C0C81" w:rsidRPr="002C41FB">
              <w:rPr>
                <w:color w:val="000000"/>
                <w:sz w:val="24"/>
                <w:szCs w:val="24"/>
              </w:rPr>
              <w:t>2014</w:t>
            </w:r>
            <w:r w:rsidR="005C0C81" w:rsidRPr="002C41FB">
              <w:rPr>
                <w:rFonts w:hint="eastAsia"/>
                <w:color w:val="000000"/>
                <w:sz w:val="24"/>
                <w:szCs w:val="24"/>
              </w:rPr>
              <w:t>年</w:t>
            </w:r>
            <w:r w:rsidR="005C0C81" w:rsidRPr="002C41FB">
              <w:rPr>
                <w:color w:val="000000"/>
                <w:sz w:val="24"/>
                <w:szCs w:val="24"/>
              </w:rPr>
              <w:t>6</w:t>
            </w:r>
            <w:r w:rsidR="005C0C81" w:rsidRPr="002C41FB">
              <w:rPr>
                <w:rFonts w:hint="eastAsia"/>
                <w:color w:val="000000"/>
                <w:sz w:val="24"/>
                <w:szCs w:val="24"/>
              </w:rPr>
              <w:t>月</w:t>
            </w:r>
            <w:r w:rsidR="005C0C81" w:rsidRPr="002C41FB">
              <w:rPr>
                <w:color w:val="000000"/>
                <w:sz w:val="24"/>
                <w:szCs w:val="24"/>
              </w:rPr>
              <w:t>3</w:t>
            </w:r>
            <w:r w:rsidR="005C0C81" w:rsidRPr="002C41FB">
              <w:rPr>
                <w:rFonts w:hint="eastAsia"/>
                <w:color w:val="000000"/>
                <w:sz w:val="24"/>
                <w:szCs w:val="24"/>
              </w:rPr>
              <w:t>日至</w:t>
            </w:r>
            <w:r w:rsidR="005C0C81" w:rsidRPr="002C41FB">
              <w:rPr>
                <w:color w:val="000000"/>
                <w:sz w:val="24"/>
                <w:szCs w:val="24"/>
              </w:rPr>
              <w:t>2015</w:t>
            </w:r>
            <w:r w:rsidR="005C0C81" w:rsidRPr="002C41FB">
              <w:rPr>
                <w:rFonts w:hint="eastAsia"/>
                <w:color w:val="000000"/>
                <w:sz w:val="24"/>
                <w:szCs w:val="24"/>
              </w:rPr>
              <w:t>年</w:t>
            </w:r>
            <w:r w:rsidR="005C0C81" w:rsidRPr="002C41FB">
              <w:rPr>
                <w:color w:val="000000"/>
                <w:sz w:val="24"/>
                <w:szCs w:val="24"/>
              </w:rPr>
              <w:t>10</w:t>
            </w:r>
            <w:r w:rsidR="005C0C81" w:rsidRPr="002C41FB">
              <w:rPr>
                <w:rFonts w:hint="eastAsia"/>
                <w:color w:val="000000"/>
                <w:sz w:val="24"/>
                <w:szCs w:val="24"/>
              </w:rPr>
              <w:t>月</w:t>
            </w:r>
            <w:r w:rsidR="005C0C81" w:rsidRPr="002C41FB">
              <w:rPr>
                <w:color w:val="000000"/>
                <w:sz w:val="24"/>
                <w:szCs w:val="24"/>
              </w:rPr>
              <w:t>6</w:t>
            </w:r>
            <w:r w:rsidR="005C0C81" w:rsidRPr="002C41FB">
              <w:rPr>
                <w:rFonts w:hint="eastAsia"/>
                <w:color w:val="000000"/>
                <w:sz w:val="24"/>
                <w:szCs w:val="24"/>
              </w:rPr>
              <w:t>日担任交银施罗德周期回报灵活配置混合型证券投资基金基金经理、</w:t>
            </w:r>
            <w:r w:rsidR="005C0C81" w:rsidRPr="002C41FB">
              <w:rPr>
                <w:color w:val="000000"/>
                <w:sz w:val="24"/>
                <w:szCs w:val="24"/>
              </w:rPr>
              <w:t>2014</w:t>
            </w:r>
            <w:r w:rsidR="005C0C81" w:rsidRPr="002C41FB">
              <w:rPr>
                <w:rFonts w:hint="eastAsia"/>
                <w:color w:val="000000"/>
                <w:sz w:val="24"/>
                <w:szCs w:val="24"/>
              </w:rPr>
              <w:t>年</w:t>
            </w:r>
            <w:r w:rsidR="005C0C81" w:rsidRPr="002C41FB">
              <w:rPr>
                <w:color w:val="000000"/>
                <w:sz w:val="24"/>
                <w:szCs w:val="24"/>
              </w:rPr>
              <w:t>8</w:t>
            </w:r>
            <w:r w:rsidR="005C0C81" w:rsidRPr="002C41FB">
              <w:rPr>
                <w:rFonts w:hint="eastAsia"/>
                <w:color w:val="000000"/>
                <w:sz w:val="24"/>
                <w:szCs w:val="24"/>
              </w:rPr>
              <w:t>月</w:t>
            </w:r>
            <w:r w:rsidR="005C0C81" w:rsidRPr="002C41FB">
              <w:rPr>
                <w:color w:val="000000"/>
                <w:sz w:val="24"/>
                <w:szCs w:val="24"/>
              </w:rPr>
              <w:t>4</w:t>
            </w:r>
            <w:r w:rsidR="005C0C81" w:rsidRPr="002C41FB">
              <w:rPr>
                <w:rFonts w:hint="eastAsia"/>
                <w:color w:val="000000"/>
                <w:sz w:val="24"/>
                <w:szCs w:val="24"/>
              </w:rPr>
              <w:t>日至</w:t>
            </w:r>
            <w:r w:rsidR="005C0C81" w:rsidRPr="002C41FB">
              <w:rPr>
                <w:color w:val="000000"/>
                <w:sz w:val="24"/>
                <w:szCs w:val="24"/>
              </w:rPr>
              <w:t>2015</w:t>
            </w:r>
            <w:r w:rsidR="005C0C81" w:rsidRPr="002C41FB">
              <w:rPr>
                <w:rFonts w:hint="eastAsia"/>
                <w:color w:val="000000"/>
                <w:sz w:val="24"/>
                <w:szCs w:val="24"/>
              </w:rPr>
              <w:t>年</w:t>
            </w:r>
            <w:r w:rsidR="005C0C81" w:rsidRPr="002C41FB">
              <w:rPr>
                <w:color w:val="000000"/>
                <w:sz w:val="24"/>
                <w:szCs w:val="24"/>
              </w:rPr>
              <w:t>10</w:t>
            </w:r>
            <w:r w:rsidR="005C0C81" w:rsidRPr="002C41FB">
              <w:rPr>
                <w:rFonts w:hint="eastAsia"/>
                <w:color w:val="000000"/>
                <w:sz w:val="24"/>
                <w:szCs w:val="24"/>
              </w:rPr>
              <w:t>月</w:t>
            </w:r>
            <w:r w:rsidR="005C0C81" w:rsidRPr="002C41FB">
              <w:rPr>
                <w:color w:val="000000"/>
                <w:sz w:val="24"/>
                <w:szCs w:val="24"/>
              </w:rPr>
              <w:t>6</w:t>
            </w:r>
            <w:r w:rsidR="005C0C81" w:rsidRPr="002C41FB">
              <w:rPr>
                <w:rFonts w:hint="eastAsia"/>
                <w:color w:val="000000"/>
                <w:sz w:val="24"/>
                <w:szCs w:val="24"/>
              </w:rPr>
              <w:t>日担任交银施罗德双利债券证券投资基金基金经理、</w:t>
            </w:r>
            <w:r w:rsidR="005C0C81" w:rsidRPr="002C41FB">
              <w:rPr>
                <w:color w:val="000000"/>
                <w:sz w:val="24"/>
                <w:szCs w:val="24"/>
              </w:rPr>
              <w:t>2015</w:t>
            </w:r>
            <w:r w:rsidR="005C0C81" w:rsidRPr="002C41FB">
              <w:rPr>
                <w:rFonts w:hint="eastAsia"/>
                <w:color w:val="000000"/>
                <w:sz w:val="24"/>
                <w:szCs w:val="24"/>
              </w:rPr>
              <w:t>年</w:t>
            </w:r>
            <w:r w:rsidR="005C0C81" w:rsidRPr="002C41FB">
              <w:rPr>
                <w:color w:val="000000"/>
                <w:sz w:val="24"/>
                <w:szCs w:val="24"/>
              </w:rPr>
              <w:t>5</w:t>
            </w:r>
            <w:r w:rsidR="005C0C81" w:rsidRPr="002C41FB">
              <w:rPr>
                <w:rFonts w:hint="eastAsia"/>
                <w:color w:val="000000"/>
                <w:sz w:val="24"/>
                <w:szCs w:val="24"/>
              </w:rPr>
              <w:t>月</w:t>
            </w:r>
            <w:r w:rsidR="005C0C81" w:rsidRPr="002C41FB">
              <w:rPr>
                <w:color w:val="000000"/>
                <w:sz w:val="24"/>
                <w:szCs w:val="24"/>
              </w:rPr>
              <w:t>15</w:t>
            </w:r>
            <w:r w:rsidR="005C0C81" w:rsidRPr="002C41FB">
              <w:rPr>
                <w:rFonts w:hint="eastAsia"/>
                <w:color w:val="000000"/>
                <w:sz w:val="24"/>
                <w:szCs w:val="24"/>
              </w:rPr>
              <w:t>日至</w:t>
            </w:r>
            <w:r w:rsidR="005C0C81" w:rsidRPr="002C41FB">
              <w:rPr>
                <w:color w:val="000000"/>
                <w:sz w:val="24"/>
                <w:szCs w:val="24"/>
              </w:rPr>
              <w:t>2015</w:t>
            </w:r>
            <w:r w:rsidR="005C0C81" w:rsidRPr="002C41FB">
              <w:rPr>
                <w:rFonts w:hint="eastAsia"/>
                <w:color w:val="000000"/>
                <w:sz w:val="24"/>
                <w:szCs w:val="24"/>
              </w:rPr>
              <w:t>年</w:t>
            </w:r>
            <w:r w:rsidR="005C0C81" w:rsidRPr="002C41FB">
              <w:rPr>
                <w:color w:val="000000"/>
                <w:sz w:val="24"/>
                <w:szCs w:val="24"/>
              </w:rPr>
              <w:t>10</w:t>
            </w:r>
            <w:r w:rsidR="005C0C81" w:rsidRPr="002C41FB">
              <w:rPr>
                <w:rFonts w:hint="eastAsia"/>
                <w:color w:val="000000"/>
                <w:sz w:val="24"/>
                <w:szCs w:val="24"/>
              </w:rPr>
              <w:t>月</w:t>
            </w:r>
            <w:r w:rsidR="005C0C81" w:rsidRPr="002C41FB">
              <w:rPr>
                <w:color w:val="000000"/>
                <w:sz w:val="24"/>
                <w:szCs w:val="24"/>
              </w:rPr>
              <w:t>6</w:t>
            </w:r>
            <w:r w:rsidR="005C0C81" w:rsidRPr="002C41FB">
              <w:rPr>
                <w:rFonts w:hint="eastAsia"/>
                <w:color w:val="000000"/>
                <w:sz w:val="24"/>
                <w:szCs w:val="24"/>
              </w:rPr>
              <w:t>日担任交银施罗德新回报灵活配置混合型证券投资基金基金经理、</w:t>
            </w:r>
            <w:r w:rsidR="005C0C81" w:rsidRPr="002C41FB">
              <w:rPr>
                <w:color w:val="000000"/>
                <w:sz w:val="24"/>
                <w:szCs w:val="24"/>
              </w:rPr>
              <w:t>2015</w:t>
            </w:r>
            <w:r w:rsidR="005C0C81" w:rsidRPr="002C41FB">
              <w:rPr>
                <w:rFonts w:hint="eastAsia"/>
                <w:color w:val="000000"/>
                <w:sz w:val="24"/>
                <w:szCs w:val="24"/>
              </w:rPr>
              <w:t>年</w:t>
            </w:r>
            <w:r w:rsidR="005C0C81" w:rsidRPr="002C41FB">
              <w:rPr>
                <w:color w:val="000000"/>
                <w:sz w:val="24"/>
                <w:szCs w:val="24"/>
              </w:rPr>
              <w:t>5</w:t>
            </w:r>
            <w:r w:rsidR="005C0C81" w:rsidRPr="002C41FB">
              <w:rPr>
                <w:rFonts w:hint="eastAsia"/>
                <w:color w:val="000000"/>
                <w:sz w:val="24"/>
                <w:szCs w:val="24"/>
              </w:rPr>
              <w:t>月</w:t>
            </w:r>
            <w:r w:rsidR="005C0C81" w:rsidRPr="002C41FB">
              <w:rPr>
                <w:color w:val="000000"/>
                <w:sz w:val="24"/>
                <w:szCs w:val="24"/>
              </w:rPr>
              <w:t>29</w:t>
            </w:r>
            <w:r w:rsidR="005C0C81" w:rsidRPr="002C41FB">
              <w:rPr>
                <w:rFonts w:hint="eastAsia"/>
                <w:color w:val="000000"/>
                <w:sz w:val="24"/>
                <w:szCs w:val="24"/>
              </w:rPr>
              <w:t>日至</w:t>
            </w:r>
            <w:r w:rsidR="005C0C81" w:rsidRPr="002C41FB">
              <w:rPr>
                <w:color w:val="000000"/>
                <w:sz w:val="24"/>
                <w:szCs w:val="24"/>
              </w:rPr>
              <w:t>2015</w:t>
            </w:r>
            <w:r w:rsidR="005C0C81" w:rsidRPr="002C41FB">
              <w:rPr>
                <w:rFonts w:hint="eastAsia"/>
                <w:color w:val="000000"/>
                <w:sz w:val="24"/>
                <w:szCs w:val="24"/>
              </w:rPr>
              <w:t>年</w:t>
            </w:r>
            <w:r w:rsidR="005C0C81" w:rsidRPr="002C41FB">
              <w:rPr>
                <w:color w:val="000000"/>
                <w:sz w:val="24"/>
                <w:szCs w:val="24"/>
              </w:rPr>
              <w:t>10</w:t>
            </w:r>
            <w:r w:rsidR="005C0C81" w:rsidRPr="002C41FB">
              <w:rPr>
                <w:rFonts w:hint="eastAsia"/>
                <w:color w:val="000000"/>
                <w:sz w:val="24"/>
                <w:szCs w:val="24"/>
              </w:rPr>
              <w:t>月</w:t>
            </w:r>
            <w:r w:rsidR="005C0C81" w:rsidRPr="002C41FB">
              <w:rPr>
                <w:color w:val="000000"/>
                <w:sz w:val="24"/>
                <w:szCs w:val="24"/>
              </w:rPr>
              <w:t>6</w:t>
            </w:r>
            <w:r w:rsidR="005C0C81" w:rsidRPr="002C41FB">
              <w:rPr>
                <w:rFonts w:hint="eastAsia"/>
                <w:color w:val="000000"/>
                <w:sz w:val="24"/>
                <w:szCs w:val="24"/>
              </w:rPr>
              <w:t>日担任交银施罗德荣和保本混合型证券投资基金基金经理、</w:t>
            </w:r>
            <w:r w:rsidR="005C0C81" w:rsidRPr="002C41FB">
              <w:rPr>
                <w:color w:val="000000"/>
                <w:sz w:val="24"/>
                <w:szCs w:val="24"/>
              </w:rPr>
              <w:t>2015</w:t>
            </w:r>
            <w:r w:rsidR="005C0C81" w:rsidRPr="002C41FB">
              <w:rPr>
                <w:rFonts w:hint="eastAsia"/>
                <w:color w:val="000000"/>
                <w:sz w:val="24"/>
                <w:szCs w:val="24"/>
              </w:rPr>
              <w:t>年</w:t>
            </w:r>
            <w:r w:rsidR="005C0C81" w:rsidRPr="002C41FB">
              <w:rPr>
                <w:color w:val="000000"/>
                <w:sz w:val="24"/>
                <w:szCs w:val="24"/>
              </w:rPr>
              <w:t>6</w:t>
            </w:r>
            <w:r w:rsidR="005C0C81" w:rsidRPr="002C41FB">
              <w:rPr>
                <w:rFonts w:hint="eastAsia"/>
                <w:color w:val="000000"/>
                <w:sz w:val="24"/>
                <w:szCs w:val="24"/>
              </w:rPr>
              <w:t>月</w:t>
            </w:r>
            <w:r w:rsidR="005C0C81" w:rsidRPr="002C41FB">
              <w:rPr>
                <w:color w:val="000000"/>
                <w:sz w:val="24"/>
                <w:szCs w:val="24"/>
              </w:rPr>
              <w:t>2</w:t>
            </w:r>
            <w:r w:rsidR="005C0C81" w:rsidRPr="002C41FB">
              <w:rPr>
                <w:rFonts w:hint="eastAsia"/>
                <w:color w:val="000000"/>
                <w:sz w:val="24"/>
                <w:szCs w:val="24"/>
              </w:rPr>
              <w:t>日至</w:t>
            </w:r>
            <w:r w:rsidR="005C0C81" w:rsidRPr="002C41FB">
              <w:rPr>
                <w:color w:val="000000"/>
                <w:sz w:val="24"/>
                <w:szCs w:val="24"/>
              </w:rPr>
              <w:t>2015</w:t>
            </w:r>
            <w:r w:rsidR="005C0C81" w:rsidRPr="002C41FB">
              <w:rPr>
                <w:rFonts w:hint="eastAsia"/>
                <w:color w:val="000000"/>
                <w:sz w:val="24"/>
                <w:szCs w:val="24"/>
              </w:rPr>
              <w:t>年</w:t>
            </w:r>
            <w:r w:rsidR="005C0C81" w:rsidRPr="002C41FB">
              <w:rPr>
                <w:color w:val="000000"/>
                <w:sz w:val="24"/>
                <w:szCs w:val="24"/>
              </w:rPr>
              <w:t>10</w:t>
            </w:r>
            <w:r w:rsidR="005C0C81" w:rsidRPr="002C41FB">
              <w:rPr>
                <w:rFonts w:hint="eastAsia"/>
                <w:color w:val="000000"/>
                <w:sz w:val="24"/>
                <w:szCs w:val="24"/>
              </w:rPr>
              <w:t>月</w:t>
            </w:r>
            <w:r w:rsidR="005C0C81" w:rsidRPr="002C41FB">
              <w:rPr>
                <w:color w:val="000000"/>
                <w:sz w:val="24"/>
                <w:szCs w:val="24"/>
              </w:rPr>
              <w:t>6</w:t>
            </w:r>
            <w:r w:rsidR="005C0C81" w:rsidRPr="002C41FB">
              <w:rPr>
                <w:rFonts w:hint="eastAsia"/>
                <w:color w:val="000000"/>
                <w:sz w:val="24"/>
                <w:szCs w:val="24"/>
              </w:rPr>
              <w:t>日担任交银施罗德多策略回报灵活配置混合型证券投资基金的基金经理、</w:t>
            </w:r>
            <w:r w:rsidR="005C0C81" w:rsidRPr="002C41FB">
              <w:rPr>
                <w:color w:val="000000"/>
                <w:sz w:val="24"/>
                <w:szCs w:val="24"/>
              </w:rPr>
              <w:t>2015</w:t>
            </w:r>
            <w:r w:rsidR="005C0C81" w:rsidRPr="002C41FB">
              <w:rPr>
                <w:rFonts w:hint="eastAsia"/>
                <w:color w:val="000000"/>
                <w:sz w:val="24"/>
                <w:szCs w:val="24"/>
              </w:rPr>
              <w:t>年</w:t>
            </w:r>
            <w:r w:rsidR="005C0C81" w:rsidRPr="002C41FB">
              <w:rPr>
                <w:color w:val="000000"/>
                <w:sz w:val="24"/>
                <w:szCs w:val="24"/>
              </w:rPr>
              <w:t>6</w:t>
            </w:r>
            <w:r w:rsidR="005C0C81" w:rsidRPr="002C41FB">
              <w:rPr>
                <w:rFonts w:hint="eastAsia"/>
                <w:color w:val="000000"/>
                <w:sz w:val="24"/>
                <w:szCs w:val="24"/>
              </w:rPr>
              <w:t>月</w:t>
            </w:r>
            <w:r w:rsidR="005C0C81" w:rsidRPr="002C41FB">
              <w:rPr>
                <w:color w:val="000000"/>
                <w:sz w:val="24"/>
                <w:szCs w:val="24"/>
              </w:rPr>
              <w:t>27</w:t>
            </w:r>
            <w:r w:rsidR="005C0C81" w:rsidRPr="002C41FB">
              <w:rPr>
                <w:rFonts w:hint="eastAsia"/>
                <w:color w:val="000000"/>
                <w:sz w:val="24"/>
                <w:szCs w:val="24"/>
              </w:rPr>
              <w:t>日至</w:t>
            </w:r>
            <w:r w:rsidR="005C0C81" w:rsidRPr="002C41FB">
              <w:rPr>
                <w:color w:val="000000"/>
                <w:sz w:val="24"/>
                <w:szCs w:val="24"/>
              </w:rPr>
              <w:t>2015</w:t>
            </w:r>
            <w:r w:rsidR="005C0C81" w:rsidRPr="002C41FB">
              <w:rPr>
                <w:rFonts w:hint="eastAsia"/>
                <w:color w:val="000000"/>
                <w:sz w:val="24"/>
                <w:szCs w:val="24"/>
              </w:rPr>
              <w:t>年</w:t>
            </w:r>
            <w:r w:rsidR="005C0C81" w:rsidRPr="002C41FB">
              <w:rPr>
                <w:color w:val="000000"/>
                <w:sz w:val="24"/>
                <w:szCs w:val="24"/>
              </w:rPr>
              <w:t>10</w:t>
            </w:r>
            <w:r w:rsidR="005C0C81" w:rsidRPr="002C41FB">
              <w:rPr>
                <w:rFonts w:hint="eastAsia"/>
                <w:color w:val="000000"/>
                <w:sz w:val="24"/>
                <w:szCs w:val="24"/>
              </w:rPr>
              <w:t>月</w:t>
            </w:r>
            <w:r w:rsidR="005C0C81" w:rsidRPr="002C41FB">
              <w:rPr>
                <w:color w:val="000000"/>
                <w:sz w:val="24"/>
                <w:szCs w:val="24"/>
              </w:rPr>
              <w:t>6</w:t>
            </w:r>
            <w:r w:rsidR="005C0C81" w:rsidRPr="002C41FB">
              <w:rPr>
                <w:rFonts w:hint="eastAsia"/>
                <w:color w:val="000000"/>
                <w:sz w:val="24"/>
                <w:szCs w:val="24"/>
              </w:rPr>
              <w:t>日担任交银施罗德策略回报灵活配置混合型证券投资基金基金经理。</w:t>
            </w:r>
          </w:p>
        </w:tc>
      </w:tr>
      <w:tr w:rsidR="00F537C1">
        <w:trPr>
          <w:jc w:val="center"/>
        </w:trPr>
        <w:tc>
          <w:tcPr>
            <w:tcW w:w="846" w:type="dxa"/>
            <w:vAlign w:val="center"/>
          </w:tcPr>
          <w:p w:rsidR="00F537C1" w:rsidRDefault="004311A1">
            <w:pPr>
              <w:jc w:val="center"/>
            </w:pPr>
            <w:r>
              <w:rPr>
                <w:color w:val="000000"/>
                <w:sz w:val="24"/>
                <w:szCs w:val="24"/>
              </w:rPr>
              <w:t>王少成</w:t>
            </w:r>
          </w:p>
        </w:tc>
        <w:tc>
          <w:tcPr>
            <w:tcW w:w="845" w:type="dxa"/>
            <w:vAlign w:val="center"/>
          </w:tcPr>
          <w:p w:rsidR="00F537C1" w:rsidRDefault="004311A1">
            <w:pPr>
              <w:jc w:val="center"/>
            </w:pPr>
            <w:r>
              <w:rPr>
                <w:color w:val="000000"/>
                <w:sz w:val="24"/>
                <w:szCs w:val="24"/>
              </w:rPr>
              <w:t>交银成长混合、交银策略回报灵活配置混合、交银成长</w:t>
            </w:r>
            <w:r>
              <w:rPr>
                <w:color w:val="000000"/>
                <w:sz w:val="24"/>
                <w:szCs w:val="24"/>
              </w:rPr>
              <w:t>30</w:t>
            </w:r>
            <w:r>
              <w:rPr>
                <w:color w:val="000000"/>
                <w:sz w:val="24"/>
                <w:szCs w:val="24"/>
              </w:rPr>
              <w:t>混合、交银荣和保本混合的基金经理，公司权益投资总监</w:t>
            </w:r>
          </w:p>
        </w:tc>
        <w:tc>
          <w:tcPr>
            <w:tcW w:w="1549" w:type="dxa"/>
            <w:vAlign w:val="center"/>
          </w:tcPr>
          <w:p w:rsidR="00F537C1" w:rsidRDefault="004311A1">
            <w:pPr>
              <w:jc w:val="center"/>
            </w:pPr>
            <w:r>
              <w:rPr>
                <w:color w:val="000000"/>
                <w:sz w:val="24"/>
                <w:szCs w:val="24"/>
              </w:rPr>
              <w:t>2015-11-07</w:t>
            </w:r>
          </w:p>
        </w:tc>
        <w:tc>
          <w:tcPr>
            <w:tcW w:w="1548" w:type="dxa"/>
            <w:vAlign w:val="center"/>
          </w:tcPr>
          <w:p w:rsidR="00F537C1" w:rsidRDefault="004311A1">
            <w:pPr>
              <w:jc w:val="center"/>
            </w:pPr>
            <w:r>
              <w:rPr>
                <w:color w:val="000000"/>
                <w:sz w:val="24"/>
                <w:szCs w:val="24"/>
              </w:rPr>
              <w:t>-</w:t>
            </w:r>
          </w:p>
        </w:tc>
        <w:tc>
          <w:tcPr>
            <w:tcW w:w="1407" w:type="dxa"/>
            <w:vAlign w:val="center"/>
          </w:tcPr>
          <w:p w:rsidR="00F537C1" w:rsidRDefault="004311A1">
            <w:pPr>
              <w:jc w:val="center"/>
            </w:pPr>
            <w:r>
              <w:rPr>
                <w:color w:val="000000"/>
                <w:sz w:val="24"/>
                <w:szCs w:val="24"/>
              </w:rPr>
              <w:t>11</w:t>
            </w:r>
            <w:r>
              <w:rPr>
                <w:color w:val="000000"/>
                <w:sz w:val="24"/>
                <w:szCs w:val="24"/>
              </w:rPr>
              <w:t>年</w:t>
            </w:r>
          </w:p>
        </w:tc>
        <w:tc>
          <w:tcPr>
            <w:tcW w:w="2673" w:type="dxa"/>
            <w:vAlign w:val="center"/>
          </w:tcPr>
          <w:p w:rsidR="00F537C1" w:rsidRDefault="004311A1">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年加入交银施罗德基金管理有限公司，历任公司权益部副总经理。</w:t>
            </w:r>
            <w:r>
              <w:rPr>
                <w:color w:val="000000"/>
                <w:sz w:val="24"/>
                <w:szCs w:val="24"/>
              </w:rPr>
              <w:t>2013</w:t>
            </w:r>
            <w:r>
              <w:rPr>
                <w:color w:val="000000"/>
                <w:sz w:val="24"/>
                <w:szCs w:val="24"/>
              </w:rPr>
              <w:t>年</w:t>
            </w:r>
            <w:r>
              <w:rPr>
                <w:color w:val="000000"/>
                <w:sz w:val="24"/>
                <w:szCs w:val="24"/>
              </w:rPr>
              <w:t>3</w:t>
            </w:r>
            <w:r>
              <w:rPr>
                <w:color w:val="000000"/>
                <w:sz w:val="24"/>
                <w:szCs w:val="24"/>
              </w:rPr>
              <w:t>月</w:t>
            </w:r>
            <w:r>
              <w:rPr>
                <w:color w:val="000000"/>
                <w:sz w:val="24"/>
                <w:szCs w:val="24"/>
              </w:rPr>
              <w:t>21</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日担任交银施罗德先进制造混合型证券投资基金（原交银施罗德先进制造股票证券投资基金）基金经理，</w:t>
            </w:r>
            <w:r>
              <w:rPr>
                <w:color w:val="000000"/>
                <w:sz w:val="24"/>
                <w:szCs w:val="24"/>
              </w:rPr>
              <w:t>2013</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日担任交银施罗德先锋混合型证券投资基金（原交银施罗德先锋股票证券投资基金）基金经理。</w:t>
            </w:r>
          </w:p>
        </w:tc>
      </w:tr>
    </w:tbl>
    <w:p w:rsidR="00F537C1" w:rsidRDefault="004311A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、本基金基金经理项廷锋先生于</w:t>
      </w:r>
      <w:r>
        <w:rPr>
          <w:color w:val="000000"/>
          <w:sz w:val="24"/>
          <w:szCs w:val="24"/>
        </w:rPr>
        <w:t>2015</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日因病去世，</w:t>
      </w:r>
      <w:r>
        <w:rPr>
          <w:color w:val="000000"/>
          <w:sz w:val="24"/>
          <w:szCs w:val="24"/>
        </w:rPr>
        <w:t>2015</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日至</w:t>
      </w:r>
      <w:r>
        <w:rPr>
          <w:color w:val="000000"/>
          <w:sz w:val="24"/>
          <w:szCs w:val="24"/>
        </w:rPr>
        <w:t>2015</w:t>
      </w:r>
      <w:r>
        <w:rPr>
          <w:color w:val="000000"/>
          <w:sz w:val="24"/>
          <w:szCs w:val="24"/>
        </w:rPr>
        <w:t>年</w:t>
      </w:r>
      <w:r>
        <w:rPr>
          <w:color w:val="000000"/>
          <w:sz w:val="24"/>
          <w:szCs w:val="24"/>
        </w:rPr>
        <w:t>11</w:t>
      </w:r>
      <w:r>
        <w:rPr>
          <w:color w:val="000000"/>
          <w:sz w:val="24"/>
          <w:szCs w:val="24"/>
        </w:rPr>
        <w:t>月</w:t>
      </w:r>
      <w:r w:rsidR="00AF2056">
        <w:rPr>
          <w:color w:val="000000"/>
          <w:sz w:val="24"/>
          <w:szCs w:val="24"/>
        </w:rPr>
        <w:t>6</w:t>
      </w:r>
      <w:r>
        <w:rPr>
          <w:color w:val="000000"/>
          <w:sz w:val="24"/>
          <w:szCs w:val="24"/>
        </w:rPr>
        <w:t>日，其基金经理相关职责由本公司基金经理李娜女士代为履行。</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F537C1" w:rsidRDefault="004311A1">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F537C1" w:rsidRDefault="004311A1">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F537C1" w:rsidRDefault="004311A1">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F537C1" w:rsidRDefault="004311A1">
      <w:pPr>
        <w:spacing w:before="29" w:line="288" w:lineRule="auto"/>
        <w:ind w:firstLineChars="200" w:firstLine="480"/>
        <w:rPr>
          <w:color w:val="000000"/>
          <w:sz w:val="24"/>
          <w:szCs w:val="24"/>
        </w:rPr>
      </w:pPr>
      <w:r>
        <w:rPr>
          <w:color w:val="000000"/>
          <w:sz w:val="24"/>
          <w:szCs w:val="24"/>
        </w:rPr>
        <w:t>2015</w:t>
      </w:r>
      <w:r>
        <w:rPr>
          <w:color w:val="000000"/>
          <w:sz w:val="24"/>
          <w:szCs w:val="24"/>
        </w:rPr>
        <w:t>年四季度，宏观经济整体形势并没有太大变化，除了土地拍卖价格持续创新高以外，固定资产开工率、大众消费等都没有太大的起色。人民币小幅贬值，央行也采取了较为积极的应对政策，整个市场流动性依然比较充裕。整个四季度，表现较好的依然是新兴消费，如教育、传媒、数字营销等。</w:t>
      </w:r>
    </w:p>
    <w:p w:rsidR="00F537C1" w:rsidRDefault="004311A1">
      <w:pPr>
        <w:spacing w:before="29" w:line="288" w:lineRule="auto"/>
        <w:ind w:firstLineChars="200" w:firstLine="480"/>
        <w:rPr>
          <w:color w:val="000000"/>
          <w:sz w:val="24"/>
          <w:szCs w:val="24"/>
        </w:rPr>
      </w:pPr>
      <w:r>
        <w:rPr>
          <w:color w:val="000000"/>
          <w:sz w:val="24"/>
          <w:szCs w:val="24"/>
        </w:rPr>
        <w:t>本基金四季度相对采取较为积极的操作思路，组合主要配置了教育和传媒等新兴消费领域，取得了一定的绝对收益。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2016</w:t>
      </w:r>
      <w:r w:rsidRPr="00414345">
        <w:rPr>
          <w:color w:val="000000"/>
          <w:sz w:val="24"/>
          <w:szCs w:val="24"/>
        </w:rPr>
        <w:t>年一季度，在流动性没有发生太大变化的前提下，对于新兴消费的升级应该更为积极乐观，本基金也会继续寻找景气向上的行业和品种积极配置。</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日，本基金基金份额净值为</w:t>
      </w:r>
      <w:r w:rsidRPr="00414345">
        <w:rPr>
          <w:color w:val="000000"/>
          <w:sz w:val="24"/>
          <w:szCs w:val="24"/>
        </w:rPr>
        <w:t>1.101</w:t>
      </w:r>
      <w:r w:rsidRPr="00414345">
        <w:rPr>
          <w:color w:val="000000"/>
          <w:sz w:val="24"/>
          <w:szCs w:val="24"/>
        </w:rPr>
        <w:t>元，本报告期份额净值增长率为</w:t>
      </w:r>
      <w:r w:rsidRPr="00414345">
        <w:rPr>
          <w:color w:val="000000"/>
          <w:sz w:val="24"/>
          <w:szCs w:val="24"/>
        </w:rPr>
        <w:t>26.55%</w:t>
      </w:r>
      <w:r w:rsidRPr="00414345">
        <w:rPr>
          <w:color w:val="000000"/>
          <w:sz w:val="24"/>
          <w:szCs w:val="24"/>
        </w:rPr>
        <w:t>，同期业绩比较基准增长率为</w:t>
      </w:r>
      <w:r w:rsidRPr="00414345">
        <w:rPr>
          <w:color w:val="000000"/>
          <w:sz w:val="24"/>
          <w:szCs w:val="24"/>
        </w:rPr>
        <w:t>10.87%</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5527FF" w:rsidRPr="005527FF" w:rsidRDefault="005527FF" w:rsidP="00421CD2">
      <w:pPr>
        <w:spacing w:before="29" w:line="288" w:lineRule="auto"/>
        <w:ind w:firstLineChars="200" w:firstLine="480"/>
        <w:rPr>
          <w:color w:val="000000"/>
          <w:sz w:val="24"/>
        </w:rPr>
      </w:pPr>
    </w:p>
    <w:p w:rsidR="004061AC" w:rsidRPr="00414345" w:rsidRDefault="004061AC" w:rsidP="00983954">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129,086,809.53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66.86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129,086,809.53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66.86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47,653,600.00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24.68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47,653,600.00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24.68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14,856,073.11</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7.69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1,477,094.76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0.77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193,073,577.40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21,571,158.00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11.26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37,776,350.04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19.72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11,765,923.64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3,715,989.20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3,855,000.00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2.01</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24,495,428.00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12.79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3,651,278.00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7,851,922.65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14,403,760.00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7.52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129,086,809.53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67.39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F537C1">
        <w:trPr>
          <w:jc w:val="center"/>
        </w:trPr>
        <w:tc>
          <w:tcPr>
            <w:tcW w:w="855" w:type="dxa"/>
            <w:vAlign w:val="center"/>
          </w:tcPr>
          <w:p w:rsidR="00F537C1" w:rsidRDefault="004311A1">
            <w:pPr>
              <w:jc w:val="center"/>
            </w:pPr>
            <w:r>
              <w:rPr>
                <w:color w:val="000000"/>
                <w:sz w:val="24"/>
                <w:szCs w:val="24"/>
              </w:rPr>
              <w:t>1</w:t>
            </w:r>
          </w:p>
        </w:tc>
        <w:tc>
          <w:tcPr>
            <w:tcW w:w="1334" w:type="dxa"/>
            <w:vAlign w:val="center"/>
          </w:tcPr>
          <w:p w:rsidR="00F537C1" w:rsidRDefault="004311A1">
            <w:pPr>
              <w:jc w:val="center"/>
            </w:pPr>
            <w:r>
              <w:rPr>
                <w:color w:val="000000"/>
                <w:sz w:val="24"/>
                <w:szCs w:val="24"/>
              </w:rPr>
              <w:t>300359</w:t>
            </w:r>
          </w:p>
        </w:tc>
        <w:tc>
          <w:tcPr>
            <w:tcW w:w="1777" w:type="dxa"/>
            <w:vAlign w:val="center"/>
          </w:tcPr>
          <w:p w:rsidR="00F537C1" w:rsidRDefault="004311A1">
            <w:pPr>
              <w:jc w:val="center"/>
            </w:pPr>
            <w:r>
              <w:rPr>
                <w:color w:val="000000"/>
                <w:sz w:val="24"/>
                <w:szCs w:val="24"/>
              </w:rPr>
              <w:t>全通教育</w:t>
            </w:r>
          </w:p>
        </w:tc>
        <w:tc>
          <w:tcPr>
            <w:tcW w:w="1334" w:type="dxa"/>
            <w:vAlign w:val="center"/>
          </w:tcPr>
          <w:p w:rsidR="00F537C1" w:rsidRDefault="004311A1">
            <w:pPr>
              <w:jc w:val="right"/>
            </w:pPr>
            <w:r>
              <w:rPr>
                <w:color w:val="000000"/>
                <w:sz w:val="24"/>
                <w:szCs w:val="24"/>
              </w:rPr>
              <w:t>102,500</w:t>
            </w:r>
          </w:p>
        </w:tc>
        <w:tc>
          <w:tcPr>
            <w:tcW w:w="1924" w:type="dxa"/>
            <w:vAlign w:val="center"/>
          </w:tcPr>
          <w:p w:rsidR="00F537C1" w:rsidRDefault="004311A1">
            <w:pPr>
              <w:jc w:val="right"/>
            </w:pPr>
            <w:r>
              <w:rPr>
                <w:color w:val="000000"/>
                <w:sz w:val="24"/>
                <w:szCs w:val="24"/>
              </w:rPr>
              <w:t>8,827,300.00</w:t>
            </w:r>
          </w:p>
        </w:tc>
        <w:tc>
          <w:tcPr>
            <w:tcW w:w="1644" w:type="dxa"/>
            <w:vAlign w:val="center"/>
          </w:tcPr>
          <w:p w:rsidR="00F537C1" w:rsidRDefault="004311A1">
            <w:pPr>
              <w:jc w:val="right"/>
            </w:pPr>
            <w:r>
              <w:rPr>
                <w:color w:val="000000"/>
                <w:sz w:val="24"/>
                <w:szCs w:val="24"/>
              </w:rPr>
              <w:t>4.61</w:t>
            </w:r>
          </w:p>
        </w:tc>
      </w:tr>
      <w:tr w:rsidR="00F537C1">
        <w:trPr>
          <w:jc w:val="center"/>
        </w:trPr>
        <w:tc>
          <w:tcPr>
            <w:tcW w:w="855" w:type="dxa"/>
            <w:vAlign w:val="center"/>
          </w:tcPr>
          <w:p w:rsidR="00F537C1" w:rsidRDefault="004311A1">
            <w:pPr>
              <w:jc w:val="center"/>
            </w:pPr>
            <w:r>
              <w:rPr>
                <w:color w:val="000000"/>
                <w:sz w:val="24"/>
                <w:szCs w:val="24"/>
              </w:rPr>
              <w:t>2</w:t>
            </w:r>
          </w:p>
        </w:tc>
        <w:tc>
          <w:tcPr>
            <w:tcW w:w="1334" w:type="dxa"/>
            <w:vAlign w:val="center"/>
          </w:tcPr>
          <w:p w:rsidR="00F537C1" w:rsidRDefault="004311A1">
            <w:pPr>
              <w:jc w:val="center"/>
            </w:pPr>
            <w:r>
              <w:rPr>
                <w:color w:val="000000"/>
                <w:sz w:val="24"/>
                <w:szCs w:val="24"/>
              </w:rPr>
              <w:t>600661</w:t>
            </w:r>
          </w:p>
        </w:tc>
        <w:tc>
          <w:tcPr>
            <w:tcW w:w="1777" w:type="dxa"/>
            <w:vAlign w:val="center"/>
          </w:tcPr>
          <w:p w:rsidR="00F537C1" w:rsidRDefault="004311A1">
            <w:pPr>
              <w:jc w:val="center"/>
            </w:pPr>
            <w:r>
              <w:rPr>
                <w:color w:val="000000"/>
                <w:sz w:val="24"/>
                <w:szCs w:val="24"/>
              </w:rPr>
              <w:t>新南洋</w:t>
            </w:r>
          </w:p>
        </w:tc>
        <w:tc>
          <w:tcPr>
            <w:tcW w:w="1334" w:type="dxa"/>
            <w:vAlign w:val="center"/>
          </w:tcPr>
          <w:p w:rsidR="00F537C1" w:rsidRDefault="004311A1">
            <w:pPr>
              <w:jc w:val="right"/>
            </w:pPr>
            <w:r>
              <w:rPr>
                <w:color w:val="000000"/>
                <w:sz w:val="24"/>
                <w:szCs w:val="24"/>
              </w:rPr>
              <w:t>203,365</w:t>
            </w:r>
          </w:p>
        </w:tc>
        <w:tc>
          <w:tcPr>
            <w:tcW w:w="1924" w:type="dxa"/>
            <w:vAlign w:val="center"/>
          </w:tcPr>
          <w:p w:rsidR="00F537C1" w:rsidRDefault="004311A1">
            <w:pPr>
              <w:jc w:val="right"/>
            </w:pPr>
            <w:r>
              <w:rPr>
                <w:color w:val="000000"/>
                <w:sz w:val="24"/>
                <w:szCs w:val="24"/>
              </w:rPr>
              <w:t>7,851,922.65</w:t>
            </w:r>
          </w:p>
        </w:tc>
        <w:tc>
          <w:tcPr>
            <w:tcW w:w="1644" w:type="dxa"/>
            <w:vAlign w:val="center"/>
          </w:tcPr>
          <w:p w:rsidR="00F537C1" w:rsidRDefault="004311A1">
            <w:pPr>
              <w:jc w:val="right"/>
            </w:pPr>
            <w:r>
              <w:rPr>
                <w:color w:val="000000"/>
                <w:sz w:val="24"/>
                <w:szCs w:val="24"/>
              </w:rPr>
              <w:t>4.10</w:t>
            </w:r>
          </w:p>
        </w:tc>
      </w:tr>
      <w:tr w:rsidR="00F537C1">
        <w:trPr>
          <w:jc w:val="center"/>
        </w:trPr>
        <w:tc>
          <w:tcPr>
            <w:tcW w:w="855" w:type="dxa"/>
            <w:vAlign w:val="center"/>
          </w:tcPr>
          <w:p w:rsidR="00F537C1" w:rsidRDefault="004311A1">
            <w:pPr>
              <w:jc w:val="center"/>
            </w:pPr>
            <w:r>
              <w:rPr>
                <w:color w:val="000000"/>
                <w:sz w:val="24"/>
                <w:szCs w:val="24"/>
              </w:rPr>
              <w:t>3</w:t>
            </w:r>
          </w:p>
        </w:tc>
        <w:tc>
          <w:tcPr>
            <w:tcW w:w="1334" w:type="dxa"/>
            <w:vAlign w:val="center"/>
          </w:tcPr>
          <w:p w:rsidR="00F537C1" w:rsidRDefault="004311A1">
            <w:pPr>
              <w:jc w:val="center"/>
            </w:pPr>
            <w:r>
              <w:rPr>
                <w:color w:val="000000"/>
                <w:sz w:val="24"/>
                <w:szCs w:val="24"/>
              </w:rPr>
              <w:t>300336</w:t>
            </w:r>
          </w:p>
        </w:tc>
        <w:tc>
          <w:tcPr>
            <w:tcW w:w="1777" w:type="dxa"/>
            <w:vAlign w:val="center"/>
          </w:tcPr>
          <w:p w:rsidR="00F537C1" w:rsidRDefault="004311A1">
            <w:pPr>
              <w:jc w:val="center"/>
            </w:pPr>
            <w:r>
              <w:rPr>
                <w:color w:val="000000"/>
                <w:sz w:val="24"/>
                <w:szCs w:val="24"/>
              </w:rPr>
              <w:t>新文化</w:t>
            </w:r>
          </w:p>
        </w:tc>
        <w:tc>
          <w:tcPr>
            <w:tcW w:w="1334" w:type="dxa"/>
            <w:vAlign w:val="center"/>
          </w:tcPr>
          <w:p w:rsidR="00F537C1" w:rsidRDefault="004311A1">
            <w:pPr>
              <w:jc w:val="right"/>
            </w:pPr>
            <w:r>
              <w:rPr>
                <w:color w:val="000000"/>
                <w:sz w:val="24"/>
                <w:szCs w:val="24"/>
              </w:rPr>
              <w:t>180,000</w:t>
            </w:r>
          </w:p>
        </w:tc>
        <w:tc>
          <w:tcPr>
            <w:tcW w:w="1924" w:type="dxa"/>
            <w:vAlign w:val="center"/>
          </w:tcPr>
          <w:p w:rsidR="00F537C1" w:rsidRDefault="004311A1">
            <w:pPr>
              <w:jc w:val="right"/>
            </w:pPr>
            <w:r>
              <w:rPr>
                <w:color w:val="000000"/>
                <w:sz w:val="24"/>
                <w:szCs w:val="24"/>
              </w:rPr>
              <w:t>7,560,000.00</w:t>
            </w:r>
          </w:p>
        </w:tc>
        <w:tc>
          <w:tcPr>
            <w:tcW w:w="1644" w:type="dxa"/>
            <w:vAlign w:val="center"/>
          </w:tcPr>
          <w:p w:rsidR="00F537C1" w:rsidRDefault="004311A1">
            <w:pPr>
              <w:jc w:val="right"/>
            </w:pPr>
            <w:r>
              <w:rPr>
                <w:color w:val="000000"/>
                <w:sz w:val="24"/>
                <w:szCs w:val="24"/>
              </w:rPr>
              <w:t>3.95</w:t>
            </w:r>
          </w:p>
        </w:tc>
      </w:tr>
      <w:tr w:rsidR="00F537C1">
        <w:trPr>
          <w:jc w:val="center"/>
        </w:trPr>
        <w:tc>
          <w:tcPr>
            <w:tcW w:w="855" w:type="dxa"/>
            <w:vAlign w:val="center"/>
          </w:tcPr>
          <w:p w:rsidR="00F537C1" w:rsidRDefault="004311A1">
            <w:pPr>
              <w:jc w:val="center"/>
            </w:pPr>
            <w:r>
              <w:rPr>
                <w:color w:val="000000"/>
                <w:sz w:val="24"/>
                <w:szCs w:val="24"/>
              </w:rPr>
              <w:t>4</w:t>
            </w:r>
          </w:p>
        </w:tc>
        <w:tc>
          <w:tcPr>
            <w:tcW w:w="1334" w:type="dxa"/>
            <w:vAlign w:val="center"/>
          </w:tcPr>
          <w:p w:rsidR="00F537C1" w:rsidRDefault="004311A1">
            <w:pPr>
              <w:jc w:val="center"/>
            </w:pPr>
            <w:r>
              <w:rPr>
                <w:color w:val="000000"/>
                <w:sz w:val="24"/>
                <w:szCs w:val="24"/>
              </w:rPr>
              <w:t>002368</w:t>
            </w:r>
          </w:p>
        </w:tc>
        <w:tc>
          <w:tcPr>
            <w:tcW w:w="1777" w:type="dxa"/>
            <w:vAlign w:val="center"/>
          </w:tcPr>
          <w:p w:rsidR="00F537C1" w:rsidRDefault="004311A1">
            <w:pPr>
              <w:jc w:val="center"/>
            </w:pPr>
            <w:r>
              <w:rPr>
                <w:color w:val="000000"/>
                <w:sz w:val="24"/>
                <w:szCs w:val="24"/>
              </w:rPr>
              <w:t>太极股份</w:t>
            </w:r>
          </w:p>
        </w:tc>
        <w:tc>
          <w:tcPr>
            <w:tcW w:w="1334" w:type="dxa"/>
            <w:vAlign w:val="center"/>
          </w:tcPr>
          <w:p w:rsidR="00F537C1" w:rsidRDefault="004311A1">
            <w:pPr>
              <w:jc w:val="right"/>
            </w:pPr>
            <w:r>
              <w:rPr>
                <w:color w:val="000000"/>
                <w:sz w:val="24"/>
                <w:szCs w:val="24"/>
              </w:rPr>
              <w:t>105,000</w:t>
            </w:r>
          </w:p>
        </w:tc>
        <w:tc>
          <w:tcPr>
            <w:tcW w:w="1924" w:type="dxa"/>
            <w:vAlign w:val="center"/>
          </w:tcPr>
          <w:p w:rsidR="00F537C1" w:rsidRDefault="004311A1">
            <w:pPr>
              <w:jc w:val="right"/>
            </w:pPr>
            <w:r>
              <w:rPr>
                <w:color w:val="000000"/>
                <w:sz w:val="24"/>
                <w:szCs w:val="24"/>
              </w:rPr>
              <w:t>7,045,500.00</w:t>
            </w:r>
          </w:p>
        </w:tc>
        <w:tc>
          <w:tcPr>
            <w:tcW w:w="1644" w:type="dxa"/>
            <w:vAlign w:val="center"/>
          </w:tcPr>
          <w:p w:rsidR="00F537C1" w:rsidRDefault="004311A1">
            <w:pPr>
              <w:jc w:val="right"/>
            </w:pPr>
            <w:r>
              <w:rPr>
                <w:color w:val="000000"/>
                <w:sz w:val="24"/>
                <w:szCs w:val="24"/>
              </w:rPr>
              <w:t>3.68</w:t>
            </w:r>
          </w:p>
        </w:tc>
      </w:tr>
      <w:tr w:rsidR="00F537C1">
        <w:trPr>
          <w:jc w:val="center"/>
        </w:trPr>
        <w:tc>
          <w:tcPr>
            <w:tcW w:w="855" w:type="dxa"/>
            <w:vAlign w:val="center"/>
          </w:tcPr>
          <w:p w:rsidR="00F537C1" w:rsidRDefault="004311A1">
            <w:pPr>
              <w:jc w:val="center"/>
            </w:pPr>
            <w:r>
              <w:rPr>
                <w:color w:val="000000"/>
                <w:sz w:val="24"/>
                <w:szCs w:val="24"/>
              </w:rPr>
              <w:t>5</w:t>
            </w:r>
          </w:p>
        </w:tc>
        <w:tc>
          <w:tcPr>
            <w:tcW w:w="1334" w:type="dxa"/>
            <w:vAlign w:val="center"/>
          </w:tcPr>
          <w:p w:rsidR="00F537C1" w:rsidRDefault="004311A1">
            <w:pPr>
              <w:jc w:val="center"/>
            </w:pPr>
            <w:r>
              <w:rPr>
                <w:color w:val="000000"/>
                <w:sz w:val="24"/>
                <w:szCs w:val="24"/>
              </w:rPr>
              <w:t>002325</w:t>
            </w:r>
          </w:p>
        </w:tc>
        <w:tc>
          <w:tcPr>
            <w:tcW w:w="1777" w:type="dxa"/>
            <w:vAlign w:val="center"/>
          </w:tcPr>
          <w:p w:rsidR="00F537C1" w:rsidRDefault="004311A1">
            <w:pPr>
              <w:jc w:val="center"/>
            </w:pPr>
            <w:r>
              <w:rPr>
                <w:color w:val="000000"/>
                <w:sz w:val="24"/>
                <w:szCs w:val="24"/>
              </w:rPr>
              <w:t>洪涛股份</w:t>
            </w:r>
          </w:p>
        </w:tc>
        <w:tc>
          <w:tcPr>
            <w:tcW w:w="1334" w:type="dxa"/>
            <w:vAlign w:val="center"/>
          </w:tcPr>
          <w:p w:rsidR="00F537C1" w:rsidRDefault="004311A1">
            <w:pPr>
              <w:jc w:val="right"/>
            </w:pPr>
            <w:r>
              <w:rPr>
                <w:color w:val="000000"/>
                <w:sz w:val="24"/>
                <w:szCs w:val="24"/>
              </w:rPr>
              <w:t>447,228</w:t>
            </w:r>
          </w:p>
        </w:tc>
        <w:tc>
          <w:tcPr>
            <w:tcW w:w="1924" w:type="dxa"/>
            <w:vAlign w:val="center"/>
          </w:tcPr>
          <w:p w:rsidR="00F537C1" w:rsidRDefault="004311A1">
            <w:pPr>
              <w:jc w:val="right"/>
            </w:pPr>
            <w:r>
              <w:rPr>
                <w:color w:val="000000"/>
                <w:sz w:val="24"/>
                <w:szCs w:val="24"/>
              </w:rPr>
              <w:t>6,990,173.64</w:t>
            </w:r>
          </w:p>
        </w:tc>
        <w:tc>
          <w:tcPr>
            <w:tcW w:w="1644" w:type="dxa"/>
            <w:vAlign w:val="center"/>
          </w:tcPr>
          <w:p w:rsidR="00F537C1" w:rsidRDefault="004311A1">
            <w:pPr>
              <w:jc w:val="right"/>
            </w:pPr>
            <w:r>
              <w:rPr>
                <w:color w:val="000000"/>
                <w:sz w:val="24"/>
                <w:szCs w:val="24"/>
              </w:rPr>
              <w:t>3.65</w:t>
            </w:r>
          </w:p>
        </w:tc>
      </w:tr>
      <w:tr w:rsidR="00F537C1">
        <w:trPr>
          <w:jc w:val="center"/>
        </w:trPr>
        <w:tc>
          <w:tcPr>
            <w:tcW w:w="855" w:type="dxa"/>
            <w:vAlign w:val="center"/>
          </w:tcPr>
          <w:p w:rsidR="00F537C1" w:rsidRDefault="004311A1">
            <w:pPr>
              <w:jc w:val="center"/>
            </w:pPr>
            <w:r>
              <w:rPr>
                <w:color w:val="000000"/>
                <w:sz w:val="24"/>
                <w:szCs w:val="24"/>
              </w:rPr>
              <w:t>6</w:t>
            </w:r>
          </w:p>
        </w:tc>
        <w:tc>
          <w:tcPr>
            <w:tcW w:w="1334" w:type="dxa"/>
            <w:vAlign w:val="center"/>
          </w:tcPr>
          <w:p w:rsidR="00F537C1" w:rsidRDefault="004311A1">
            <w:pPr>
              <w:jc w:val="center"/>
            </w:pPr>
            <w:r>
              <w:rPr>
                <w:color w:val="000000"/>
                <w:sz w:val="24"/>
                <w:szCs w:val="24"/>
              </w:rPr>
              <w:t>000802</w:t>
            </w:r>
          </w:p>
        </w:tc>
        <w:tc>
          <w:tcPr>
            <w:tcW w:w="1777" w:type="dxa"/>
            <w:vAlign w:val="center"/>
          </w:tcPr>
          <w:p w:rsidR="00F537C1" w:rsidRDefault="004311A1">
            <w:pPr>
              <w:jc w:val="center"/>
            </w:pPr>
            <w:r>
              <w:rPr>
                <w:color w:val="000000"/>
                <w:sz w:val="24"/>
                <w:szCs w:val="24"/>
              </w:rPr>
              <w:t>北京文化</w:t>
            </w:r>
          </w:p>
        </w:tc>
        <w:tc>
          <w:tcPr>
            <w:tcW w:w="1334" w:type="dxa"/>
            <w:vAlign w:val="center"/>
          </w:tcPr>
          <w:p w:rsidR="00F537C1" w:rsidRDefault="004311A1">
            <w:pPr>
              <w:jc w:val="right"/>
            </w:pPr>
            <w:r>
              <w:rPr>
                <w:color w:val="000000"/>
                <w:sz w:val="24"/>
                <w:szCs w:val="24"/>
              </w:rPr>
              <w:t>202,000</w:t>
            </w:r>
          </w:p>
        </w:tc>
        <w:tc>
          <w:tcPr>
            <w:tcW w:w="1924" w:type="dxa"/>
            <w:vAlign w:val="center"/>
          </w:tcPr>
          <w:p w:rsidR="00F537C1" w:rsidRDefault="004311A1">
            <w:pPr>
              <w:jc w:val="right"/>
            </w:pPr>
            <w:r>
              <w:rPr>
                <w:color w:val="000000"/>
                <w:sz w:val="24"/>
                <w:szCs w:val="24"/>
              </w:rPr>
              <w:t>6,843,760.00</w:t>
            </w:r>
          </w:p>
        </w:tc>
        <w:tc>
          <w:tcPr>
            <w:tcW w:w="1644" w:type="dxa"/>
            <w:vAlign w:val="center"/>
          </w:tcPr>
          <w:p w:rsidR="00F537C1" w:rsidRDefault="004311A1">
            <w:pPr>
              <w:jc w:val="right"/>
            </w:pPr>
            <w:r>
              <w:rPr>
                <w:color w:val="000000"/>
                <w:sz w:val="24"/>
                <w:szCs w:val="24"/>
              </w:rPr>
              <w:t>3.57</w:t>
            </w:r>
          </w:p>
        </w:tc>
      </w:tr>
      <w:tr w:rsidR="00F537C1">
        <w:trPr>
          <w:jc w:val="center"/>
        </w:trPr>
        <w:tc>
          <w:tcPr>
            <w:tcW w:w="855" w:type="dxa"/>
            <w:vAlign w:val="center"/>
          </w:tcPr>
          <w:p w:rsidR="00F537C1" w:rsidRDefault="004311A1">
            <w:pPr>
              <w:jc w:val="center"/>
            </w:pPr>
            <w:r>
              <w:rPr>
                <w:color w:val="000000"/>
                <w:sz w:val="24"/>
                <w:szCs w:val="24"/>
              </w:rPr>
              <w:t>7</w:t>
            </w:r>
          </w:p>
        </w:tc>
        <w:tc>
          <w:tcPr>
            <w:tcW w:w="1334" w:type="dxa"/>
            <w:vAlign w:val="center"/>
          </w:tcPr>
          <w:p w:rsidR="00F537C1" w:rsidRDefault="004311A1">
            <w:pPr>
              <w:jc w:val="center"/>
            </w:pPr>
            <w:r>
              <w:rPr>
                <w:color w:val="000000"/>
                <w:sz w:val="24"/>
                <w:szCs w:val="24"/>
              </w:rPr>
              <w:t>002458</w:t>
            </w:r>
          </w:p>
        </w:tc>
        <w:tc>
          <w:tcPr>
            <w:tcW w:w="1777" w:type="dxa"/>
            <w:vAlign w:val="center"/>
          </w:tcPr>
          <w:p w:rsidR="00F537C1" w:rsidRDefault="004311A1">
            <w:pPr>
              <w:jc w:val="center"/>
            </w:pPr>
            <w:r>
              <w:rPr>
                <w:color w:val="000000"/>
                <w:sz w:val="24"/>
                <w:szCs w:val="24"/>
              </w:rPr>
              <w:t>益生股份</w:t>
            </w:r>
          </w:p>
        </w:tc>
        <w:tc>
          <w:tcPr>
            <w:tcW w:w="1334" w:type="dxa"/>
            <w:vAlign w:val="center"/>
          </w:tcPr>
          <w:p w:rsidR="00F537C1" w:rsidRDefault="004311A1">
            <w:pPr>
              <w:jc w:val="right"/>
            </w:pPr>
            <w:r>
              <w:rPr>
                <w:color w:val="000000"/>
                <w:sz w:val="24"/>
                <w:szCs w:val="24"/>
              </w:rPr>
              <w:t>176,800</w:t>
            </w:r>
          </w:p>
        </w:tc>
        <w:tc>
          <w:tcPr>
            <w:tcW w:w="1924" w:type="dxa"/>
            <w:vAlign w:val="center"/>
          </w:tcPr>
          <w:p w:rsidR="00F537C1" w:rsidRDefault="004311A1">
            <w:pPr>
              <w:jc w:val="right"/>
            </w:pPr>
            <w:r>
              <w:rPr>
                <w:color w:val="000000"/>
                <w:sz w:val="24"/>
                <w:szCs w:val="24"/>
              </w:rPr>
              <w:t>6,683,040.00</w:t>
            </w:r>
          </w:p>
        </w:tc>
        <w:tc>
          <w:tcPr>
            <w:tcW w:w="1644" w:type="dxa"/>
            <w:vAlign w:val="center"/>
          </w:tcPr>
          <w:p w:rsidR="00F537C1" w:rsidRDefault="004311A1">
            <w:pPr>
              <w:jc w:val="right"/>
            </w:pPr>
            <w:r>
              <w:rPr>
                <w:color w:val="000000"/>
                <w:sz w:val="24"/>
                <w:szCs w:val="24"/>
              </w:rPr>
              <w:t>3.49</w:t>
            </w:r>
          </w:p>
        </w:tc>
      </w:tr>
      <w:tr w:rsidR="00F537C1">
        <w:trPr>
          <w:jc w:val="center"/>
        </w:trPr>
        <w:tc>
          <w:tcPr>
            <w:tcW w:w="855" w:type="dxa"/>
            <w:vAlign w:val="center"/>
          </w:tcPr>
          <w:p w:rsidR="00F537C1" w:rsidRDefault="004311A1">
            <w:pPr>
              <w:jc w:val="center"/>
            </w:pPr>
            <w:r>
              <w:rPr>
                <w:color w:val="000000"/>
                <w:sz w:val="24"/>
                <w:szCs w:val="24"/>
              </w:rPr>
              <w:t>8</w:t>
            </w:r>
          </w:p>
        </w:tc>
        <w:tc>
          <w:tcPr>
            <w:tcW w:w="1334" w:type="dxa"/>
            <w:vAlign w:val="center"/>
          </w:tcPr>
          <w:p w:rsidR="00F537C1" w:rsidRDefault="004311A1">
            <w:pPr>
              <w:jc w:val="center"/>
            </w:pPr>
            <w:r>
              <w:rPr>
                <w:color w:val="000000"/>
                <w:sz w:val="24"/>
                <w:szCs w:val="24"/>
              </w:rPr>
              <w:t>002477</w:t>
            </w:r>
          </w:p>
        </w:tc>
        <w:tc>
          <w:tcPr>
            <w:tcW w:w="1777" w:type="dxa"/>
            <w:vAlign w:val="center"/>
          </w:tcPr>
          <w:p w:rsidR="00F537C1" w:rsidRDefault="004311A1">
            <w:pPr>
              <w:jc w:val="center"/>
            </w:pPr>
            <w:r>
              <w:rPr>
                <w:color w:val="000000"/>
                <w:sz w:val="24"/>
                <w:szCs w:val="24"/>
              </w:rPr>
              <w:t>雏鹰农牧</w:t>
            </w:r>
          </w:p>
        </w:tc>
        <w:tc>
          <w:tcPr>
            <w:tcW w:w="1334" w:type="dxa"/>
            <w:vAlign w:val="center"/>
          </w:tcPr>
          <w:p w:rsidR="00F537C1" w:rsidRDefault="004311A1">
            <w:pPr>
              <w:jc w:val="right"/>
            </w:pPr>
            <w:r>
              <w:rPr>
                <w:color w:val="000000"/>
                <w:sz w:val="24"/>
                <w:szCs w:val="24"/>
              </w:rPr>
              <w:t>362,500</w:t>
            </w:r>
          </w:p>
        </w:tc>
        <w:tc>
          <w:tcPr>
            <w:tcW w:w="1924" w:type="dxa"/>
            <w:vAlign w:val="center"/>
          </w:tcPr>
          <w:p w:rsidR="00F537C1" w:rsidRDefault="004311A1">
            <w:pPr>
              <w:jc w:val="right"/>
            </w:pPr>
            <w:r>
              <w:rPr>
                <w:color w:val="000000"/>
                <w:sz w:val="24"/>
                <w:szCs w:val="24"/>
              </w:rPr>
              <w:t>6,129,875.00</w:t>
            </w:r>
          </w:p>
        </w:tc>
        <w:tc>
          <w:tcPr>
            <w:tcW w:w="1644" w:type="dxa"/>
            <w:vAlign w:val="center"/>
          </w:tcPr>
          <w:p w:rsidR="00F537C1" w:rsidRDefault="004311A1">
            <w:pPr>
              <w:jc w:val="right"/>
            </w:pPr>
            <w:r>
              <w:rPr>
                <w:color w:val="000000"/>
                <w:sz w:val="24"/>
                <w:szCs w:val="24"/>
              </w:rPr>
              <w:t>3.20</w:t>
            </w:r>
          </w:p>
        </w:tc>
      </w:tr>
      <w:tr w:rsidR="00F537C1">
        <w:trPr>
          <w:jc w:val="center"/>
        </w:trPr>
        <w:tc>
          <w:tcPr>
            <w:tcW w:w="855" w:type="dxa"/>
            <w:vAlign w:val="center"/>
          </w:tcPr>
          <w:p w:rsidR="00F537C1" w:rsidRDefault="004311A1">
            <w:pPr>
              <w:jc w:val="center"/>
            </w:pPr>
            <w:r>
              <w:rPr>
                <w:color w:val="000000"/>
                <w:sz w:val="24"/>
                <w:szCs w:val="24"/>
              </w:rPr>
              <w:t>9</w:t>
            </w:r>
          </w:p>
        </w:tc>
        <w:tc>
          <w:tcPr>
            <w:tcW w:w="1334" w:type="dxa"/>
            <w:vAlign w:val="center"/>
          </w:tcPr>
          <w:p w:rsidR="00F537C1" w:rsidRDefault="004311A1">
            <w:pPr>
              <w:jc w:val="center"/>
            </w:pPr>
            <w:r>
              <w:rPr>
                <w:color w:val="000000"/>
                <w:sz w:val="24"/>
                <w:szCs w:val="24"/>
              </w:rPr>
              <w:t>002124</w:t>
            </w:r>
          </w:p>
        </w:tc>
        <w:tc>
          <w:tcPr>
            <w:tcW w:w="1777" w:type="dxa"/>
            <w:vAlign w:val="center"/>
          </w:tcPr>
          <w:p w:rsidR="00F537C1" w:rsidRDefault="004311A1">
            <w:pPr>
              <w:jc w:val="center"/>
            </w:pPr>
            <w:r>
              <w:rPr>
                <w:color w:val="000000"/>
                <w:sz w:val="24"/>
                <w:szCs w:val="24"/>
              </w:rPr>
              <w:t>天邦股份</w:t>
            </w:r>
          </w:p>
        </w:tc>
        <w:tc>
          <w:tcPr>
            <w:tcW w:w="1334" w:type="dxa"/>
            <w:vAlign w:val="center"/>
          </w:tcPr>
          <w:p w:rsidR="00F537C1" w:rsidRDefault="004311A1">
            <w:pPr>
              <w:jc w:val="right"/>
            </w:pPr>
            <w:r>
              <w:rPr>
                <w:color w:val="000000"/>
                <w:sz w:val="24"/>
                <w:szCs w:val="24"/>
              </w:rPr>
              <w:t>185,500</w:t>
            </w:r>
          </w:p>
        </w:tc>
        <w:tc>
          <w:tcPr>
            <w:tcW w:w="1924" w:type="dxa"/>
            <w:vAlign w:val="center"/>
          </w:tcPr>
          <w:p w:rsidR="00F537C1" w:rsidRDefault="004311A1">
            <w:pPr>
              <w:jc w:val="right"/>
            </w:pPr>
            <w:r>
              <w:rPr>
                <w:color w:val="000000"/>
                <w:sz w:val="24"/>
                <w:szCs w:val="24"/>
              </w:rPr>
              <w:t>5,041,890.00</w:t>
            </w:r>
          </w:p>
        </w:tc>
        <w:tc>
          <w:tcPr>
            <w:tcW w:w="1644" w:type="dxa"/>
            <w:vAlign w:val="center"/>
          </w:tcPr>
          <w:p w:rsidR="00F537C1" w:rsidRDefault="004311A1">
            <w:pPr>
              <w:jc w:val="right"/>
            </w:pPr>
            <w:r>
              <w:rPr>
                <w:color w:val="000000"/>
                <w:sz w:val="24"/>
                <w:szCs w:val="24"/>
              </w:rPr>
              <w:t>2.63</w:t>
            </w:r>
          </w:p>
        </w:tc>
      </w:tr>
      <w:tr w:rsidR="00F537C1">
        <w:trPr>
          <w:jc w:val="center"/>
        </w:trPr>
        <w:tc>
          <w:tcPr>
            <w:tcW w:w="855" w:type="dxa"/>
            <w:vAlign w:val="center"/>
          </w:tcPr>
          <w:p w:rsidR="00F537C1" w:rsidRDefault="004311A1">
            <w:pPr>
              <w:jc w:val="center"/>
            </w:pPr>
            <w:r>
              <w:rPr>
                <w:color w:val="000000"/>
                <w:sz w:val="24"/>
                <w:szCs w:val="24"/>
              </w:rPr>
              <w:t>10</w:t>
            </w:r>
          </w:p>
        </w:tc>
        <w:tc>
          <w:tcPr>
            <w:tcW w:w="1334" w:type="dxa"/>
            <w:vAlign w:val="center"/>
          </w:tcPr>
          <w:p w:rsidR="00F537C1" w:rsidRDefault="004311A1">
            <w:pPr>
              <w:jc w:val="center"/>
            </w:pPr>
            <w:r>
              <w:rPr>
                <w:color w:val="000000"/>
                <w:sz w:val="24"/>
                <w:szCs w:val="24"/>
              </w:rPr>
              <w:t>000938</w:t>
            </w:r>
          </w:p>
        </w:tc>
        <w:tc>
          <w:tcPr>
            <w:tcW w:w="1777" w:type="dxa"/>
            <w:vAlign w:val="center"/>
          </w:tcPr>
          <w:p w:rsidR="00F537C1" w:rsidRDefault="004311A1">
            <w:pPr>
              <w:jc w:val="center"/>
            </w:pPr>
            <w:r>
              <w:rPr>
                <w:color w:val="000000"/>
                <w:sz w:val="24"/>
                <w:szCs w:val="24"/>
              </w:rPr>
              <w:t>紫光股份</w:t>
            </w:r>
          </w:p>
        </w:tc>
        <w:tc>
          <w:tcPr>
            <w:tcW w:w="1334" w:type="dxa"/>
            <w:vAlign w:val="center"/>
          </w:tcPr>
          <w:p w:rsidR="00F537C1" w:rsidRDefault="004311A1">
            <w:pPr>
              <w:jc w:val="right"/>
            </w:pPr>
            <w:r>
              <w:rPr>
                <w:color w:val="000000"/>
                <w:sz w:val="24"/>
                <w:szCs w:val="24"/>
              </w:rPr>
              <w:t>50,000</w:t>
            </w:r>
          </w:p>
        </w:tc>
        <w:tc>
          <w:tcPr>
            <w:tcW w:w="1924" w:type="dxa"/>
            <w:vAlign w:val="center"/>
          </w:tcPr>
          <w:p w:rsidR="00F537C1" w:rsidRDefault="004311A1">
            <w:pPr>
              <w:jc w:val="right"/>
            </w:pPr>
            <w:r>
              <w:rPr>
                <w:color w:val="000000"/>
                <w:sz w:val="24"/>
                <w:szCs w:val="24"/>
              </w:rPr>
              <w:t>4,919,000.00</w:t>
            </w:r>
          </w:p>
        </w:tc>
        <w:tc>
          <w:tcPr>
            <w:tcW w:w="1644" w:type="dxa"/>
            <w:vAlign w:val="center"/>
          </w:tcPr>
          <w:p w:rsidR="00F537C1" w:rsidRDefault="004311A1">
            <w:pPr>
              <w:jc w:val="right"/>
            </w:pPr>
            <w:r>
              <w:rPr>
                <w:color w:val="000000"/>
                <w:sz w:val="24"/>
                <w:szCs w:val="24"/>
              </w:rPr>
              <w:t>2.57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20,865,000.00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10.89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20,865,000.00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10.89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26,788,600.00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13.99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47,653,600.00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24.88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F537C1">
        <w:trPr>
          <w:jc w:val="center"/>
        </w:trPr>
        <w:tc>
          <w:tcPr>
            <w:tcW w:w="850" w:type="dxa"/>
            <w:vAlign w:val="center"/>
          </w:tcPr>
          <w:p w:rsidR="00F537C1" w:rsidRDefault="004311A1">
            <w:pPr>
              <w:jc w:val="center"/>
            </w:pPr>
            <w:r>
              <w:rPr>
                <w:color w:val="000000"/>
                <w:sz w:val="24"/>
                <w:szCs w:val="24"/>
              </w:rPr>
              <w:t>1</w:t>
            </w:r>
          </w:p>
        </w:tc>
        <w:tc>
          <w:tcPr>
            <w:tcW w:w="1475" w:type="dxa"/>
            <w:vAlign w:val="center"/>
          </w:tcPr>
          <w:p w:rsidR="00F537C1" w:rsidRDefault="004311A1">
            <w:pPr>
              <w:jc w:val="center"/>
            </w:pPr>
            <w:r>
              <w:rPr>
                <w:color w:val="000000"/>
                <w:sz w:val="24"/>
                <w:szCs w:val="24"/>
              </w:rPr>
              <w:t>122266</w:t>
            </w:r>
          </w:p>
        </w:tc>
        <w:tc>
          <w:tcPr>
            <w:tcW w:w="1769" w:type="dxa"/>
            <w:vAlign w:val="center"/>
          </w:tcPr>
          <w:p w:rsidR="00F537C1" w:rsidRDefault="004311A1">
            <w:pPr>
              <w:jc w:val="center"/>
            </w:pPr>
            <w:r>
              <w:rPr>
                <w:color w:val="000000"/>
                <w:sz w:val="24"/>
                <w:szCs w:val="24"/>
              </w:rPr>
              <w:t>13</w:t>
            </w:r>
            <w:r>
              <w:rPr>
                <w:color w:val="000000"/>
                <w:sz w:val="24"/>
                <w:szCs w:val="24"/>
              </w:rPr>
              <w:t>中信</w:t>
            </w:r>
            <w:r>
              <w:rPr>
                <w:color w:val="000000"/>
                <w:sz w:val="24"/>
                <w:szCs w:val="24"/>
              </w:rPr>
              <w:t>03</w:t>
            </w:r>
          </w:p>
        </w:tc>
        <w:tc>
          <w:tcPr>
            <w:tcW w:w="1387" w:type="dxa"/>
            <w:vAlign w:val="center"/>
          </w:tcPr>
          <w:p w:rsidR="00F537C1" w:rsidRDefault="004311A1">
            <w:pPr>
              <w:jc w:val="right"/>
            </w:pPr>
            <w:r>
              <w:rPr>
                <w:color w:val="000000"/>
                <w:sz w:val="24"/>
                <w:szCs w:val="24"/>
              </w:rPr>
              <w:t>165,000</w:t>
            </w:r>
          </w:p>
        </w:tc>
        <w:tc>
          <w:tcPr>
            <w:tcW w:w="2150" w:type="dxa"/>
            <w:vAlign w:val="center"/>
          </w:tcPr>
          <w:p w:rsidR="00F537C1" w:rsidRDefault="004311A1">
            <w:pPr>
              <w:jc w:val="right"/>
            </w:pPr>
            <w:r>
              <w:rPr>
                <w:color w:val="000000"/>
                <w:sz w:val="24"/>
                <w:szCs w:val="24"/>
              </w:rPr>
              <w:t>16,737,600.00</w:t>
            </w:r>
          </w:p>
        </w:tc>
        <w:tc>
          <w:tcPr>
            <w:tcW w:w="1237" w:type="dxa"/>
            <w:vAlign w:val="center"/>
          </w:tcPr>
          <w:p w:rsidR="00F537C1" w:rsidRDefault="004311A1">
            <w:pPr>
              <w:jc w:val="right"/>
            </w:pPr>
            <w:r>
              <w:rPr>
                <w:color w:val="000000"/>
                <w:sz w:val="24"/>
                <w:szCs w:val="24"/>
              </w:rPr>
              <w:t>8.74</w:t>
            </w:r>
          </w:p>
        </w:tc>
      </w:tr>
      <w:tr w:rsidR="00F537C1">
        <w:trPr>
          <w:jc w:val="center"/>
        </w:trPr>
        <w:tc>
          <w:tcPr>
            <w:tcW w:w="850" w:type="dxa"/>
            <w:vAlign w:val="center"/>
          </w:tcPr>
          <w:p w:rsidR="00F537C1" w:rsidRDefault="004311A1">
            <w:pPr>
              <w:jc w:val="center"/>
            </w:pPr>
            <w:r>
              <w:rPr>
                <w:color w:val="000000"/>
                <w:sz w:val="24"/>
                <w:szCs w:val="24"/>
              </w:rPr>
              <w:t>2</w:t>
            </w:r>
          </w:p>
        </w:tc>
        <w:tc>
          <w:tcPr>
            <w:tcW w:w="1475" w:type="dxa"/>
            <w:vAlign w:val="center"/>
          </w:tcPr>
          <w:p w:rsidR="00F537C1" w:rsidRDefault="004311A1">
            <w:pPr>
              <w:jc w:val="center"/>
            </w:pPr>
            <w:r>
              <w:rPr>
                <w:color w:val="000000"/>
                <w:sz w:val="24"/>
                <w:szCs w:val="24"/>
              </w:rPr>
              <w:t>150210</w:t>
            </w:r>
          </w:p>
        </w:tc>
        <w:tc>
          <w:tcPr>
            <w:tcW w:w="1769" w:type="dxa"/>
            <w:vAlign w:val="center"/>
          </w:tcPr>
          <w:p w:rsidR="00F537C1" w:rsidRDefault="004311A1">
            <w:pPr>
              <w:jc w:val="center"/>
            </w:pPr>
            <w:r>
              <w:rPr>
                <w:color w:val="000000"/>
                <w:sz w:val="24"/>
                <w:szCs w:val="24"/>
              </w:rPr>
              <w:t>15</w:t>
            </w:r>
            <w:r>
              <w:rPr>
                <w:color w:val="000000"/>
                <w:sz w:val="24"/>
                <w:szCs w:val="24"/>
              </w:rPr>
              <w:t>国开</w:t>
            </w:r>
            <w:r>
              <w:rPr>
                <w:color w:val="000000"/>
                <w:sz w:val="24"/>
                <w:szCs w:val="24"/>
              </w:rPr>
              <w:t>10</w:t>
            </w:r>
          </w:p>
        </w:tc>
        <w:tc>
          <w:tcPr>
            <w:tcW w:w="1387" w:type="dxa"/>
            <w:vAlign w:val="center"/>
          </w:tcPr>
          <w:p w:rsidR="00F537C1" w:rsidRDefault="004311A1">
            <w:pPr>
              <w:jc w:val="right"/>
            </w:pPr>
            <w:r>
              <w:rPr>
                <w:color w:val="000000"/>
                <w:sz w:val="24"/>
                <w:szCs w:val="24"/>
              </w:rPr>
              <w:t>100,000</w:t>
            </w:r>
          </w:p>
        </w:tc>
        <w:tc>
          <w:tcPr>
            <w:tcW w:w="2150" w:type="dxa"/>
            <w:vAlign w:val="center"/>
          </w:tcPr>
          <w:p w:rsidR="00F537C1" w:rsidRDefault="004311A1">
            <w:pPr>
              <w:jc w:val="right"/>
            </w:pPr>
            <w:r>
              <w:rPr>
                <w:color w:val="000000"/>
                <w:sz w:val="24"/>
                <w:szCs w:val="24"/>
              </w:rPr>
              <w:t>10,836,000.00</w:t>
            </w:r>
          </w:p>
        </w:tc>
        <w:tc>
          <w:tcPr>
            <w:tcW w:w="1237" w:type="dxa"/>
            <w:vAlign w:val="center"/>
          </w:tcPr>
          <w:p w:rsidR="00F537C1" w:rsidRDefault="004311A1">
            <w:pPr>
              <w:jc w:val="right"/>
            </w:pPr>
            <w:r>
              <w:rPr>
                <w:color w:val="000000"/>
                <w:sz w:val="24"/>
                <w:szCs w:val="24"/>
              </w:rPr>
              <w:t>5.66</w:t>
            </w:r>
          </w:p>
        </w:tc>
      </w:tr>
      <w:tr w:rsidR="00F537C1">
        <w:trPr>
          <w:jc w:val="center"/>
        </w:trPr>
        <w:tc>
          <w:tcPr>
            <w:tcW w:w="850" w:type="dxa"/>
            <w:vAlign w:val="center"/>
          </w:tcPr>
          <w:p w:rsidR="00F537C1" w:rsidRDefault="004311A1">
            <w:pPr>
              <w:jc w:val="center"/>
            </w:pPr>
            <w:r>
              <w:rPr>
                <w:color w:val="000000"/>
                <w:sz w:val="24"/>
                <w:szCs w:val="24"/>
              </w:rPr>
              <w:t>3</w:t>
            </w:r>
          </w:p>
        </w:tc>
        <w:tc>
          <w:tcPr>
            <w:tcW w:w="1475" w:type="dxa"/>
            <w:vAlign w:val="center"/>
          </w:tcPr>
          <w:p w:rsidR="00F537C1" w:rsidRDefault="004311A1">
            <w:pPr>
              <w:jc w:val="center"/>
            </w:pPr>
            <w:r>
              <w:rPr>
                <w:color w:val="000000"/>
                <w:sz w:val="24"/>
                <w:szCs w:val="24"/>
              </w:rPr>
              <w:t>122399</w:t>
            </w:r>
          </w:p>
        </w:tc>
        <w:tc>
          <w:tcPr>
            <w:tcW w:w="1769" w:type="dxa"/>
            <w:vAlign w:val="center"/>
          </w:tcPr>
          <w:p w:rsidR="00F537C1" w:rsidRDefault="004311A1">
            <w:pPr>
              <w:jc w:val="center"/>
            </w:pPr>
            <w:r>
              <w:rPr>
                <w:color w:val="000000"/>
                <w:sz w:val="24"/>
                <w:szCs w:val="24"/>
              </w:rPr>
              <w:t>15</w:t>
            </w:r>
            <w:r>
              <w:rPr>
                <w:color w:val="000000"/>
                <w:sz w:val="24"/>
                <w:szCs w:val="24"/>
              </w:rPr>
              <w:t>中投</w:t>
            </w:r>
            <w:r>
              <w:rPr>
                <w:color w:val="000000"/>
                <w:sz w:val="24"/>
                <w:szCs w:val="24"/>
              </w:rPr>
              <w:t>G1</w:t>
            </w:r>
          </w:p>
        </w:tc>
        <w:tc>
          <w:tcPr>
            <w:tcW w:w="1387" w:type="dxa"/>
            <w:vAlign w:val="center"/>
          </w:tcPr>
          <w:p w:rsidR="00F537C1" w:rsidRDefault="004311A1">
            <w:pPr>
              <w:jc w:val="right"/>
            </w:pPr>
            <w:r>
              <w:rPr>
                <w:color w:val="000000"/>
                <w:sz w:val="24"/>
                <w:szCs w:val="24"/>
              </w:rPr>
              <w:t>100,000</w:t>
            </w:r>
          </w:p>
        </w:tc>
        <w:tc>
          <w:tcPr>
            <w:tcW w:w="2150" w:type="dxa"/>
            <w:vAlign w:val="center"/>
          </w:tcPr>
          <w:p w:rsidR="00F537C1" w:rsidRDefault="004311A1">
            <w:pPr>
              <w:jc w:val="right"/>
            </w:pPr>
            <w:r>
              <w:rPr>
                <w:color w:val="000000"/>
                <w:sz w:val="24"/>
                <w:szCs w:val="24"/>
              </w:rPr>
              <w:t>10,051,000.00</w:t>
            </w:r>
          </w:p>
        </w:tc>
        <w:tc>
          <w:tcPr>
            <w:tcW w:w="1237" w:type="dxa"/>
            <w:vAlign w:val="center"/>
          </w:tcPr>
          <w:p w:rsidR="00F537C1" w:rsidRDefault="004311A1">
            <w:pPr>
              <w:jc w:val="right"/>
            </w:pPr>
            <w:r>
              <w:rPr>
                <w:color w:val="000000"/>
                <w:sz w:val="24"/>
                <w:szCs w:val="24"/>
              </w:rPr>
              <w:t>5.25</w:t>
            </w:r>
          </w:p>
        </w:tc>
      </w:tr>
      <w:tr w:rsidR="00F537C1">
        <w:trPr>
          <w:jc w:val="center"/>
        </w:trPr>
        <w:tc>
          <w:tcPr>
            <w:tcW w:w="850" w:type="dxa"/>
            <w:vAlign w:val="center"/>
          </w:tcPr>
          <w:p w:rsidR="00F537C1" w:rsidRDefault="004311A1">
            <w:pPr>
              <w:jc w:val="center"/>
            </w:pPr>
            <w:r>
              <w:rPr>
                <w:color w:val="000000"/>
                <w:sz w:val="24"/>
                <w:szCs w:val="24"/>
              </w:rPr>
              <w:t>4</w:t>
            </w:r>
          </w:p>
        </w:tc>
        <w:tc>
          <w:tcPr>
            <w:tcW w:w="1475" w:type="dxa"/>
            <w:vAlign w:val="center"/>
          </w:tcPr>
          <w:p w:rsidR="00F537C1" w:rsidRDefault="004311A1">
            <w:pPr>
              <w:jc w:val="center"/>
            </w:pPr>
            <w:r>
              <w:rPr>
                <w:color w:val="000000"/>
                <w:sz w:val="24"/>
                <w:szCs w:val="24"/>
              </w:rPr>
              <w:t>150211</w:t>
            </w:r>
          </w:p>
        </w:tc>
        <w:tc>
          <w:tcPr>
            <w:tcW w:w="1769" w:type="dxa"/>
            <w:vAlign w:val="center"/>
          </w:tcPr>
          <w:p w:rsidR="00F537C1" w:rsidRDefault="004311A1">
            <w:pPr>
              <w:jc w:val="center"/>
            </w:pPr>
            <w:r>
              <w:rPr>
                <w:color w:val="000000"/>
                <w:sz w:val="24"/>
                <w:szCs w:val="24"/>
              </w:rPr>
              <w:t>15</w:t>
            </w:r>
            <w:r>
              <w:rPr>
                <w:color w:val="000000"/>
                <w:sz w:val="24"/>
                <w:szCs w:val="24"/>
              </w:rPr>
              <w:t>国开</w:t>
            </w:r>
            <w:r>
              <w:rPr>
                <w:color w:val="000000"/>
                <w:sz w:val="24"/>
                <w:szCs w:val="24"/>
              </w:rPr>
              <w:t>11</w:t>
            </w:r>
          </w:p>
        </w:tc>
        <w:tc>
          <w:tcPr>
            <w:tcW w:w="1387" w:type="dxa"/>
            <w:vAlign w:val="center"/>
          </w:tcPr>
          <w:p w:rsidR="00F537C1" w:rsidRDefault="004311A1">
            <w:pPr>
              <w:jc w:val="right"/>
            </w:pPr>
            <w:r>
              <w:rPr>
                <w:color w:val="000000"/>
                <w:sz w:val="24"/>
                <w:szCs w:val="24"/>
              </w:rPr>
              <w:t>100,000</w:t>
            </w:r>
          </w:p>
        </w:tc>
        <w:tc>
          <w:tcPr>
            <w:tcW w:w="2150" w:type="dxa"/>
            <w:vAlign w:val="center"/>
          </w:tcPr>
          <w:p w:rsidR="00F537C1" w:rsidRDefault="004311A1">
            <w:pPr>
              <w:jc w:val="right"/>
            </w:pPr>
            <w:r>
              <w:rPr>
                <w:color w:val="000000"/>
                <w:sz w:val="24"/>
                <w:szCs w:val="24"/>
              </w:rPr>
              <w:t>10,029,000.00</w:t>
            </w:r>
          </w:p>
        </w:tc>
        <w:tc>
          <w:tcPr>
            <w:tcW w:w="1237" w:type="dxa"/>
            <w:vAlign w:val="center"/>
          </w:tcPr>
          <w:p w:rsidR="00F537C1" w:rsidRDefault="004311A1">
            <w:pPr>
              <w:jc w:val="right"/>
            </w:pPr>
            <w:r>
              <w:rPr>
                <w:color w:val="000000"/>
                <w:sz w:val="24"/>
                <w:szCs w:val="24"/>
              </w:rPr>
              <w:t>5.24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w:t>
      </w:r>
      <w:r w:rsidRPr="00BE5388">
        <w:rPr>
          <w:bCs/>
          <w:color w:val="000000"/>
          <w:kern w:val="0"/>
          <w:sz w:val="24"/>
          <w:szCs w:val="24"/>
        </w:rPr>
        <w:t>13</w:t>
      </w:r>
      <w:r w:rsidRPr="00BE5388">
        <w:rPr>
          <w:bCs/>
          <w:color w:val="000000"/>
          <w:kern w:val="0"/>
          <w:sz w:val="24"/>
          <w:szCs w:val="24"/>
        </w:rPr>
        <w:t>中信</w:t>
      </w:r>
      <w:r w:rsidRPr="00BE5388">
        <w:rPr>
          <w:bCs/>
          <w:color w:val="000000"/>
          <w:kern w:val="0"/>
          <w:sz w:val="24"/>
          <w:szCs w:val="24"/>
        </w:rPr>
        <w:t>03</w:t>
      </w:r>
      <w:r w:rsidRPr="00BE5388">
        <w:rPr>
          <w:bCs/>
          <w:color w:val="000000"/>
          <w:kern w:val="0"/>
          <w:sz w:val="24"/>
          <w:szCs w:val="24"/>
        </w:rPr>
        <w:t>（证券代码：</w:t>
      </w:r>
      <w:r w:rsidRPr="00BE5388">
        <w:rPr>
          <w:bCs/>
          <w:color w:val="000000"/>
          <w:kern w:val="0"/>
          <w:sz w:val="24"/>
          <w:szCs w:val="24"/>
        </w:rPr>
        <w:t>122266</w:t>
      </w:r>
      <w:r w:rsidRPr="00BE5388">
        <w:rPr>
          <w:bCs/>
          <w:color w:val="000000"/>
          <w:kern w:val="0"/>
          <w:sz w:val="24"/>
          <w:szCs w:val="24"/>
        </w:rPr>
        <w:t>）外，未出现被监管部门立案调查，或在报告编制日前一年内受到公开谴责、处罚的情形。</w:t>
      </w:r>
    </w:p>
    <w:p w:rsidR="00F537C1" w:rsidRDefault="004311A1">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w:t>
      </w:r>
      <w:r>
        <w:rPr>
          <w:bCs/>
          <w:color w:val="000000"/>
          <w:kern w:val="0"/>
          <w:sz w:val="24"/>
          <w:szCs w:val="24"/>
        </w:rPr>
        <w:t>13</w:t>
      </w:r>
      <w:r>
        <w:rPr>
          <w:bCs/>
          <w:color w:val="000000"/>
          <w:kern w:val="0"/>
          <w:sz w:val="24"/>
          <w:szCs w:val="24"/>
        </w:rPr>
        <w:t>中信</w:t>
      </w:r>
      <w:r>
        <w:rPr>
          <w:bCs/>
          <w:color w:val="000000"/>
          <w:kern w:val="0"/>
          <w:sz w:val="24"/>
          <w:szCs w:val="24"/>
        </w:rPr>
        <w:t>03</w:t>
      </w:r>
      <w:r>
        <w:rPr>
          <w:bCs/>
          <w:color w:val="000000"/>
          <w:kern w:val="0"/>
          <w:sz w:val="24"/>
          <w:szCs w:val="24"/>
        </w:rPr>
        <w:t>（证券代码：</w:t>
      </w:r>
      <w:r>
        <w:rPr>
          <w:bCs/>
          <w:color w:val="000000"/>
          <w:kern w:val="0"/>
          <w:sz w:val="24"/>
          <w:szCs w:val="24"/>
        </w:rPr>
        <w:t>122266</w:t>
      </w:r>
      <w:r>
        <w:rPr>
          <w:bCs/>
          <w:color w:val="000000"/>
          <w:kern w:val="0"/>
          <w:sz w:val="24"/>
          <w:szCs w:val="24"/>
        </w:rPr>
        <w:t>）的发行主体中信证券于</w:t>
      </w:r>
      <w:r>
        <w:rPr>
          <w:bCs/>
          <w:color w:val="000000"/>
          <w:kern w:val="0"/>
          <w:sz w:val="24"/>
          <w:szCs w:val="24"/>
        </w:rPr>
        <w:t>2015</w:t>
      </w:r>
      <w:r>
        <w:rPr>
          <w:bCs/>
          <w:color w:val="000000"/>
          <w:kern w:val="0"/>
          <w:sz w:val="24"/>
          <w:szCs w:val="24"/>
        </w:rPr>
        <w:t>年</w:t>
      </w:r>
      <w:r>
        <w:rPr>
          <w:bCs/>
          <w:color w:val="000000"/>
          <w:kern w:val="0"/>
          <w:sz w:val="24"/>
          <w:szCs w:val="24"/>
        </w:rPr>
        <w:t>11</w:t>
      </w:r>
      <w:r>
        <w:rPr>
          <w:bCs/>
          <w:color w:val="000000"/>
          <w:kern w:val="0"/>
          <w:sz w:val="24"/>
          <w:szCs w:val="24"/>
        </w:rPr>
        <w:t>月</w:t>
      </w:r>
      <w:r>
        <w:rPr>
          <w:bCs/>
          <w:color w:val="000000"/>
          <w:kern w:val="0"/>
          <w:sz w:val="24"/>
          <w:szCs w:val="24"/>
        </w:rPr>
        <w:t>26</w:t>
      </w:r>
      <w:r>
        <w:rPr>
          <w:bCs/>
          <w:color w:val="000000"/>
          <w:kern w:val="0"/>
          <w:sz w:val="24"/>
          <w:szCs w:val="24"/>
        </w:rPr>
        <w:t>日公告，公司于</w:t>
      </w:r>
      <w:r>
        <w:rPr>
          <w:bCs/>
          <w:color w:val="000000"/>
          <w:kern w:val="0"/>
          <w:sz w:val="24"/>
          <w:szCs w:val="24"/>
        </w:rPr>
        <w:t>2015</w:t>
      </w:r>
      <w:r>
        <w:rPr>
          <w:bCs/>
          <w:color w:val="000000"/>
          <w:kern w:val="0"/>
          <w:sz w:val="24"/>
          <w:szCs w:val="24"/>
        </w:rPr>
        <w:t>年</w:t>
      </w:r>
      <w:r>
        <w:rPr>
          <w:bCs/>
          <w:color w:val="000000"/>
          <w:kern w:val="0"/>
          <w:sz w:val="24"/>
          <w:szCs w:val="24"/>
        </w:rPr>
        <w:t>11</w:t>
      </w:r>
      <w:r>
        <w:rPr>
          <w:bCs/>
          <w:color w:val="000000"/>
          <w:kern w:val="0"/>
          <w:sz w:val="24"/>
          <w:szCs w:val="24"/>
        </w:rPr>
        <w:t>月</w:t>
      </w:r>
      <w:r>
        <w:rPr>
          <w:bCs/>
          <w:color w:val="000000"/>
          <w:kern w:val="0"/>
          <w:sz w:val="24"/>
          <w:szCs w:val="24"/>
        </w:rPr>
        <w:t>26</w:t>
      </w:r>
      <w:r>
        <w:rPr>
          <w:bCs/>
          <w:color w:val="000000"/>
          <w:kern w:val="0"/>
          <w:sz w:val="24"/>
          <w:szCs w:val="24"/>
        </w:rPr>
        <w:t>日收到中国证监会《调查通知书》。公司因涉嫌违反《证券公司监督管理条例》相关规定，中国证监会决定对公司进行立案调查；公司于</w:t>
      </w:r>
      <w:r>
        <w:rPr>
          <w:bCs/>
          <w:color w:val="000000"/>
          <w:kern w:val="0"/>
          <w:sz w:val="24"/>
          <w:szCs w:val="24"/>
        </w:rPr>
        <w:t>2015</w:t>
      </w:r>
      <w:r>
        <w:rPr>
          <w:bCs/>
          <w:color w:val="000000"/>
          <w:kern w:val="0"/>
          <w:sz w:val="24"/>
          <w:szCs w:val="24"/>
        </w:rPr>
        <w:t>年</w:t>
      </w:r>
      <w:r>
        <w:rPr>
          <w:bCs/>
          <w:color w:val="000000"/>
          <w:kern w:val="0"/>
          <w:sz w:val="24"/>
          <w:szCs w:val="24"/>
        </w:rPr>
        <w:t>1</w:t>
      </w:r>
      <w:r>
        <w:rPr>
          <w:bCs/>
          <w:color w:val="000000"/>
          <w:kern w:val="0"/>
          <w:sz w:val="24"/>
          <w:szCs w:val="24"/>
        </w:rPr>
        <w:t>月</w:t>
      </w:r>
      <w:r>
        <w:rPr>
          <w:bCs/>
          <w:color w:val="000000"/>
          <w:kern w:val="0"/>
          <w:sz w:val="24"/>
          <w:szCs w:val="24"/>
        </w:rPr>
        <w:t>18</w:t>
      </w:r>
      <w:r>
        <w:rPr>
          <w:bCs/>
          <w:color w:val="000000"/>
          <w:kern w:val="0"/>
          <w:sz w:val="24"/>
          <w:szCs w:val="24"/>
        </w:rPr>
        <w:t>日公告，公司因存在为到期融资融券合约展期的问题，被中国证监会采取暂停新开融资融券客户信用账户</w:t>
      </w:r>
      <w:r>
        <w:rPr>
          <w:bCs/>
          <w:color w:val="000000"/>
          <w:kern w:val="0"/>
          <w:sz w:val="24"/>
          <w:szCs w:val="24"/>
        </w:rPr>
        <w:t>3</w:t>
      </w:r>
      <w:r>
        <w:rPr>
          <w:bCs/>
          <w:color w:val="000000"/>
          <w:kern w:val="0"/>
          <w:sz w:val="24"/>
          <w:szCs w:val="24"/>
        </w:rPr>
        <w:t>个月的行政监管措施。</w:t>
      </w:r>
    </w:p>
    <w:p w:rsidR="00F537C1" w:rsidRDefault="004311A1">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事件发生时及时分析其对投资决策的影响，经过分析认为上述事件对债券发行主体财务状况、经营成果和现金流量未产生重大的实质性影响，所以不影响对该债券基本面和投资价值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568,091.81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908,009.63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993.32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1,477,094.76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F537C1">
        <w:trPr>
          <w:jc w:val="center"/>
        </w:trPr>
        <w:tc>
          <w:tcPr>
            <w:tcW w:w="1129" w:type="dxa"/>
            <w:vAlign w:val="center"/>
          </w:tcPr>
          <w:p w:rsidR="00F537C1" w:rsidRDefault="004311A1">
            <w:pPr>
              <w:jc w:val="center"/>
            </w:pPr>
            <w:r>
              <w:rPr>
                <w:color w:val="000000"/>
                <w:sz w:val="24"/>
                <w:szCs w:val="24"/>
              </w:rPr>
              <w:t>1</w:t>
            </w:r>
          </w:p>
        </w:tc>
        <w:tc>
          <w:tcPr>
            <w:tcW w:w="1356" w:type="dxa"/>
            <w:vAlign w:val="center"/>
          </w:tcPr>
          <w:p w:rsidR="00F537C1" w:rsidRDefault="004311A1">
            <w:pPr>
              <w:jc w:val="center"/>
            </w:pPr>
            <w:r>
              <w:rPr>
                <w:color w:val="000000"/>
                <w:sz w:val="24"/>
                <w:szCs w:val="24"/>
              </w:rPr>
              <w:t>300336</w:t>
            </w:r>
          </w:p>
        </w:tc>
        <w:tc>
          <w:tcPr>
            <w:tcW w:w="1355" w:type="dxa"/>
            <w:vAlign w:val="center"/>
          </w:tcPr>
          <w:p w:rsidR="00F537C1" w:rsidRDefault="004311A1">
            <w:pPr>
              <w:jc w:val="center"/>
            </w:pPr>
            <w:r>
              <w:rPr>
                <w:color w:val="000000"/>
                <w:sz w:val="24"/>
                <w:szCs w:val="24"/>
              </w:rPr>
              <w:t>新文化</w:t>
            </w:r>
          </w:p>
        </w:tc>
        <w:tc>
          <w:tcPr>
            <w:tcW w:w="1880" w:type="dxa"/>
            <w:vAlign w:val="center"/>
          </w:tcPr>
          <w:p w:rsidR="00F537C1" w:rsidRDefault="004311A1">
            <w:pPr>
              <w:jc w:val="right"/>
            </w:pPr>
            <w:r>
              <w:rPr>
                <w:color w:val="000000"/>
                <w:sz w:val="24"/>
                <w:szCs w:val="24"/>
              </w:rPr>
              <w:t>7,560,000.00</w:t>
            </w:r>
          </w:p>
        </w:tc>
        <w:tc>
          <w:tcPr>
            <w:tcW w:w="1724" w:type="dxa"/>
            <w:vAlign w:val="center"/>
          </w:tcPr>
          <w:p w:rsidR="00F537C1" w:rsidRDefault="004311A1">
            <w:pPr>
              <w:jc w:val="right"/>
            </w:pPr>
            <w:r>
              <w:rPr>
                <w:color w:val="000000"/>
                <w:sz w:val="24"/>
                <w:szCs w:val="24"/>
              </w:rPr>
              <w:t>3.95</w:t>
            </w:r>
          </w:p>
        </w:tc>
        <w:tc>
          <w:tcPr>
            <w:tcW w:w="1424" w:type="dxa"/>
            <w:vAlign w:val="center"/>
          </w:tcPr>
          <w:p w:rsidR="00F537C1" w:rsidRDefault="004311A1">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200,059,416.77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1,701,176.23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27,823,032.76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173,937,560.24</w:t>
            </w:r>
          </w:p>
        </w:tc>
      </w:tr>
    </w:tbl>
    <w:p w:rsidR="00F537C1" w:rsidRDefault="004311A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983954">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983954">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鉴于交银施罗德策略回报灵活配置混合型证券投资基金的业绩比较基准的指数停止计算编制，本基金管理人根据基金合同的相关约定，经与基金托管人协商一致，并报中国证监会备案，决定自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日起将交银施罗德策略回报灵活配置混合型证券投资基金的业绩比较基准由原</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，并相应修改基金合同的有关内容。详情请见本基金管理人于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983954">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F537C1" w:rsidRDefault="004311A1">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、中国证监会批准交银施罗德荣安保本混合型证券投资基金募集的文件；</w:t>
      </w:r>
    </w:p>
    <w:p w:rsidR="00F537C1" w:rsidRDefault="004311A1">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、《交银施罗德策略回报灵活配置混合型证券投资基金基金合同》；</w:t>
      </w:r>
    </w:p>
    <w:p w:rsidR="00F537C1" w:rsidRDefault="004311A1">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、《交银施罗德策略回报灵活配置混合型证券投资基金招募说明书》；</w:t>
      </w:r>
    </w:p>
    <w:p w:rsidR="00F537C1" w:rsidRDefault="004311A1">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、《交银施罗德策略回报灵活配置混合型证券投资基金托管协议》；</w:t>
      </w:r>
    </w:p>
    <w:p w:rsidR="00F537C1" w:rsidRDefault="004311A1">
      <w:pPr>
        <w:spacing w:before="29" w:line="288" w:lineRule="auto"/>
        <w:ind w:firstLineChars="200" w:firstLine="480"/>
        <w:rPr>
          <w:color w:val="000000"/>
          <w:sz w:val="24"/>
          <w:szCs w:val="24"/>
        </w:rPr>
      </w:pPr>
      <w:r>
        <w:rPr>
          <w:color w:val="000000"/>
          <w:sz w:val="24"/>
          <w:szCs w:val="24"/>
        </w:rPr>
        <w:t>5</w:t>
      </w:r>
      <w:r>
        <w:rPr>
          <w:color w:val="000000"/>
          <w:sz w:val="24"/>
          <w:szCs w:val="24"/>
        </w:rPr>
        <w:t>、《交银施罗德荣安保本混合型证券投资基金基金合同》；</w:t>
      </w:r>
    </w:p>
    <w:p w:rsidR="00F537C1" w:rsidRDefault="004311A1">
      <w:pPr>
        <w:spacing w:before="29" w:line="288" w:lineRule="auto"/>
        <w:ind w:firstLineChars="200" w:firstLine="480"/>
        <w:rPr>
          <w:color w:val="000000"/>
          <w:sz w:val="24"/>
          <w:szCs w:val="24"/>
        </w:rPr>
      </w:pPr>
      <w:r>
        <w:rPr>
          <w:color w:val="000000"/>
          <w:sz w:val="24"/>
          <w:szCs w:val="24"/>
        </w:rPr>
        <w:t>6</w:t>
      </w:r>
      <w:r>
        <w:rPr>
          <w:color w:val="000000"/>
          <w:sz w:val="24"/>
          <w:szCs w:val="24"/>
        </w:rPr>
        <w:t>、《交银施罗德荣安保本混合型证券投资基金招募说明书》；</w:t>
      </w:r>
    </w:p>
    <w:p w:rsidR="00F537C1" w:rsidRDefault="004311A1">
      <w:pPr>
        <w:spacing w:before="29" w:line="288" w:lineRule="auto"/>
        <w:ind w:firstLineChars="200" w:firstLine="480"/>
        <w:rPr>
          <w:color w:val="000000"/>
          <w:sz w:val="24"/>
          <w:szCs w:val="24"/>
        </w:rPr>
      </w:pPr>
      <w:r>
        <w:rPr>
          <w:color w:val="000000"/>
          <w:sz w:val="24"/>
          <w:szCs w:val="24"/>
        </w:rPr>
        <w:t>7</w:t>
      </w:r>
      <w:r>
        <w:rPr>
          <w:color w:val="000000"/>
          <w:sz w:val="24"/>
          <w:szCs w:val="24"/>
        </w:rPr>
        <w:t>、《交银施罗德荣安保本混合型证券投资基金托管协议》；</w:t>
      </w:r>
    </w:p>
    <w:p w:rsidR="00F537C1" w:rsidRDefault="004311A1">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、《交银施罗德荣安保本混合型证券投资基金保证合同》；</w:t>
      </w:r>
      <w:r>
        <w:rPr>
          <w:color w:val="000000"/>
          <w:sz w:val="24"/>
          <w:szCs w:val="24"/>
        </w:rPr>
        <w:t xml:space="preserve"> </w:t>
      </w:r>
    </w:p>
    <w:p w:rsidR="00F537C1" w:rsidRDefault="004311A1">
      <w:pPr>
        <w:spacing w:before="29" w:line="288" w:lineRule="auto"/>
        <w:ind w:firstLineChars="200" w:firstLine="480"/>
        <w:rPr>
          <w:color w:val="000000"/>
          <w:sz w:val="24"/>
          <w:szCs w:val="24"/>
        </w:rPr>
      </w:pPr>
      <w:r>
        <w:rPr>
          <w:color w:val="000000"/>
          <w:sz w:val="24"/>
          <w:szCs w:val="24"/>
        </w:rPr>
        <w:t>9</w:t>
      </w:r>
      <w:r>
        <w:rPr>
          <w:color w:val="000000"/>
          <w:sz w:val="24"/>
          <w:szCs w:val="24"/>
        </w:rPr>
        <w:t>、基金管理人业务资格批件、营业执照；</w:t>
      </w:r>
    </w:p>
    <w:p w:rsidR="00F537C1" w:rsidRDefault="004311A1">
      <w:pPr>
        <w:spacing w:before="29" w:line="288" w:lineRule="auto"/>
        <w:ind w:firstLineChars="200" w:firstLine="480"/>
        <w:rPr>
          <w:color w:val="000000"/>
          <w:sz w:val="24"/>
          <w:szCs w:val="24"/>
        </w:rPr>
      </w:pPr>
      <w:r>
        <w:rPr>
          <w:color w:val="000000"/>
          <w:sz w:val="24"/>
          <w:szCs w:val="24"/>
        </w:rPr>
        <w:t>10</w:t>
      </w:r>
      <w:r>
        <w:rPr>
          <w:color w:val="000000"/>
          <w:sz w:val="24"/>
          <w:szCs w:val="24"/>
        </w:rPr>
        <w:t>、基金托管人业务资格批件、营业执照；</w:t>
      </w:r>
    </w:p>
    <w:p w:rsidR="00F537C1" w:rsidRDefault="004311A1">
      <w:pPr>
        <w:spacing w:before="29" w:line="288" w:lineRule="auto"/>
        <w:ind w:firstLineChars="200" w:firstLine="480"/>
        <w:rPr>
          <w:color w:val="000000"/>
          <w:sz w:val="24"/>
          <w:szCs w:val="24"/>
        </w:rPr>
      </w:pPr>
      <w:r>
        <w:rPr>
          <w:color w:val="000000"/>
          <w:sz w:val="24"/>
          <w:szCs w:val="24"/>
        </w:rPr>
        <w:t>11</w:t>
      </w:r>
      <w:r>
        <w:rPr>
          <w:color w:val="000000"/>
          <w:sz w:val="24"/>
          <w:szCs w:val="24"/>
        </w:rPr>
        <w:t>、关于申请募集交银施罗德荣安保本混合型证券投资基金之法律意见书；</w:t>
      </w:r>
    </w:p>
    <w:p w:rsidR="00F537C1" w:rsidRDefault="004311A1">
      <w:pPr>
        <w:spacing w:before="29" w:line="288" w:lineRule="auto"/>
        <w:ind w:firstLineChars="200" w:firstLine="480"/>
        <w:rPr>
          <w:color w:val="000000"/>
          <w:sz w:val="24"/>
          <w:szCs w:val="24"/>
        </w:rPr>
      </w:pPr>
      <w:r>
        <w:rPr>
          <w:color w:val="000000"/>
          <w:sz w:val="24"/>
          <w:szCs w:val="24"/>
        </w:rPr>
        <w:t>12</w:t>
      </w:r>
      <w:r>
        <w:rPr>
          <w:color w:val="000000"/>
          <w:sz w:val="24"/>
          <w:szCs w:val="24"/>
        </w:rPr>
        <w:t>、关于修改《交银施罗德荣安保本混合型证券投资基金基金合同》的法律意见；</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、报告期内交银施罗德策略回报灵活配置混合型证券投资基金在指定报刊上各项公告的原稿。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F537C1" w:rsidRDefault="004311A1">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2D4" w:rsidRDefault="00C112D4" w:rsidP="00876D65">
      <w:r>
        <w:separator/>
      </w:r>
    </w:p>
  </w:endnote>
  <w:endnote w:type="continuationSeparator" w:id="0">
    <w:p w:rsidR="00C112D4" w:rsidRDefault="00C112D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617548">
      <w:rPr>
        <w:kern w:val="0"/>
        <w:szCs w:val="21"/>
      </w:rPr>
      <w:fldChar w:fldCharType="begin"/>
    </w:r>
    <w:r>
      <w:rPr>
        <w:kern w:val="0"/>
        <w:szCs w:val="21"/>
      </w:rPr>
      <w:instrText xml:space="preserve"> PAGE </w:instrText>
    </w:r>
    <w:r w:rsidR="00617548">
      <w:rPr>
        <w:kern w:val="0"/>
        <w:szCs w:val="21"/>
      </w:rPr>
      <w:fldChar w:fldCharType="separate"/>
    </w:r>
    <w:r w:rsidR="002C41FB">
      <w:rPr>
        <w:noProof/>
        <w:kern w:val="0"/>
        <w:szCs w:val="21"/>
      </w:rPr>
      <w:t>1</w:t>
    </w:r>
    <w:r w:rsidR="00617548">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617548">
      <w:rPr>
        <w:kern w:val="0"/>
        <w:szCs w:val="21"/>
      </w:rPr>
      <w:fldChar w:fldCharType="begin"/>
    </w:r>
    <w:r>
      <w:rPr>
        <w:kern w:val="0"/>
        <w:szCs w:val="21"/>
      </w:rPr>
      <w:instrText xml:space="preserve"> NUMPAGES </w:instrText>
    </w:r>
    <w:r w:rsidR="00617548">
      <w:rPr>
        <w:kern w:val="0"/>
        <w:szCs w:val="21"/>
      </w:rPr>
      <w:fldChar w:fldCharType="separate"/>
    </w:r>
    <w:r w:rsidR="002C41FB">
      <w:rPr>
        <w:noProof/>
        <w:kern w:val="0"/>
        <w:szCs w:val="21"/>
      </w:rPr>
      <w:t>14</w:t>
    </w:r>
    <w:r w:rsidR="00617548">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2D4" w:rsidRDefault="00C112D4" w:rsidP="00876D65">
      <w:r>
        <w:separator/>
      </w:r>
    </w:p>
  </w:footnote>
  <w:footnote w:type="continuationSeparator" w:id="0">
    <w:p w:rsidR="00C112D4" w:rsidRDefault="00C112D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41FB"/>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11A1"/>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527FF"/>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C0C81"/>
    <w:rsid w:val="005D2B36"/>
    <w:rsid w:val="005E475E"/>
    <w:rsid w:val="005F118D"/>
    <w:rsid w:val="005F3996"/>
    <w:rsid w:val="005F6AF6"/>
    <w:rsid w:val="00604E50"/>
    <w:rsid w:val="006054CF"/>
    <w:rsid w:val="006066D2"/>
    <w:rsid w:val="006075E6"/>
    <w:rsid w:val="0061286A"/>
    <w:rsid w:val="00613BB8"/>
    <w:rsid w:val="00614CC4"/>
    <w:rsid w:val="00617548"/>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3954"/>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2056"/>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12D4"/>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37C1"/>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7E4B58D-375C-4617-8C9E-C13D37AD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812982969">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65956-F252-42B4-AAF1-77B6A09E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1801</TotalTime>
  <Pages>14</Pages>
  <Words>1344</Words>
  <Characters>7663</Characters>
  <Application>Microsoft Office Word</Application>
  <DocSecurity>0</DocSecurity>
  <Lines>63</Lines>
  <Paragraphs>17</Paragraphs>
  <ScaleCrop>false</ScaleCrop>
  <Company/>
  <LinksUpToDate>false</LinksUpToDate>
  <CharactersWithSpaces>8990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566</cp:revision>
  <dcterms:created xsi:type="dcterms:W3CDTF">2012-10-16T06:07:00Z</dcterms:created>
  <dcterms:modified xsi:type="dcterms:W3CDTF">2016-01-18T07:07:00Z</dcterms:modified>
</cp:coreProperties>
</file>