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交银施罗德双利债券证券投资基金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2015</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2015</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二〇一六年一月二十一日</w:t>
      </w:r>
    </w:p>
    <w:p w:rsidR="009238DB" w:rsidRPr="007F52FA" w:rsidRDefault="009238DB" w:rsidP="007F50FB">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D05508" w:rsidRDefault="005819AB">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D05508" w:rsidRDefault="005819AB">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D05508" w:rsidRDefault="005819AB">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D05508" w:rsidRDefault="005819AB">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D05508" w:rsidRDefault="005819AB">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2015</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交银双利债券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519683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2011</w:t>
            </w:r>
            <w:r w:rsidRPr="007F52FA">
              <w:rPr>
                <w:color w:val="000000"/>
                <w:kern w:val="0"/>
                <w:sz w:val="24"/>
              </w:rPr>
              <w:t>年</w:t>
            </w:r>
            <w:r w:rsidRPr="007F52FA">
              <w:rPr>
                <w:color w:val="000000"/>
                <w:kern w:val="0"/>
                <w:sz w:val="24"/>
              </w:rPr>
              <w:t>9</w:t>
            </w:r>
            <w:r w:rsidRPr="007F52FA">
              <w:rPr>
                <w:color w:val="000000"/>
                <w:kern w:val="0"/>
                <w:sz w:val="24"/>
              </w:rPr>
              <w:t>月</w:t>
            </w:r>
            <w:r w:rsidRPr="007F52FA">
              <w:rPr>
                <w:color w:val="000000"/>
                <w:kern w:val="0"/>
                <w:sz w:val="24"/>
              </w:rPr>
              <w:t>26</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1,348,281,846.21</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根据宏观经济运行状况和金融市场的运行趋势，自上而下进行宏观分析，自下而上精选个券，在严格控制基金资产运作风险的基础上，通过积极主动的投资管理，力争为投资者提供高于业绩比较基准的长期稳定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深度关注股票、权证一级市场和二级市场的运行状</w:t>
            </w:r>
            <w:r w:rsidRPr="007F52FA">
              <w:rPr>
                <w:color w:val="000000"/>
                <w:kern w:val="0"/>
                <w:sz w:val="24"/>
              </w:rPr>
              <w:lastRenderedPageBreak/>
              <w:t>况与相应风险收益特征，在严格控制基金资产运作风险的基础上，把握投资机会，力争为投资者提供高于业绩比较基准的长期稳定投资回报。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r w:rsidRPr="007F52FA">
              <w:rPr>
                <w:color w:val="000000"/>
                <w:kern w:val="0"/>
                <w:sz w:val="24"/>
              </w:rPr>
              <w:t>×90%+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×10%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交银双利债券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交银双利债券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519683</w:t>
            </w:r>
            <w:r w:rsidRPr="007F52FA">
              <w:rPr>
                <w:color w:val="000000" w:themeColor="text1"/>
                <w:sz w:val="24"/>
              </w:rPr>
              <w:t>（前端）、</w:t>
            </w:r>
            <w:r w:rsidRPr="007F52FA">
              <w:rPr>
                <w:color w:val="000000" w:themeColor="text1"/>
                <w:sz w:val="24"/>
              </w:rPr>
              <w:t>519684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519685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1,080,987,890.37</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267,293,955.84</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(2015</w:t>
            </w:r>
            <w:r w:rsidRPr="007F52FA">
              <w:rPr>
                <w:color w:val="000000"/>
                <w:sz w:val="24"/>
              </w:rPr>
              <w:t>年</w:t>
            </w:r>
            <w:r w:rsidRPr="007F52FA">
              <w:rPr>
                <w:color w:val="000000"/>
                <w:sz w:val="24"/>
              </w:rPr>
              <w:t>10</w:t>
            </w:r>
            <w:r w:rsidRPr="007F52FA">
              <w:rPr>
                <w:color w:val="000000"/>
                <w:sz w:val="24"/>
              </w:rPr>
              <w:t>月</w:t>
            </w:r>
            <w:r w:rsidRPr="007F52FA">
              <w:rPr>
                <w:color w:val="000000"/>
                <w:sz w:val="24"/>
              </w:rPr>
              <w:t>1</w:t>
            </w:r>
            <w:r w:rsidRPr="007F52FA">
              <w:rPr>
                <w:color w:val="000000"/>
                <w:sz w:val="24"/>
              </w:rPr>
              <w:t>日</w:t>
            </w:r>
            <w:r w:rsidRPr="007F52FA">
              <w:rPr>
                <w:color w:val="000000"/>
                <w:sz w:val="24"/>
              </w:rPr>
              <w:t>-2015</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交银双利债券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交银双利债券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27,210,767.58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6,094,030.38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59,177,388.08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7,077,971.52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0.0516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0.0203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1,336,877,328.03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323,842,972.42</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1.237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1.212</w:t>
            </w:r>
          </w:p>
        </w:tc>
      </w:tr>
    </w:tbl>
    <w:p w:rsidR="00D05508" w:rsidRDefault="005819A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交银双利债券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05508">
        <w:trPr>
          <w:jc w:val="center"/>
        </w:trPr>
        <w:tc>
          <w:tcPr>
            <w:tcW w:w="1266" w:type="dxa"/>
            <w:vAlign w:val="center"/>
          </w:tcPr>
          <w:p w:rsidR="00D05508" w:rsidRDefault="005819AB">
            <w:pPr>
              <w:jc w:val="left"/>
            </w:pPr>
            <w:r>
              <w:rPr>
                <w:color w:val="000000"/>
                <w:sz w:val="24"/>
              </w:rPr>
              <w:t>过去三个月</w:t>
            </w:r>
          </w:p>
        </w:tc>
        <w:tc>
          <w:tcPr>
            <w:tcW w:w="1267" w:type="dxa"/>
            <w:vAlign w:val="center"/>
          </w:tcPr>
          <w:p w:rsidR="00D05508" w:rsidRDefault="005819AB">
            <w:pPr>
              <w:jc w:val="center"/>
            </w:pPr>
            <w:r>
              <w:rPr>
                <w:color w:val="000000"/>
                <w:sz w:val="24"/>
              </w:rPr>
              <w:t>4.21%</w:t>
            </w:r>
          </w:p>
        </w:tc>
        <w:tc>
          <w:tcPr>
            <w:tcW w:w="1267" w:type="dxa"/>
            <w:vAlign w:val="center"/>
          </w:tcPr>
          <w:p w:rsidR="00D05508" w:rsidRDefault="005819AB">
            <w:pPr>
              <w:jc w:val="center"/>
            </w:pPr>
            <w:r>
              <w:rPr>
                <w:color w:val="000000"/>
                <w:sz w:val="24"/>
              </w:rPr>
              <w:t>0.36%</w:t>
            </w:r>
          </w:p>
        </w:tc>
        <w:tc>
          <w:tcPr>
            <w:tcW w:w="1267" w:type="dxa"/>
            <w:vAlign w:val="center"/>
          </w:tcPr>
          <w:p w:rsidR="00D05508" w:rsidRDefault="005819AB">
            <w:pPr>
              <w:jc w:val="center"/>
            </w:pPr>
            <w:r>
              <w:rPr>
                <w:color w:val="000000"/>
                <w:sz w:val="24"/>
              </w:rPr>
              <w:t>3.27%</w:t>
            </w:r>
          </w:p>
        </w:tc>
        <w:tc>
          <w:tcPr>
            <w:tcW w:w="1267" w:type="dxa"/>
            <w:vAlign w:val="center"/>
          </w:tcPr>
          <w:p w:rsidR="00D05508" w:rsidRDefault="005819AB">
            <w:pPr>
              <w:jc w:val="center"/>
            </w:pPr>
            <w:r>
              <w:rPr>
                <w:color w:val="000000"/>
                <w:sz w:val="24"/>
              </w:rPr>
              <w:t>0.17%</w:t>
            </w:r>
          </w:p>
        </w:tc>
        <w:tc>
          <w:tcPr>
            <w:tcW w:w="1267" w:type="dxa"/>
            <w:vAlign w:val="center"/>
          </w:tcPr>
          <w:p w:rsidR="00D05508" w:rsidRDefault="005819AB">
            <w:pPr>
              <w:jc w:val="center"/>
            </w:pPr>
            <w:r>
              <w:rPr>
                <w:color w:val="000000"/>
                <w:sz w:val="24"/>
              </w:rPr>
              <w:t>0.94%</w:t>
            </w:r>
          </w:p>
        </w:tc>
        <w:tc>
          <w:tcPr>
            <w:tcW w:w="1267" w:type="dxa"/>
            <w:vAlign w:val="center"/>
          </w:tcPr>
          <w:p w:rsidR="00D05508" w:rsidRDefault="005819AB">
            <w:pPr>
              <w:jc w:val="center"/>
            </w:pPr>
            <w:r>
              <w:rPr>
                <w:color w:val="000000"/>
                <w:sz w:val="24"/>
              </w:rPr>
              <w:t>0.19%</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交银双利债券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05508">
        <w:trPr>
          <w:jc w:val="center"/>
        </w:trPr>
        <w:tc>
          <w:tcPr>
            <w:tcW w:w="1266" w:type="dxa"/>
            <w:vAlign w:val="center"/>
          </w:tcPr>
          <w:p w:rsidR="00D05508" w:rsidRDefault="005819AB">
            <w:pPr>
              <w:jc w:val="left"/>
            </w:pPr>
            <w:r>
              <w:rPr>
                <w:color w:val="000000"/>
                <w:sz w:val="24"/>
              </w:rPr>
              <w:t>过去三个月</w:t>
            </w:r>
          </w:p>
        </w:tc>
        <w:tc>
          <w:tcPr>
            <w:tcW w:w="1267" w:type="dxa"/>
            <w:vAlign w:val="center"/>
          </w:tcPr>
          <w:p w:rsidR="00D05508" w:rsidRDefault="005819AB">
            <w:pPr>
              <w:jc w:val="center"/>
            </w:pPr>
            <w:r>
              <w:rPr>
                <w:color w:val="000000"/>
                <w:sz w:val="24"/>
              </w:rPr>
              <w:t>4.12%</w:t>
            </w:r>
          </w:p>
        </w:tc>
        <w:tc>
          <w:tcPr>
            <w:tcW w:w="1267" w:type="dxa"/>
            <w:vAlign w:val="center"/>
          </w:tcPr>
          <w:p w:rsidR="00D05508" w:rsidRDefault="005819AB">
            <w:pPr>
              <w:jc w:val="center"/>
            </w:pPr>
            <w:r>
              <w:rPr>
                <w:color w:val="000000"/>
                <w:sz w:val="24"/>
              </w:rPr>
              <w:t>0.37%</w:t>
            </w:r>
          </w:p>
        </w:tc>
        <w:tc>
          <w:tcPr>
            <w:tcW w:w="1267" w:type="dxa"/>
            <w:vAlign w:val="center"/>
          </w:tcPr>
          <w:p w:rsidR="00D05508" w:rsidRDefault="005819AB">
            <w:pPr>
              <w:jc w:val="center"/>
            </w:pPr>
            <w:r>
              <w:rPr>
                <w:color w:val="000000"/>
                <w:sz w:val="24"/>
              </w:rPr>
              <w:t>3.27%</w:t>
            </w:r>
          </w:p>
        </w:tc>
        <w:tc>
          <w:tcPr>
            <w:tcW w:w="1267" w:type="dxa"/>
            <w:vAlign w:val="center"/>
          </w:tcPr>
          <w:p w:rsidR="00D05508" w:rsidRDefault="005819AB">
            <w:pPr>
              <w:jc w:val="center"/>
            </w:pPr>
            <w:r>
              <w:rPr>
                <w:color w:val="000000"/>
                <w:sz w:val="24"/>
              </w:rPr>
              <w:t>0.17%</w:t>
            </w:r>
          </w:p>
        </w:tc>
        <w:tc>
          <w:tcPr>
            <w:tcW w:w="1267" w:type="dxa"/>
            <w:vAlign w:val="center"/>
          </w:tcPr>
          <w:p w:rsidR="00D05508" w:rsidRDefault="005819AB">
            <w:pPr>
              <w:jc w:val="center"/>
            </w:pPr>
            <w:r>
              <w:rPr>
                <w:color w:val="000000"/>
                <w:sz w:val="24"/>
              </w:rPr>
              <w:t>0.85%</w:t>
            </w:r>
          </w:p>
        </w:tc>
        <w:tc>
          <w:tcPr>
            <w:tcW w:w="1267" w:type="dxa"/>
            <w:vAlign w:val="center"/>
          </w:tcPr>
          <w:p w:rsidR="00D05508" w:rsidRDefault="005819AB">
            <w:pPr>
              <w:jc w:val="center"/>
            </w:pPr>
            <w:r>
              <w:rPr>
                <w:color w:val="000000"/>
                <w:sz w:val="24"/>
              </w:rPr>
              <w:t>0.20%</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交银施罗德双利债券证券投资基金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2011</w:t>
      </w:r>
      <w:r w:rsidR="00D04410" w:rsidRPr="007F52FA">
        <w:rPr>
          <w:rFonts w:ascii="Times New Roman" w:hAnsi="Times New Roman"/>
          <w:sz w:val="24"/>
          <w:szCs w:val="24"/>
        </w:rPr>
        <w:t>年</w:t>
      </w:r>
      <w:r w:rsidR="00D04410" w:rsidRPr="007F52FA">
        <w:rPr>
          <w:rFonts w:ascii="Times New Roman" w:hAnsi="Times New Roman"/>
          <w:sz w:val="24"/>
          <w:szCs w:val="24"/>
        </w:rPr>
        <w:t>9</w:t>
      </w:r>
      <w:r w:rsidR="00D04410" w:rsidRPr="007F52FA">
        <w:rPr>
          <w:rFonts w:ascii="Times New Roman" w:hAnsi="Times New Roman"/>
          <w:sz w:val="24"/>
          <w:szCs w:val="24"/>
        </w:rPr>
        <w:t>月</w:t>
      </w:r>
      <w:r w:rsidR="00D04410" w:rsidRPr="007F52FA">
        <w:rPr>
          <w:rFonts w:ascii="Times New Roman" w:hAnsi="Times New Roman"/>
          <w:sz w:val="24"/>
          <w:szCs w:val="24"/>
        </w:rPr>
        <w:t>26</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2015</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交银双利债券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交银双利债券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1243"/>
        <w:gridCol w:w="1418"/>
        <w:gridCol w:w="1417"/>
        <w:gridCol w:w="993"/>
        <w:gridCol w:w="2851"/>
      </w:tblGrid>
      <w:tr w:rsidR="00C41617" w:rsidRPr="007F52FA" w:rsidTr="005819AB">
        <w:trPr>
          <w:jc w:val="center"/>
        </w:trPr>
        <w:tc>
          <w:tcPr>
            <w:tcW w:w="94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1243"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835"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993"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2851"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5819AB">
        <w:trPr>
          <w:jc w:val="center"/>
        </w:trPr>
        <w:tc>
          <w:tcPr>
            <w:tcW w:w="94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43"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418"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417"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993"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2851"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D05508" w:rsidTr="005819AB">
        <w:trPr>
          <w:trHeight w:val="8442"/>
          <w:jc w:val="center"/>
        </w:trPr>
        <w:tc>
          <w:tcPr>
            <w:tcW w:w="946" w:type="dxa"/>
            <w:vAlign w:val="center"/>
          </w:tcPr>
          <w:p w:rsidR="00D05508" w:rsidRDefault="005819AB">
            <w:pPr>
              <w:jc w:val="center"/>
            </w:pPr>
            <w:r>
              <w:rPr>
                <w:color w:val="000000"/>
                <w:sz w:val="24"/>
              </w:rPr>
              <w:t>项廷锋</w:t>
            </w:r>
          </w:p>
        </w:tc>
        <w:tc>
          <w:tcPr>
            <w:tcW w:w="1243" w:type="dxa"/>
            <w:vAlign w:val="center"/>
          </w:tcPr>
          <w:p w:rsidR="00D05508" w:rsidRDefault="005819AB">
            <w:pPr>
              <w:jc w:val="center"/>
            </w:pPr>
            <w:r>
              <w:rPr>
                <w:color w:val="000000"/>
                <w:sz w:val="24"/>
              </w:rPr>
              <w:t>交银双利债券、交银策略回报灵活配置混合、交银荣祥保本混合、交银荣泰保本混合、交银周期回报灵活配置混合、交银新回报灵活配置混合、交银荣和保本混合、交银多策略回报灵活配置混合的基金经理，公司投资总监</w:t>
            </w:r>
          </w:p>
        </w:tc>
        <w:tc>
          <w:tcPr>
            <w:tcW w:w="1418" w:type="dxa"/>
            <w:vAlign w:val="center"/>
          </w:tcPr>
          <w:p w:rsidR="00D05508" w:rsidRDefault="005819AB">
            <w:pPr>
              <w:jc w:val="center"/>
            </w:pPr>
            <w:r>
              <w:rPr>
                <w:color w:val="000000"/>
                <w:sz w:val="24"/>
              </w:rPr>
              <w:t>2014-08-04</w:t>
            </w:r>
          </w:p>
        </w:tc>
        <w:tc>
          <w:tcPr>
            <w:tcW w:w="1417" w:type="dxa"/>
            <w:vAlign w:val="center"/>
          </w:tcPr>
          <w:p w:rsidR="00D05508" w:rsidRDefault="005819AB">
            <w:pPr>
              <w:jc w:val="center"/>
            </w:pPr>
            <w:r>
              <w:rPr>
                <w:color w:val="000000"/>
                <w:sz w:val="24"/>
              </w:rPr>
              <w:t>2015-10-07</w:t>
            </w:r>
          </w:p>
        </w:tc>
        <w:tc>
          <w:tcPr>
            <w:tcW w:w="993" w:type="dxa"/>
            <w:vAlign w:val="center"/>
          </w:tcPr>
          <w:p w:rsidR="00D05508" w:rsidRDefault="005819AB">
            <w:pPr>
              <w:jc w:val="center"/>
            </w:pPr>
            <w:r>
              <w:rPr>
                <w:color w:val="000000"/>
                <w:sz w:val="24"/>
              </w:rPr>
              <w:t>16</w:t>
            </w:r>
            <w:r>
              <w:rPr>
                <w:color w:val="000000"/>
                <w:sz w:val="24"/>
              </w:rPr>
              <w:t>年</w:t>
            </w:r>
          </w:p>
        </w:tc>
        <w:tc>
          <w:tcPr>
            <w:tcW w:w="2851" w:type="dxa"/>
            <w:vAlign w:val="center"/>
          </w:tcPr>
          <w:p w:rsidR="00D05508" w:rsidRDefault="005819AB" w:rsidP="00C050BB">
            <w:r>
              <w:rPr>
                <w:color w:val="000000"/>
                <w:sz w:val="24"/>
              </w:rPr>
              <w:t>项廷锋先生，上海交通大学管理学博士。历任华安基金管理有限公司研究员、固定收益投资经理和基金经理。其中</w:t>
            </w:r>
            <w:r>
              <w:rPr>
                <w:color w:val="000000"/>
                <w:sz w:val="24"/>
              </w:rPr>
              <w:t>2003</w:t>
            </w:r>
            <w:r>
              <w:rPr>
                <w:color w:val="000000"/>
                <w:sz w:val="24"/>
              </w:rPr>
              <w:t>年</w:t>
            </w:r>
            <w:r>
              <w:rPr>
                <w:color w:val="000000"/>
                <w:sz w:val="24"/>
              </w:rPr>
              <w:t>12</w:t>
            </w:r>
            <w:r>
              <w:rPr>
                <w:color w:val="000000"/>
                <w:sz w:val="24"/>
              </w:rPr>
              <w:t>月至</w:t>
            </w:r>
            <w:r>
              <w:rPr>
                <w:color w:val="000000"/>
                <w:sz w:val="24"/>
              </w:rPr>
              <w:t>2007</w:t>
            </w:r>
            <w:r>
              <w:rPr>
                <w:color w:val="000000"/>
                <w:sz w:val="24"/>
              </w:rPr>
              <w:t>年</w:t>
            </w:r>
            <w:r>
              <w:rPr>
                <w:color w:val="000000"/>
                <w:sz w:val="24"/>
              </w:rPr>
              <w:t>5</w:t>
            </w:r>
            <w:r>
              <w:rPr>
                <w:color w:val="000000"/>
                <w:sz w:val="24"/>
              </w:rPr>
              <w:t>月担任华安现金富利投资基金基金经理。</w:t>
            </w:r>
            <w:r>
              <w:rPr>
                <w:color w:val="000000"/>
                <w:sz w:val="24"/>
              </w:rPr>
              <w:t>2007</w:t>
            </w:r>
            <w:r>
              <w:rPr>
                <w:color w:val="000000"/>
                <w:sz w:val="24"/>
              </w:rPr>
              <w:t>年加入交银施罗德基金管理有限公司，历任固定收益部总经理。</w:t>
            </w:r>
            <w:r w:rsidR="00C050BB" w:rsidRPr="003E1378">
              <w:rPr>
                <w:color w:val="000000"/>
                <w:sz w:val="24"/>
              </w:rPr>
              <w:t>2012</w:t>
            </w:r>
            <w:r w:rsidR="00C050BB" w:rsidRPr="003E1378">
              <w:rPr>
                <w:rFonts w:hint="eastAsia"/>
                <w:color w:val="000000"/>
                <w:sz w:val="24"/>
              </w:rPr>
              <w:t>年</w:t>
            </w:r>
            <w:r w:rsidR="00C050BB" w:rsidRPr="003E1378">
              <w:rPr>
                <w:color w:val="000000"/>
                <w:sz w:val="24"/>
              </w:rPr>
              <w:t>6</w:t>
            </w:r>
            <w:r w:rsidR="00C050BB" w:rsidRPr="003E1378">
              <w:rPr>
                <w:rFonts w:hint="eastAsia"/>
                <w:color w:val="000000"/>
                <w:sz w:val="24"/>
              </w:rPr>
              <w:t>月</w:t>
            </w:r>
            <w:r w:rsidR="00C050BB" w:rsidRPr="003E1378">
              <w:rPr>
                <w:color w:val="000000"/>
                <w:sz w:val="24"/>
              </w:rPr>
              <w:t>20</w:t>
            </w:r>
            <w:r w:rsidR="00C050BB" w:rsidRPr="003E1378">
              <w:rPr>
                <w:rFonts w:hint="eastAsia"/>
                <w:color w:val="000000"/>
                <w:sz w:val="24"/>
              </w:rPr>
              <w:t>日至</w:t>
            </w:r>
            <w:r w:rsidR="00C050BB" w:rsidRPr="003E1378">
              <w:rPr>
                <w:color w:val="000000"/>
                <w:sz w:val="24"/>
              </w:rPr>
              <w:t>2015</w:t>
            </w:r>
            <w:r w:rsidR="00C050BB" w:rsidRPr="003E1378">
              <w:rPr>
                <w:rFonts w:hint="eastAsia"/>
                <w:color w:val="000000"/>
                <w:sz w:val="24"/>
              </w:rPr>
              <w:t>年</w:t>
            </w:r>
            <w:r w:rsidR="00C050BB" w:rsidRPr="003E1378">
              <w:rPr>
                <w:color w:val="000000"/>
                <w:sz w:val="24"/>
              </w:rPr>
              <w:t>6</w:t>
            </w:r>
            <w:r w:rsidR="00C050BB" w:rsidRPr="003E1378">
              <w:rPr>
                <w:rFonts w:hint="eastAsia"/>
                <w:color w:val="000000"/>
                <w:sz w:val="24"/>
              </w:rPr>
              <w:t>月</w:t>
            </w:r>
            <w:r w:rsidR="00C050BB" w:rsidRPr="003E1378">
              <w:rPr>
                <w:color w:val="000000"/>
                <w:sz w:val="24"/>
              </w:rPr>
              <w:t>26</w:t>
            </w:r>
            <w:r w:rsidR="00C050BB" w:rsidRPr="003E1378">
              <w:rPr>
                <w:rFonts w:hint="eastAsia"/>
                <w:color w:val="000000"/>
                <w:sz w:val="24"/>
              </w:rPr>
              <w:t>日担任已转型的交银施罗德荣安保本混合型证券投资基金基金经理、</w:t>
            </w:r>
            <w:r w:rsidR="00C050BB" w:rsidRPr="003E1378">
              <w:rPr>
                <w:color w:val="000000"/>
                <w:sz w:val="24"/>
              </w:rPr>
              <w:t>2013</w:t>
            </w:r>
            <w:r w:rsidR="00C050BB" w:rsidRPr="003E1378">
              <w:rPr>
                <w:rFonts w:hint="eastAsia"/>
                <w:color w:val="000000"/>
                <w:sz w:val="24"/>
              </w:rPr>
              <w:t>年</w:t>
            </w:r>
            <w:r w:rsidR="00C050BB" w:rsidRPr="003E1378">
              <w:rPr>
                <w:color w:val="000000"/>
                <w:sz w:val="24"/>
              </w:rPr>
              <w:t>9</w:t>
            </w:r>
            <w:r w:rsidR="00C050BB" w:rsidRPr="003E1378">
              <w:rPr>
                <w:rFonts w:hint="eastAsia"/>
                <w:color w:val="000000"/>
                <w:sz w:val="24"/>
              </w:rPr>
              <w:t>月</w:t>
            </w:r>
            <w:r w:rsidR="00C050BB" w:rsidRPr="003E1378">
              <w:rPr>
                <w:color w:val="000000"/>
                <w:sz w:val="24"/>
              </w:rPr>
              <w:t>4</w:t>
            </w:r>
            <w:r w:rsidR="00C050BB" w:rsidRPr="003E1378">
              <w:rPr>
                <w:rFonts w:hint="eastAsia"/>
                <w:color w:val="000000"/>
                <w:sz w:val="24"/>
              </w:rPr>
              <w:t>日至</w:t>
            </w:r>
            <w:r w:rsidR="00C050BB" w:rsidRPr="003E1378">
              <w:rPr>
                <w:color w:val="000000"/>
                <w:sz w:val="24"/>
              </w:rPr>
              <w:t>2014</w:t>
            </w:r>
            <w:r w:rsidR="00C050BB" w:rsidRPr="003E1378">
              <w:rPr>
                <w:rFonts w:hint="eastAsia"/>
                <w:color w:val="000000"/>
                <w:sz w:val="24"/>
              </w:rPr>
              <w:t>年</w:t>
            </w:r>
            <w:r w:rsidR="00C050BB" w:rsidRPr="003E1378">
              <w:rPr>
                <w:color w:val="000000"/>
                <w:sz w:val="24"/>
              </w:rPr>
              <w:t>12</w:t>
            </w:r>
            <w:r w:rsidR="00C050BB" w:rsidRPr="003E1378">
              <w:rPr>
                <w:rFonts w:hint="eastAsia"/>
                <w:color w:val="000000"/>
                <w:sz w:val="24"/>
              </w:rPr>
              <w:t>月</w:t>
            </w:r>
            <w:r w:rsidR="00C050BB" w:rsidRPr="003E1378">
              <w:rPr>
                <w:color w:val="000000"/>
                <w:sz w:val="24"/>
              </w:rPr>
              <w:t>18</w:t>
            </w:r>
            <w:r w:rsidR="00C050BB" w:rsidRPr="003E1378">
              <w:rPr>
                <w:rFonts w:hint="eastAsia"/>
                <w:color w:val="000000"/>
                <w:sz w:val="24"/>
              </w:rPr>
              <w:t>日担任交银施罗德定期支付双息平衡混合型证券投资基金基金经理、</w:t>
            </w:r>
            <w:r w:rsidR="00C050BB" w:rsidRPr="003E1378">
              <w:rPr>
                <w:color w:val="000000"/>
                <w:sz w:val="24"/>
              </w:rPr>
              <w:t>2013</w:t>
            </w:r>
            <w:r w:rsidR="00C050BB" w:rsidRPr="003E1378">
              <w:rPr>
                <w:rFonts w:hint="eastAsia"/>
                <w:color w:val="000000"/>
                <w:sz w:val="24"/>
              </w:rPr>
              <w:t>年</w:t>
            </w:r>
            <w:r w:rsidR="00C050BB" w:rsidRPr="003E1378">
              <w:rPr>
                <w:color w:val="000000"/>
                <w:sz w:val="24"/>
              </w:rPr>
              <w:t>4</w:t>
            </w:r>
            <w:r w:rsidR="00C050BB" w:rsidRPr="003E1378">
              <w:rPr>
                <w:rFonts w:hint="eastAsia"/>
                <w:color w:val="000000"/>
                <w:sz w:val="24"/>
              </w:rPr>
              <w:t>月</w:t>
            </w:r>
            <w:r w:rsidR="00C050BB" w:rsidRPr="003E1378">
              <w:rPr>
                <w:color w:val="000000"/>
                <w:sz w:val="24"/>
              </w:rPr>
              <w:t>24</w:t>
            </w:r>
            <w:r w:rsidR="00C050BB" w:rsidRPr="003E1378">
              <w:rPr>
                <w:rFonts w:hint="eastAsia"/>
                <w:color w:val="000000"/>
                <w:sz w:val="24"/>
              </w:rPr>
              <w:t>日至</w:t>
            </w:r>
            <w:r w:rsidR="00C050BB" w:rsidRPr="003E1378">
              <w:rPr>
                <w:color w:val="000000"/>
                <w:sz w:val="24"/>
              </w:rPr>
              <w:t>2015</w:t>
            </w:r>
            <w:r w:rsidR="00C050BB" w:rsidRPr="003E1378">
              <w:rPr>
                <w:rFonts w:hint="eastAsia"/>
                <w:color w:val="000000"/>
                <w:sz w:val="24"/>
              </w:rPr>
              <w:t>年</w:t>
            </w:r>
            <w:r w:rsidR="00C050BB" w:rsidRPr="003E1378">
              <w:rPr>
                <w:color w:val="000000"/>
                <w:sz w:val="24"/>
              </w:rPr>
              <w:t>10</w:t>
            </w:r>
            <w:r w:rsidR="00C050BB" w:rsidRPr="003E1378">
              <w:rPr>
                <w:rFonts w:hint="eastAsia"/>
                <w:color w:val="000000"/>
                <w:sz w:val="24"/>
              </w:rPr>
              <w:t>月</w:t>
            </w:r>
            <w:r w:rsidR="00C050BB" w:rsidRPr="003E1378">
              <w:rPr>
                <w:color w:val="000000"/>
                <w:sz w:val="24"/>
              </w:rPr>
              <w:t>6</w:t>
            </w:r>
            <w:r w:rsidR="00C050BB" w:rsidRPr="003E1378">
              <w:rPr>
                <w:rFonts w:hint="eastAsia"/>
                <w:color w:val="000000"/>
                <w:sz w:val="24"/>
              </w:rPr>
              <w:t>日担任交银施罗德荣祥保本混合型证券投资基金基金经理、</w:t>
            </w:r>
            <w:r w:rsidR="00C050BB" w:rsidRPr="003E1378">
              <w:rPr>
                <w:color w:val="000000"/>
                <w:sz w:val="24"/>
              </w:rPr>
              <w:t>2013</w:t>
            </w:r>
            <w:r w:rsidR="00C050BB" w:rsidRPr="003E1378">
              <w:rPr>
                <w:rFonts w:hint="eastAsia"/>
                <w:color w:val="000000"/>
                <w:sz w:val="24"/>
              </w:rPr>
              <w:t>年</w:t>
            </w:r>
            <w:r w:rsidR="00C050BB" w:rsidRPr="003E1378">
              <w:rPr>
                <w:color w:val="000000"/>
                <w:sz w:val="24"/>
              </w:rPr>
              <w:t>12</w:t>
            </w:r>
            <w:r w:rsidR="00C050BB" w:rsidRPr="003E1378">
              <w:rPr>
                <w:rFonts w:hint="eastAsia"/>
                <w:color w:val="000000"/>
                <w:sz w:val="24"/>
              </w:rPr>
              <w:t>月</w:t>
            </w:r>
            <w:r w:rsidR="00C050BB" w:rsidRPr="003E1378">
              <w:rPr>
                <w:color w:val="000000"/>
                <w:sz w:val="24"/>
              </w:rPr>
              <w:t>25</w:t>
            </w:r>
            <w:r w:rsidR="00C050BB" w:rsidRPr="003E1378">
              <w:rPr>
                <w:rFonts w:hint="eastAsia"/>
                <w:color w:val="000000"/>
                <w:sz w:val="24"/>
              </w:rPr>
              <w:t>日至</w:t>
            </w:r>
            <w:r w:rsidR="00C050BB" w:rsidRPr="003E1378">
              <w:rPr>
                <w:color w:val="000000"/>
                <w:sz w:val="24"/>
              </w:rPr>
              <w:t>2015</w:t>
            </w:r>
            <w:r w:rsidR="00C050BB" w:rsidRPr="003E1378">
              <w:rPr>
                <w:rFonts w:hint="eastAsia"/>
                <w:color w:val="000000"/>
                <w:sz w:val="24"/>
              </w:rPr>
              <w:t>年</w:t>
            </w:r>
            <w:r w:rsidR="00C050BB" w:rsidRPr="003E1378">
              <w:rPr>
                <w:color w:val="000000"/>
                <w:sz w:val="24"/>
              </w:rPr>
              <w:t>10</w:t>
            </w:r>
            <w:r w:rsidR="00C050BB" w:rsidRPr="003E1378">
              <w:rPr>
                <w:rFonts w:hint="eastAsia"/>
                <w:color w:val="000000"/>
                <w:sz w:val="24"/>
              </w:rPr>
              <w:t>月</w:t>
            </w:r>
            <w:r w:rsidR="00C050BB" w:rsidRPr="003E1378">
              <w:rPr>
                <w:color w:val="000000"/>
                <w:sz w:val="24"/>
              </w:rPr>
              <w:t>6</w:t>
            </w:r>
            <w:r w:rsidR="00C050BB" w:rsidRPr="003E1378">
              <w:rPr>
                <w:rFonts w:hint="eastAsia"/>
                <w:color w:val="000000"/>
                <w:sz w:val="24"/>
              </w:rPr>
              <w:t>日担任交银施罗德荣泰保本混合型证券投资基金基金经理、</w:t>
            </w:r>
            <w:r w:rsidR="00C050BB" w:rsidRPr="003E1378">
              <w:rPr>
                <w:color w:val="000000"/>
                <w:sz w:val="24"/>
              </w:rPr>
              <w:t>2014</w:t>
            </w:r>
            <w:r w:rsidR="00C050BB" w:rsidRPr="003E1378">
              <w:rPr>
                <w:rFonts w:hint="eastAsia"/>
                <w:color w:val="000000"/>
                <w:sz w:val="24"/>
              </w:rPr>
              <w:t>年</w:t>
            </w:r>
            <w:r w:rsidR="00C050BB" w:rsidRPr="003E1378">
              <w:rPr>
                <w:color w:val="000000"/>
                <w:sz w:val="24"/>
              </w:rPr>
              <w:t>6</w:t>
            </w:r>
            <w:r w:rsidR="00C050BB" w:rsidRPr="003E1378">
              <w:rPr>
                <w:rFonts w:hint="eastAsia"/>
                <w:color w:val="000000"/>
                <w:sz w:val="24"/>
              </w:rPr>
              <w:t>月</w:t>
            </w:r>
            <w:r w:rsidR="00C050BB" w:rsidRPr="003E1378">
              <w:rPr>
                <w:color w:val="000000"/>
                <w:sz w:val="24"/>
              </w:rPr>
              <w:t>3</w:t>
            </w:r>
            <w:r w:rsidR="00C050BB" w:rsidRPr="003E1378">
              <w:rPr>
                <w:rFonts w:hint="eastAsia"/>
                <w:color w:val="000000"/>
                <w:sz w:val="24"/>
              </w:rPr>
              <w:t>日至</w:t>
            </w:r>
            <w:r w:rsidR="00C050BB" w:rsidRPr="003E1378">
              <w:rPr>
                <w:color w:val="000000"/>
                <w:sz w:val="24"/>
              </w:rPr>
              <w:t>2015</w:t>
            </w:r>
            <w:r w:rsidR="00C050BB" w:rsidRPr="003E1378">
              <w:rPr>
                <w:rFonts w:hint="eastAsia"/>
                <w:color w:val="000000"/>
                <w:sz w:val="24"/>
              </w:rPr>
              <w:t>年</w:t>
            </w:r>
            <w:r w:rsidR="00C050BB" w:rsidRPr="003E1378">
              <w:rPr>
                <w:color w:val="000000"/>
                <w:sz w:val="24"/>
              </w:rPr>
              <w:t>10</w:t>
            </w:r>
            <w:r w:rsidR="00C050BB" w:rsidRPr="003E1378">
              <w:rPr>
                <w:rFonts w:hint="eastAsia"/>
                <w:color w:val="000000"/>
                <w:sz w:val="24"/>
              </w:rPr>
              <w:t>月</w:t>
            </w:r>
            <w:r w:rsidR="00C050BB" w:rsidRPr="003E1378">
              <w:rPr>
                <w:color w:val="000000"/>
                <w:sz w:val="24"/>
              </w:rPr>
              <w:t>6</w:t>
            </w:r>
            <w:r w:rsidR="00C050BB" w:rsidRPr="003E1378">
              <w:rPr>
                <w:rFonts w:hint="eastAsia"/>
                <w:color w:val="000000"/>
                <w:sz w:val="24"/>
              </w:rPr>
              <w:t>日担任交银施罗德周期回报灵活配置混合型证券投资基金基金经理、</w:t>
            </w:r>
            <w:r w:rsidR="00C050BB" w:rsidRPr="003E1378">
              <w:rPr>
                <w:color w:val="000000"/>
                <w:sz w:val="24"/>
              </w:rPr>
              <w:t>2014</w:t>
            </w:r>
            <w:r w:rsidR="00C050BB" w:rsidRPr="003E1378">
              <w:rPr>
                <w:rFonts w:hint="eastAsia"/>
                <w:color w:val="000000"/>
                <w:sz w:val="24"/>
              </w:rPr>
              <w:t>年</w:t>
            </w:r>
            <w:r w:rsidR="00C050BB" w:rsidRPr="003E1378">
              <w:rPr>
                <w:color w:val="000000"/>
                <w:sz w:val="24"/>
              </w:rPr>
              <w:t>8</w:t>
            </w:r>
            <w:r w:rsidR="00C050BB" w:rsidRPr="003E1378">
              <w:rPr>
                <w:rFonts w:hint="eastAsia"/>
                <w:color w:val="000000"/>
                <w:sz w:val="24"/>
              </w:rPr>
              <w:t>月</w:t>
            </w:r>
            <w:r w:rsidR="00C050BB" w:rsidRPr="003E1378">
              <w:rPr>
                <w:color w:val="000000"/>
                <w:sz w:val="24"/>
              </w:rPr>
              <w:t>4</w:t>
            </w:r>
            <w:r w:rsidR="00C050BB" w:rsidRPr="003E1378">
              <w:rPr>
                <w:rFonts w:hint="eastAsia"/>
                <w:color w:val="000000"/>
                <w:sz w:val="24"/>
              </w:rPr>
              <w:t>日至</w:t>
            </w:r>
            <w:r w:rsidR="00C050BB" w:rsidRPr="003E1378">
              <w:rPr>
                <w:color w:val="000000"/>
                <w:sz w:val="24"/>
              </w:rPr>
              <w:t>2015</w:t>
            </w:r>
            <w:r w:rsidR="00C050BB" w:rsidRPr="003E1378">
              <w:rPr>
                <w:rFonts w:hint="eastAsia"/>
                <w:color w:val="000000"/>
                <w:sz w:val="24"/>
              </w:rPr>
              <w:t>年</w:t>
            </w:r>
            <w:r w:rsidR="00C050BB" w:rsidRPr="003E1378">
              <w:rPr>
                <w:color w:val="000000"/>
                <w:sz w:val="24"/>
              </w:rPr>
              <w:t>10</w:t>
            </w:r>
            <w:r w:rsidR="00C050BB" w:rsidRPr="003E1378">
              <w:rPr>
                <w:rFonts w:hint="eastAsia"/>
                <w:color w:val="000000"/>
                <w:sz w:val="24"/>
              </w:rPr>
              <w:t>月</w:t>
            </w:r>
            <w:r w:rsidR="00C050BB" w:rsidRPr="003E1378">
              <w:rPr>
                <w:color w:val="000000"/>
                <w:sz w:val="24"/>
              </w:rPr>
              <w:t>6</w:t>
            </w:r>
            <w:r w:rsidR="00C050BB" w:rsidRPr="003E1378">
              <w:rPr>
                <w:rFonts w:hint="eastAsia"/>
                <w:color w:val="000000"/>
                <w:sz w:val="24"/>
              </w:rPr>
              <w:t>日担任交银施罗德双利债券证券投资基金基金经理、</w:t>
            </w:r>
            <w:r w:rsidR="00C050BB" w:rsidRPr="003E1378">
              <w:rPr>
                <w:color w:val="000000"/>
                <w:sz w:val="24"/>
              </w:rPr>
              <w:t>2015</w:t>
            </w:r>
            <w:r w:rsidR="00C050BB" w:rsidRPr="003E1378">
              <w:rPr>
                <w:rFonts w:hint="eastAsia"/>
                <w:color w:val="000000"/>
                <w:sz w:val="24"/>
              </w:rPr>
              <w:t>年</w:t>
            </w:r>
            <w:r w:rsidR="00C050BB" w:rsidRPr="003E1378">
              <w:rPr>
                <w:color w:val="000000"/>
                <w:sz w:val="24"/>
              </w:rPr>
              <w:t>5</w:t>
            </w:r>
            <w:r w:rsidR="00C050BB" w:rsidRPr="003E1378">
              <w:rPr>
                <w:rFonts w:hint="eastAsia"/>
                <w:color w:val="000000"/>
                <w:sz w:val="24"/>
              </w:rPr>
              <w:t>月</w:t>
            </w:r>
            <w:r w:rsidR="00C050BB" w:rsidRPr="003E1378">
              <w:rPr>
                <w:color w:val="000000"/>
                <w:sz w:val="24"/>
              </w:rPr>
              <w:t>15</w:t>
            </w:r>
            <w:r w:rsidR="00C050BB" w:rsidRPr="003E1378">
              <w:rPr>
                <w:rFonts w:hint="eastAsia"/>
                <w:color w:val="000000"/>
                <w:sz w:val="24"/>
              </w:rPr>
              <w:t>日至</w:t>
            </w:r>
            <w:r w:rsidR="00C050BB" w:rsidRPr="003E1378">
              <w:rPr>
                <w:color w:val="000000"/>
                <w:sz w:val="24"/>
              </w:rPr>
              <w:t>2015</w:t>
            </w:r>
            <w:r w:rsidR="00C050BB" w:rsidRPr="003E1378">
              <w:rPr>
                <w:rFonts w:hint="eastAsia"/>
                <w:color w:val="000000"/>
                <w:sz w:val="24"/>
              </w:rPr>
              <w:t>年</w:t>
            </w:r>
            <w:r w:rsidR="00C050BB" w:rsidRPr="003E1378">
              <w:rPr>
                <w:color w:val="000000"/>
                <w:sz w:val="24"/>
              </w:rPr>
              <w:t>10</w:t>
            </w:r>
            <w:r w:rsidR="00C050BB" w:rsidRPr="003E1378">
              <w:rPr>
                <w:rFonts w:hint="eastAsia"/>
                <w:color w:val="000000"/>
                <w:sz w:val="24"/>
              </w:rPr>
              <w:t>月</w:t>
            </w:r>
            <w:r w:rsidR="00C050BB" w:rsidRPr="003E1378">
              <w:rPr>
                <w:color w:val="000000"/>
                <w:sz w:val="24"/>
              </w:rPr>
              <w:t>6</w:t>
            </w:r>
            <w:r w:rsidR="00C050BB" w:rsidRPr="003E1378">
              <w:rPr>
                <w:rFonts w:hint="eastAsia"/>
                <w:color w:val="000000"/>
                <w:sz w:val="24"/>
              </w:rPr>
              <w:t>日担任交银施罗德新回报灵活配置混合型证券投资基金基金经理、</w:t>
            </w:r>
            <w:r w:rsidR="00C050BB" w:rsidRPr="003E1378">
              <w:rPr>
                <w:color w:val="000000"/>
                <w:sz w:val="24"/>
              </w:rPr>
              <w:t>2015</w:t>
            </w:r>
            <w:r w:rsidR="00C050BB" w:rsidRPr="003E1378">
              <w:rPr>
                <w:rFonts w:hint="eastAsia"/>
                <w:color w:val="000000"/>
                <w:sz w:val="24"/>
              </w:rPr>
              <w:t>年</w:t>
            </w:r>
            <w:r w:rsidR="00C050BB" w:rsidRPr="003E1378">
              <w:rPr>
                <w:color w:val="000000"/>
                <w:sz w:val="24"/>
              </w:rPr>
              <w:t>5</w:t>
            </w:r>
            <w:r w:rsidR="00C050BB" w:rsidRPr="003E1378">
              <w:rPr>
                <w:rFonts w:hint="eastAsia"/>
                <w:color w:val="000000"/>
                <w:sz w:val="24"/>
              </w:rPr>
              <w:t>月</w:t>
            </w:r>
            <w:r w:rsidR="00C050BB" w:rsidRPr="003E1378">
              <w:rPr>
                <w:color w:val="000000"/>
                <w:sz w:val="24"/>
              </w:rPr>
              <w:t>29</w:t>
            </w:r>
            <w:r w:rsidR="00C050BB" w:rsidRPr="003E1378">
              <w:rPr>
                <w:rFonts w:hint="eastAsia"/>
                <w:color w:val="000000"/>
                <w:sz w:val="24"/>
              </w:rPr>
              <w:t>日至</w:t>
            </w:r>
            <w:r w:rsidR="00C050BB" w:rsidRPr="003E1378">
              <w:rPr>
                <w:color w:val="000000"/>
                <w:sz w:val="24"/>
              </w:rPr>
              <w:t>2015</w:t>
            </w:r>
            <w:r w:rsidR="00C050BB" w:rsidRPr="003E1378">
              <w:rPr>
                <w:rFonts w:hint="eastAsia"/>
                <w:color w:val="000000"/>
                <w:sz w:val="24"/>
              </w:rPr>
              <w:t>年</w:t>
            </w:r>
            <w:r w:rsidR="00C050BB" w:rsidRPr="003E1378">
              <w:rPr>
                <w:color w:val="000000"/>
                <w:sz w:val="24"/>
              </w:rPr>
              <w:t>10</w:t>
            </w:r>
            <w:r w:rsidR="00C050BB" w:rsidRPr="003E1378">
              <w:rPr>
                <w:rFonts w:hint="eastAsia"/>
                <w:color w:val="000000"/>
                <w:sz w:val="24"/>
              </w:rPr>
              <w:t>月</w:t>
            </w:r>
            <w:r w:rsidR="00C050BB" w:rsidRPr="003E1378">
              <w:rPr>
                <w:color w:val="000000"/>
                <w:sz w:val="24"/>
              </w:rPr>
              <w:t>6</w:t>
            </w:r>
            <w:r w:rsidR="00C050BB" w:rsidRPr="003E1378">
              <w:rPr>
                <w:rFonts w:hint="eastAsia"/>
                <w:color w:val="000000"/>
                <w:sz w:val="24"/>
              </w:rPr>
              <w:t>日担任交银施罗德荣和保本混合型证券投资基金基金经理、</w:t>
            </w:r>
            <w:r w:rsidR="00C050BB" w:rsidRPr="003E1378">
              <w:rPr>
                <w:color w:val="000000"/>
                <w:sz w:val="24"/>
              </w:rPr>
              <w:t>2015</w:t>
            </w:r>
            <w:r w:rsidR="00C050BB" w:rsidRPr="003E1378">
              <w:rPr>
                <w:rFonts w:hint="eastAsia"/>
                <w:color w:val="000000"/>
                <w:sz w:val="24"/>
              </w:rPr>
              <w:t>年</w:t>
            </w:r>
            <w:r w:rsidR="00C050BB" w:rsidRPr="003E1378">
              <w:rPr>
                <w:color w:val="000000"/>
                <w:sz w:val="24"/>
              </w:rPr>
              <w:t>6</w:t>
            </w:r>
            <w:r w:rsidR="00C050BB" w:rsidRPr="003E1378">
              <w:rPr>
                <w:rFonts w:hint="eastAsia"/>
                <w:color w:val="000000"/>
                <w:sz w:val="24"/>
              </w:rPr>
              <w:t>月</w:t>
            </w:r>
            <w:r w:rsidR="00C050BB" w:rsidRPr="003E1378">
              <w:rPr>
                <w:color w:val="000000"/>
                <w:sz w:val="24"/>
              </w:rPr>
              <w:t>2</w:t>
            </w:r>
            <w:r w:rsidR="00C050BB" w:rsidRPr="003E1378">
              <w:rPr>
                <w:rFonts w:hint="eastAsia"/>
                <w:color w:val="000000"/>
                <w:sz w:val="24"/>
              </w:rPr>
              <w:t>日至</w:t>
            </w:r>
            <w:r w:rsidR="00C050BB" w:rsidRPr="003E1378">
              <w:rPr>
                <w:color w:val="000000"/>
                <w:sz w:val="24"/>
              </w:rPr>
              <w:t>2015</w:t>
            </w:r>
            <w:r w:rsidR="00C050BB" w:rsidRPr="003E1378">
              <w:rPr>
                <w:rFonts w:hint="eastAsia"/>
                <w:color w:val="000000"/>
                <w:sz w:val="24"/>
              </w:rPr>
              <w:t>年</w:t>
            </w:r>
            <w:r w:rsidR="00C050BB" w:rsidRPr="003E1378">
              <w:rPr>
                <w:color w:val="000000"/>
                <w:sz w:val="24"/>
              </w:rPr>
              <w:t>10</w:t>
            </w:r>
            <w:r w:rsidR="00C050BB" w:rsidRPr="003E1378">
              <w:rPr>
                <w:rFonts w:hint="eastAsia"/>
                <w:color w:val="000000"/>
                <w:sz w:val="24"/>
              </w:rPr>
              <w:t>月</w:t>
            </w:r>
            <w:r w:rsidR="00C050BB" w:rsidRPr="003E1378">
              <w:rPr>
                <w:color w:val="000000"/>
                <w:sz w:val="24"/>
              </w:rPr>
              <w:t>6</w:t>
            </w:r>
            <w:r w:rsidR="00C050BB" w:rsidRPr="003E1378">
              <w:rPr>
                <w:rFonts w:hint="eastAsia"/>
                <w:color w:val="000000"/>
                <w:sz w:val="24"/>
              </w:rPr>
              <w:t>日担任交银施罗德多策略回报灵活配置混合型证券投资基金的基金经理、</w:t>
            </w:r>
            <w:r w:rsidR="00C050BB" w:rsidRPr="003E1378">
              <w:rPr>
                <w:color w:val="000000"/>
                <w:sz w:val="24"/>
              </w:rPr>
              <w:t>2015</w:t>
            </w:r>
            <w:r w:rsidR="00C050BB" w:rsidRPr="003E1378">
              <w:rPr>
                <w:rFonts w:hint="eastAsia"/>
                <w:color w:val="000000"/>
                <w:sz w:val="24"/>
              </w:rPr>
              <w:t>年</w:t>
            </w:r>
            <w:r w:rsidR="00C050BB" w:rsidRPr="003E1378">
              <w:rPr>
                <w:color w:val="000000"/>
                <w:sz w:val="24"/>
              </w:rPr>
              <w:t>6</w:t>
            </w:r>
            <w:r w:rsidR="00C050BB" w:rsidRPr="003E1378">
              <w:rPr>
                <w:rFonts w:hint="eastAsia"/>
                <w:color w:val="000000"/>
                <w:sz w:val="24"/>
              </w:rPr>
              <w:t>月</w:t>
            </w:r>
            <w:r w:rsidR="00C050BB" w:rsidRPr="003E1378">
              <w:rPr>
                <w:color w:val="000000"/>
                <w:sz w:val="24"/>
              </w:rPr>
              <w:t>27</w:t>
            </w:r>
            <w:r w:rsidR="00C050BB" w:rsidRPr="003E1378">
              <w:rPr>
                <w:rFonts w:hint="eastAsia"/>
                <w:color w:val="000000"/>
                <w:sz w:val="24"/>
              </w:rPr>
              <w:t>日至</w:t>
            </w:r>
            <w:r w:rsidR="00C050BB" w:rsidRPr="003E1378">
              <w:rPr>
                <w:color w:val="000000"/>
                <w:sz w:val="24"/>
              </w:rPr>
              <w:t>2015</w:t>
            </w:r>
            <w:r w:rsidR="00C050BB" w:rsidRPr="003E1378">
              <w:rPr>
                <w:rFonts w:hint="eastAsia"/>
                <w:color w:val="000000"/>
                <w:sz w:val="24"/>
              </w:rPr>
              <w:t>年</w:t>
            </w:r>
            <w:r w:rsidR="00C050BB" w:rsidRPr="003E1378">
              <w:rPr>
                <w:color w:val="000000"/>
                <w:sz w:val="24"/>
              </w:rPr>
              <w:t>10</w:t>
            </w:r>
            <w:r w:rsidR="00C050BB" w:rsidRPr="003E1378">
              <w:rPr>
                <w:rFonts w:hint="eastAsia"/>
                <w:color w:val="000000"/>
                <w:sz w:val="24"/>
              </w:rPr>
              <w:t>月</w:t>
            </w:r>
            <w:r w:rsidR="00C050BB" w:rsidRPr="003E1378">
              <w:rPr>
                <w:color w:val="000000"/>
                <w:sz w:val="24"/>
              </w:rPr>
              <w:t>6</w:t>
            </w:r>
            <w:r w:rsidR="00C050BB" w:rsidRPr="003E1378">
              <w:rPr>
                <w:rFonts w:hint="eastAsia"/>
                <w:color w:val="000000"/>
                <w:sz w:val="24"/>
              </w:rPr>
              <w:t>日担任交银施罗德策略回报灵活配置混合型证券投资基金基金经理。</w:t>
            </w:r>
          </w:p>
        </w:tc>
      </w:tr>
      <w:tr w:rsidR="00D05508" w:rsidTr="005819AB">
        <w:trPr>
          <w:jc w:val="center"/>
        </w:trPr>
        <w:tc>
          <w:tcPr>
            <w:tcW w:w="946" w:type="dxa"/>
            <w:vAlign w:val="center"/>
          </w:tcPr>
          <w:p w:rsidR="00D05508" w:rsidRDefault="005819AB">
            <w:pPr>
              <w:jc w:val="center"/>
            </w:pPr>
            <w:r>
              <w:rPr>
                <w:color w:val="000000"/>
                <w:sz w:val="24"/>
              </w:rPr>
              <w:t>唐赟</w:t>
            </w:r>
          </w:p>
        </w:tc>
        <w:tc>
          <w:tcPr>
            <w:tcW w:w="1243" w:type="dxa"/>
            <w:vAlign w:val="center"/>
          </w:tcPr>
          <w:p w:rsidR="00D05508" w:rsidRDefault="005819AB">
            <w:pPr>
              <w:jc w:val="center"/>
            </w:pPr>
            <w:r>
              <w:rPr>
                <w:color w:val="000000"/>
                <w:sz w:val="24"/>
              </w:rPr>
              <w:t>交银信用添利债券</w:t>
            </w:r>
            <w:r>
              <w:rPr>
                <w:color w:val="000000"/>
                <w:sz w:val="24"/>
              </w:rPr>
              <w:t>(LOF)</w:t>
            </w:r>
            <w:r>
              <w:rPr>
                <w:color w:val="000000"/>
                <w:sz w:val="24"/>
              </w:rPr>
              <w:t>、交银双利债券、交银双轮动债券、交银荣和保本混合的基金经理</w:t>
            </w:r>
          </w:p>
        </w:tc>
        <w:tc>
          <w:tcPr>
            <w:tcW w:w="1418" w:type="dxa"/>
            <w:vAlign w:val="center"/>
          </w:tcPr>
          <w:p w:rsidR="00D05508" w:rsidRDefault="005819AB">
            <w:pPr>
              <w:jc w:val="center"/>
            </w:pPr>
            <w:r>
              <w:rPr>
                <w:color w:val="000000"/>
                <w:sz w:val="24"/>
              </w:rPr>
              <w:t>2015-11-07</w:t>
            </w:r>
          </w:p>
        </w:tc>
        <w:tc>
          <w:tcPr>
            <w:tcW w:w="1417" w:type="dxa"/>
            <w:vAlign w:val="center"/>
          </w:tcPr>
          <w:p w:rsidR="00D05508" w:rsidRDefault="005819AB">
            <w:pPr>
              <w:jc w:val="center"/>
            </w:pPr>
            <w:r>
              <w:rPr>
                <w:color w:val="000000"/>
                <w:sz w:val="24"/>
              </w:rPr>
              <w:t>-</w:t>
            </w:r>
          </w:p>
        </w:tc>
        <w:tc>
          <w:tcPr>
            <w:tcW w:w="993" w:type="dxa"/>
            <w:vAlign w:val="center"/>
          </w:tcPr>
          <w:p w:rsidR="00D05508" w:rsidRDefault="005819AB">
            <w:pPr>
              <w:jc w:val="center"/>
            </w:pPr>
            <w:r>
              <w:rPr>
                <w:color w:val="000000"/>
                <w:sz w:val="24"/>
              </w:rPr>
              <w:t>3</w:t>
            </w:r>
            <w:r>
              <w:rPr>
                <w:color w:val="000000"/>
                <w:sz w:val="24"/>
              </w:rPr>
              <w:t>年</w:t>
            </w:r>
          </w:p>
        </w:tc>
        <w:tc>
          <w:tcPr>
            <w:tcW w:w="2851" w:type="dxa"/>
            <w:vAlign w:val="center"/>
          </w:tcPr>
          <w:p w:rsidR="00D05508" w:rsidRDefault="005819AB">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p>
        </w:tc>
      </w:tr>
    </w:tbl>
    <w:p w:rsidR="00D05508" w:rsidRDefault="005819A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、本基金基金经理项廷锋先生于</w:t>
      </w:r>
      <w:r>
        <w:rPr>
          <w:color w:val="000000"/>
          <w:sz w:val="24"/>
        </w:rPr>
        <w:t>2015</w:t>
      </w:r>
      <w:r>
        <w:rPr>
          <w:color w:val="000000"/>
          <w:sz w:val="24"/>
        </w:rPr>
        <w:t>年</w:t>
      </w:r>
      <w:r>
        <w:rPr>
          <w:color w:val="000000"/>
          <w:sz w:val="24"/>
        </w:rPr>
        <w:t>10</w:t>
      </w:r>
      <w:r>
        <w:rPr>
          <w:color w:val="000000"/>
          <w:sz w:val="24"/>
        </w:rPr>
        <w:t>月</w:t>
      </w:r>
      <w:r>
        <w:rPr>
          <w:color w:val="000000"/>
          <w:sz w:val="24"/>
        </w:rPr>
        <w:t>7</w:t>
      </w:r>
      <w:r>
        <w:rPr>
          <w:color w:val="000000"/>
          <w:sz w:val="24"/>
        </w:rPr>
        <w:t>日因病去世，</w:t>
      </w:r>
      <w:r>
        <w:rPr>
          <w:color w:val="000000"/>
          <w:sz w:val="24"/>
        </w:rPr>
        <w:t>2015</w:t>
      </w:r>
      <w:r>
        <w:rPr>
          <w:color w:val="000000"/>
          <w:sz w:val="24"/>
        </w:rPr>
        <w:t>年</w:t>
      </w:r>
      <w:r>
        <w:rPr>
          <w:color w:val="000000"/>
          <w:sz w:val="24"/>
        </w:rPr>
        <w:t>10</w:t>
      </w:r>
      <w:r>
        <w:rPr>
          <w:color w:val="000000"/>
          <w:sz w:val="24"/>
        </w:rPr>
        <w:t>月</w:t>
      </w:r>
      <w:r>
        <w:rPr>
          <w:color w:val="000000"/>
          <w:sz w:val="24"/>
        </w:rPr>
        <w:t>7</w:t>
      </w:r>
      <w:r>
        <w:rPr>
          <w:color w:val="000000"/>
          <w:sz w:val="24"/>
        </w:rPr>
        <w:t>日至</w:t>
      </w:r>
      <w:r>
        <w:rPr>
          <w:color w:val="000000"/>
          <w:sz w:val="24"/>
        </w:rPr>
        <w:t>2015</w:t>
      </w:r>
      <w:r>
        <w:rPr>
          <w:color w:val="000000"/>
          <w:sz w:val="24"/>
        </w:rPr>
        <w:t>年</w:t>
      </w:r>
      <w:r>
        <w:rPr>
          <w:color w:val="000000"/>
          <w:sz w:val="24"/>
        </w:rPr>
        <w:t>11</w:t>
      </w:r>
      <w:r>
        <w:rPr>
          <w:color w:val="000000"/>
          <w:sz w:val="24"/>
        </w:rPr>
        <w:t>月</w:t>
      </w:r>
      <w:r w:rsidR="00EB0956">
        <w:rPr>
          <w:color w:val="000000"/>
          <w:sz w:val="24"/>
        </w:rPr>
        <w:t>6</w:t>
      </w:r>
      <w:r>
        <w:rPr>
          <w:color w:val="000000"/>
          <w:sz w:val="24"/>
        </w:rPr>
        <w:t>日，其基金经理相关职责由本公司基金经理李娜女士代为履行。</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 xml:space="preserve">   2</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D05508" w:rsidRDefault="005819A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05508" w:rsidRDefault="005819A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05508" w:rsidRDefault="005819A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D05508" w:rsidRDefault="005819AB">
      <w:pPr>
        <w:spacing w:before="29" w:line="288" w:lineRule="auto"/>
        <w:ind w:firstLineChars="200" w:firstLine="480"/>
        <w:rPr>
          <w:color w:val="000000"/>
          <w:sz w:val="24"/>
        </w:rPr>
      </w:pPr>
      <w:r>
        <w:rPr>
          <w:color w:val="000000"/>
          <w:sz w:val="24"/>
        </w:rPr>
        <w:t>本报告期内，债券市场虽在</w:t>
      </w:r>
      <w:r>
        <w:rPr>
          <w:color w:val="000000"/>
          <w:sz w:val="24"/>
        </w:rPr>
        <w:t>11</w:t>
      </w:r>
      <w:r>
        <w:rPr>
          <w:color w:val="000000"/>
          <w:sz w:val="24"/>
        </w:rPr>
        <w:t>月受到</w:t>
      </w:r>
      <w:r>
        <w:rPr>
          <w:color w:val="000000"/>
          <w:sz w:val="24"/>
        </w:rPr>
        <w:t>IPO</w:t>
      </w:r>
      <w:r>
        <w:rPr>
          <w:color w:val="000000"/>
          <w:sz w:val="24"/>
        </w:rPr>
        <w:t>重启的冲击有一定幅度的上行，但由于对人民币汇率担忧情绪的缓解、货币政策维持宽松、资产欠配环境持续存在等原因，收益率整体上仍然下行。股票市场在</w:t>
      </w:r>
      <w:r>
        <w:rPr>
          <w:color w:val="000000"/>
          <w:sz w:val="24"/>
        </w:rPr>
        <w:t>10</w:t>
      </w:r>
      <w:r>
        <w:rPr>
          <w:color w:val="000000"/>
          <w:sz w:val="24"/>
        </w:rPr>
        <w:t>月明显反弹，进入</w:t>
      </w:r>
      <w:r>
        <w:rPr>
          <w:color w:val="000000"/>
          <w:sz w:val="24"/>
        </w:rPr>
        <w:t>11</w:t>
      </w:r>
      <w:r>
        <w:rPr>
          <w:color w:val="000000"/>
          <w:sz w:val="24"/>
        </w:rPr>
        <w:t>月中后则呈现横盘震荡的格局。</w:t>
      </w:r>
    </w:p>
    <w:p w:rsidR="00D05508" w:rsidRDefault="005819AB">
      <w:pPr>
        <w:spacing w:before="29" w:line="288" w:lineRule="auto"/>
        <w:ind w:firstLineChars="200" w:firstLine="480"/>
        <w:rPr>
          <w:color w:val="000000"/>
          <w:sz w:val="24"/>
        </w:rPr>
      </w:pPr>
      <w:r>
        <w:rPr>
          <w:color w:val="000000"/>
          <w:sz w:val="24"/>
        </w:rPr>
        <w:t>本报告期内，本基金在</w:t>
      </w:r>
      <w:r>
        <w:rPr>
          <w:color w:val="000000"/>
          <w:sz w:val="24"/>
        </w:rPr>
        <w:t>10</w:t>
      </w:r>
      <w:r>
        <w:rPr>
          <w:color w:val="000000"/>
          <w:sz w:val="24"/>
        </w:rPr>
        <w:t>月底降低了组合的久期，一定程度上避免了</w:t>
      </w:r>
      <w:r>
        <w:rPr>
          <w:color w:val="000000"/>
          <w:sz w:val="24"/>
        </w:rPr>
        <w:t>11</w:t>
      </w:r>
      <w:r>
        <w:rPr>
          <w:color w:val="000000"/>
          <w:sz w:val="24"/>
        </w:rPr>
        <w:t>月债券收益率反弹带来的债券资产的净值回撤，并在</w:t>
      </w:r>
      <w:r>
        <w:rPr>
          <w:color w:val="000000"/>
          <w:sz w:val="24"/>
        </w:rPr>
        <w:t>11</w:t>
      </w:r>
      <w:r>
        <w:rPr>
          <w:color w:val="000000"/>
          <w:sz w:val="24"/>
        </w:rPr>
        <w:t>月底</w:t>
      </w:r>
      <w:r>
        <w:rPr>
          <w:color w:val="000000"/>
          <w:sz w:val="24"/>
        </w:rPr>
        <w:t>12</w:t>
      </w:r>
      <w:r>
        <w:rPr>
          <w:color w:val="000000"/>
          <w:sz w:val="24"/>
        </w:rPr>
        <w:t>月初加回了一定仓位，参与了</w:t>
      </w:r>
      <w:r>
        <w:rPr>
          <w:color w:val="000000"/>
          <w:sz w:val="24"/>
        </w:rPr>
        <w:t>12</w:t>
      </w:r>
      <w:r>
        <w:rPr>
          <w:color w:val="000000"/>
          <w:sz w:val="24"/>
        </w:rPr>
        <w:t>月债券收益率的下行。权益资产方面，本基金在</w:t>
      </w:r>
      <w:r>
        <w:rPr>
          <w:color w:val="000000"/>
          <w:sz w:val="24"/>
        </w:rPr>
        <w:t>10</w:t>
      </w:r>
      <w:r>
        <w:rPr>
          <w:color w:val="000000"/>
          <w:sz w:val="24"/>
        </w:rPr>
        <w:t>月至</w:t>
      </w:r>
      <w:r>
        <w:rPr>
          <w:color w:val="000000"/>
          <w:sz w:val="24"/>
        </w:rPr>
        <w:t>11</w:t>
      </w:r>
      <w:r>
        <w:rPr>
          <w:color w:val="000000"/>
          <w:sz w:val="24"/>
        </w:rPr>
        <w:t>月初高配股票资产，充分参与了股票市场的反弹。</w:t>
      </w:r>
      <w:r>
        <w:rPr>
          <w:color w:val="000000"/>
          <w:sz w:val="24"/>
        </w:rPr>
        <w:t>11</w:t>
      </w:r>
      <w:r>
        <w:rPr>
          <w:color w:val="000000"/>
          <w:sz w:val="24"/>
        </w:rPr>
        <w:t>月中市场进入震荡后，则降低股票仓位至中、低配置，以控制回撤。</w:t>
      </w:r>
    </w:p>
    <w:p w:rsidR="00D05508" w:rsidRDefault="005819AB">
      <w:pPr>
        <w:spacing w:before="29" w:line="288" w:lineRule="auto"/>
        <w:ind w:firstLineChars="200" w:firstLine="480"/>
        <w:rPr>
          <w:color w:val="000000"/>
          <w:sz w:val="24"/>
        </w:rPr>
      </w:pPr>
      <w:r>
        <w:rPr>
          <w:color w:val="000000"/>
          <w:sz w:val="24"/>
        </w:rPr>
        <w:t>展望</w:t>
      </w:r>
      <w:r>
        <w:rPr>
          <w:color w:val="000000"/>
          <w:sz w:val="24"/>
        </w:rPr>
        <w:t>2016</w:t>
      </w:r>
      <w:r>
        <w:rPr>
          <w:color w:val="000000"/>
          <w:sz w:val="24"/>
        </w:rPr>
        <w:t>年一季度，预计债券市场资金配置需求依然强烈，股票市场可能处于震荡行情，高收益资产稀缺，在各大类资产中债券仍然有一定配置价值，但较</w:t>
      </w:r>
      <w:r>
        <w:rPr>
          <w:color w:val="000000"/>
          <w:sz w:val="24"/>
        </w:rPr>
        <w:t>2015</w:t>
      </w:r>
      <w:r>
        <w:rPr>
          <w:color w:val="000000"/>
          <w:sz w:val="24"/>
        </w:rPr>
        <w:t>年下半年可能有所降低。最新的经济数据显示基本面依然疲弱，通胀仍然维持低位，且一季度通常市场配置力度都较大，这都有利于中长期利率下行。但是经过</w:t>
      </w:r>
      <w:r>
        <w:rPr>
          <w:color w:val="000000"/>
          <w:sz w:val="24"/>
        </w:rPr>
        <w:t>2015</w:t>
      </w:r>
      <w:r>
        <w:rPr>
          <w:color w:val="000000"/>
          <w:sz w:val="24"/>
        </w:rPr>
        <w:t>年四季度收益率的快速下行，目前长期限债券收益率和短端资金价格之间的利差已压缩至很窄的水平，债券收益率已充分反应了短端资金价格进一步下调预期。目前货币政策一定程度受到汇率、资本流出压力的限制，货币政策能否在短期内引导资金价格进一步下行难言确定。在资金价格进一步下调以前，债券收益率可能出现一定程度的震荡。同时我们关注</w:t>
      </w:r>
      <w:r>
        <w:rPr>
          <w:color w:val="000000"/>
          <w:sz w:val="24"/>
        </w:rPr>
        <w:t>2016</w:t>
      </w:r>
      <w:r>
        <w:rPr>
          <w:color w:val="000000"/>
          <w:sz w:val="24"/>
        </w:rPr>
        <w:t>年政府稳增长力度超出预期、资本流出压力进一步加大等潜在的风险因素。另外，随着</w:t>
      </w:r>
      <w:r>
        <w:rPr>
          <w:color w:val="000000"/>
          <w:sz w:val="24"/>
        </w:rPr>
        <w:t>“</w:t>
      </w:r>
      <w:r>
        <w:rPr>
          <w:color w:val="000000"/>
          <w:sz w:val="24"/>
        </w:rPr>
        <w:t>刚兑</w:t>
      </w:r>
      <w:r>
        <w:rPr>
          <w:color w:val="000000"/>
          <w:sz w:val="24"/>
        </w:rPr>
        <w:t>”</w:t>
      </w:r>
      <w:r>
        <w:rPr>
          <w:color w:val="000000"/>
          <w:sz w:val="24"/>
        </w:rPr>
        <w:t>的不断打破，债券市场的信用风险不断加大，能否有效规避潜在的信用风险，将对债券组合的收益产生较为重大的影响。</w:t>
      </w:r>
    </w:p>
    <w:p w:rsidR="00952A72" w:rsidRPr="007F52FA" w:rsidRDefault="00323F25" w:rsidP="007C14DF">
      <w:pPr>
        <w:spacing w:before="29" w:line="288" w:lineRule="auto"/>
        <w:ind w:firstLineChars="200" w:firstLine="480"/>
        <w:rPr>
          <w:color w:val="000000"/>
          <w:sz w:val="24"/>
        </w:rPr>
      </w:pPr>
      <w:r w:rsidRPr="007F52FA">
        <w:rPr>
          <w:color w:val="000000"/>
          <w:sz w:val="24"/>
        </w:rPr>
        <w:t>对于权益资产，我们认为目前流动性较为泛滥，而能够满足收益率要求的资产相对欠缺，即所谓</w:t>
      </w:r>
      <w:r w:rsidRPr="007F52FA">
        <w:rPr>
          <w:color w:val="000000"/>
          <w:sz w:val="24"/>
        </w:rPr>
        <w:t>“</w:t>
      </w:r>
      <w:r w:rsidRPr="007F52FA">
        <w:rPr>
          <w:color w:val="000000"/>
          <w:sz w:val="24"/>
        </w:rPr>
        <w:t>资产荒</w:t>
      </w:r>
      <w:r w:rsidRPr="007F52FA">
        <w:rPr>
          <w:color w:val="000000"/>
          <w:sz w:val="24"/>
        </w:rPr>
        <w:t>”</w:t>
      </w:r>
      <w:r w:rsidRPr="007F52FA">
        <w:rPr>
          <w:color w:val="000000"/>
          <w:sz w:val="24"/>
        </w:rPr>
        <w:t>的格局仍将延续。在债券资产能够提供的回报率已经大幅下降的背景下，机构及个人或都倾向于提高风险偏好，增配权益类资产，以增强收益。因此从大类资产配置的角度看，</w:t>
      </w:r>
      <w:r w:rsidRPr="007F52FA">
        <w:rPr>
          <w:color w:val="000000"/>
          <w:sz w:val="24"/>
        </w:rPr>
        <w:t>2016</w:t>
      </w:r>
      <w:r w:rsidRPr="007F52FA">
        <w:rPr>
          <w:color w:val="000000"/>
          <w:sz w:val="24"/>
        </w:rPr>
        <w:t>年的权益类市场仍值得期待。但经历过今年的股灾之后，监管对市场过度加杠杆的行为必将严加限制。因此资金配置的速度预计无法复制</w:t>
      </w:r>
      <w:r w:rsidRPr="007F52FA">
        <w:rPr>
          <w:color w:val="000000"/>
          <w:sz w:val="24"/>
        </w:rPr>
        <w:t>2015</w:t>
      </w:r>
      <w:r w:rsidRPr="007F52FA">
        <w:rPr>
          <w:color w:val="000000"/>
          <w:sz w:val="24"/>
        </w:rPr>
        <w:t>年上半年时的情形，权益类市场更可能呈现震荡、慢牛的格局。作为债券型基金，更需要注重控制市场震荡带来的回撤风险。转债市场短期内将面临巨量供给，目前刚性配置维持转债较高估值及绝对价格的情况可能会有所改变。本基金预计将在一季度择机加大权益类资产配置，以参与潜在的春季行情。</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2015</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日，交银双利债券</w:t>
      </w:r>
      <w:r w:rsidRPr="007F52FA">
        <w:rPr>
          <w:color w:val="000000"/>
          <w:sz w:val="24"/>
        </w:rPr>
        <w:t>A/B</w:t>
      </w:r>
      <w:r w:rsidRPr="007F52FA">
        <w:rPr>
          <w:color w:val="000000"/>
          <w:sz w:val="24"/>
        </w:rPr>
        <w:t>份额净值为</w:t>
      </w:r>
      <w:r w:rsidRPr="007F52FA">
        <w:rPr>
          <w:color w:val="000000"/>
          <w:sz w:val="24"/>
        </w:rPr>
        <w:t>1.237</w:t>
      </w:r>
      <w:r w:rsidRPr="007F52FA">
        <w:rPr>
          <w:color w:val="000000"/>
          <w:sz w:val="24"/>
        </w:rPr>
        <w:t>元，本报告期份额净值增长率为</w:t>
      </w:r>
      <w:r w:rsidRPr="007F52FA">
        <w:rPr>
          <w:color w:val="000000"/>
          <w:sz w:val="24"/>
        </w:rPr>
        <w:t>4.21%</w:t>
      </w:r>
      <w:r w:rsidRPr="007F52FA">
        <w:rPr>
          <w:color w:val="000000"/>
          <w:sz w:val="24"/>
        </w:rPr>
        <w:t>，同期业绩比较基准增长率为</w:t>
      </w:r>
      <w:r w:rsidRPr="007F52FA">
        <w:rPr>
          <w:color w:val="000000"/>
          <w:sz w:val="24"/>
        </w:rPr>
        <w:t>3.27%</w:t>
      </w:r>
      <w:r w:rsidRPr="007F52FA">
        <w:rPr>
          <w:color w:val="000000"/>
          <w:sz w:val="24"/>
        </w:rPr>
        <w:t>；交银双利债券</w:t>
      </w:r>
      <w:r w:rsidRPr="007F52FA">
        <w:rPr>
          <w:color w:val="000000"/>
          <w:sz w:val="24"/>
        </w:rPr>
        <w:t>C</w:t>
      </w:r>
      <w:r w:rsidRPr="007F52FA">
        <w:rPr>
          <w:color w:val="000000"/>
          <w:sz w:val="24"/>
        </w:rPr>
        <w:t>份额净值为</w:t>
      </w:r>
      <w:r w:rsidRPr="007F52FA">
        <w:rPr>
          <w:color w:val="000000"/>
          <w:sz w:val="24"/>
        </w:rPr>
        <w:t>1.212</w:t>
      </w:r>
      <w:r w:rsidRPr="007F52FA">
        <w:rPr>
          <w:color w:val="000000"/>
          <w:sz w:val="24"/>
        </w:rPr>
        <w:t>元，本报告期份额净值增长率为</w:t>
      </w:r>
      <w:r w:rsidRPr="007F52FA">
        <w:rPr>
          <w:color w:val="000000"/>
          <w:sz w:val="24"/>
        </w:rPr>
        <w:t>4.12%</w:t>
      </w:r>
      <w:r w:rsidRPr="007F52FA">
        <w:rPr>
          <w:color w:val="000000"/>
          <w:sz w:val="24"/>
        </w:rPr>
        <w:t>，同期业绩比较基准增长率为</w:t>
      </w:r>
      <w:r w:rsidRPr="007F52FA">
        <w:rPr>
          <w:color w:val="000000"/>
          <w:sz w:val="24"/>
        </w:rPr>
        <w:t>3.27%</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7F50FB">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134,160,475.94</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5.67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134,160,475.94</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5.67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2,099,182,387.29</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88.77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2,099,182,387.29</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88.77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19,698,561.85</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0.83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111,797,338.89</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4.73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2,364,838,763.97</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52,266,565.94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3.15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12,923,400.00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0.78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4,179,000.00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17,312,500.00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1.04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18,640,000.00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1.12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23,739,010.00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1.43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5,100,000.00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0.31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134,160,475.94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8.08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D05508">
        <w:trPr>
          <w:jc w:val="center"/>
        </w:trPr>
        <w:tc>
          <w:tcPr>
            <w:tcW w:w="850" w:type="dxa"/>
            <w:vAlign w:val="center"/>
          </w:tcPr>
          <w:p w:rsidR="00D05508" w:rsidRDefault="005819AB">
            <w:pPr>
              <w:jc w:val="center"/>
            </w:pPr>
            <w:r>
              <w:rPr>
                <w:color w:val="000000"/>
                <w:sz w:val="24"/>
              </w:rPr>
              <w:t>1</w:t>
            </w:r>
          </w:p>
        </w:tc>
        <w:tc>
          <w:tcPr>
            <w:tcW w:w="1327" w:type="dxa"/>
            <w:vAlign w:val="center"/>
          </w:tcPr>
          <w:p w:rsidR="00D05508" w:rsidRDefault="005819AB">
            <w:pPr>
              <w:jc w:val="center"/>
            </w:pPr>
            <w:r>
              <w:rPr>
                <w:color w:val="000000"/>
                <w:sz w:val="24"/>
              </w:rPr>
              <w:t>600173</w:t>
            </w:r>
          </w:p>
        </w:tc>
        <w:tc>
          <w:tcPr>
            <w:tcW w:w="1769" w:type="dxa"/>
            <w:vAlign w:val="center"/>
          </w:tcPr>
          <w:p w:rsidR="00D05508" w:rsidRDefault="005819AB">
            <w:pPr>
              <w:jc w:val="center"/>
            </w:pPr>
            <w:r>
              <w:rPr>
                <w:color w:val="000000"/>
                <w:sz w:val="24"/>
              </w:rPr>
              <w:t>卧龙地产</w:t>
            </w:r>
          </w:p>
        </w:tc>
        <w:tc>
          <w:tcPr>
            <w:tcW w:w="1327" w:type="dxa"/>
            <w:vAlign w:val="center"/>
          </w:tcPr>
          <w:p w:rsidR="00D05508" w:rsidRDefault="005819AB">
            <w:pPr>
              <w:jc w:val="right"/>
            </w:pPr>
            <w:r>
              <w:rPr>
                <w:color w:val="000000"/>
                <w:sz w:val="24"/>
              </w:rPr>
              <w:t>1,499,901</w:t>
            </w:r>
          </w:p>
        </w:tc>
        <w:tc>
          <w:tcPr>
            <w:tcW w:w="1915" w:type="dxa"/>
            <w:vAlign w:val="center"/>
          </w:tcPr>
          <w:p w:rsidR="00D05508" w:rsidRDefault="005819AB">
            <w:pPr>
              <w:jc w:val="right"/>
            </w:pPr>
            <w:r>
              <w:rPr>
                <w:color w:val="000000"/>
                <w:sz w:val="24"/>
              </w:rPr>
              <w:t>14,999,010.00</w:t>
            </w:r>
          </w:p>
        </w:tc>
        <w:tc>
          <w:tcPr>
            <w:tcW w:w="1680" w:type="dxa"/>
            <w:vAlign w:val="center"/>
          </w:tcPr>
          <w:p w:rsidR="00D05508" w:rsidRDefault="005819AB">
            <w:pPr>
              <w:jc w:val="right"/>
            </w:pPr>
            <w:r>
              <w:rPr>
                <w:color w:val="000000"/>
                <w:sz w:val="24"/>
              </w:rPr>
              <w:t>0.90</w:t>
            </w:r>
          </w:p>
        </w:tc>
      </w:tr>
      <w:tr w:rsidR="00D05508">
        <w:trPr>
          <w:jc w:val="center"/>
        </w:trPr>
        <w:tc>
          <w:tcPr>
            <w:tcW w:w="850" w:type="dxa"/>
            <w:vAlign w:val="center"/>
          </w:tcPr>
          <w:p w:rsidR="00D05508" w:rsidRDefault="005819AB">
            <w:pPr>
              <w:jc w:val="center"/>
            </w:pPr>
            <w:r>
              <w:rPr>
                <w:color w:val="000000"/>
                <w:sz w:val="24"/>
              </w:rPr>
              <w:t>2</w:t>
            </w:r>
          </w:p>
        </w:tc>
        <w:tc>
          <w:tcPr>
            <w:tcW w:w="1327" w:type="dxa"/>
            <w:vAlign w:val="center"/>
          </w:tcPr>
          <w:p w:rsidR="00D05508" w:rsidRDefault="005819AB">
            <w:pPr>
              <w:jc w:val="center"/>
            </w:pPr>
            <w:r>
              <w:rPr>
                <w:color w:val="000000"/>
                <w:sz w:val="24"/>
              </w:rPr>
              <w:t>002280</w:t>
            </w:r>
          </w:p>
        </w:tc>
        <w:tc>
          <w:tcPr>
            <w:tcW w:w="1769" w:type="dxa"/>
            <w:vAlign w:val="center"/>
          </w:tcPr>
          <w:p w:rsidR="00D05508" w:rsidRDefault="005819AB">
            <w:pPr>
              <w:jc w:val="center"/>
            </w:pPr>
            <w:r>
              <w:rPr>
                <w:color w:val="000000"/>
                <w:sz w:val="24"/>
              </w:rPr>
              <w:t>联络互动</w:t>
            </w:r>
          </w:p>
        </w:tc>
        <w:tc>
          <w:tcPr>
            <w:tcW w:w="1327" w:type="dxa"/>
            <w:vAlign w:val="center"/>
          </w:tcPr>
          <w:p w:rsidR="00D05508" w:rsidRDefault="005819AB">
            <w:pPr>
              <w:jc w:val="right"/>
            </w:pPr>
            <w:r>
              <w:rPr>
                <w:color w:val="000000"/>
                <w:sz w:val="24"/>
              </w:rPr>
              <w:t>200,000</w:t>
            </w:r>
          </w:p>
        </w:tc>
        <w:tc>
          <w:tcPr>
            <w:tcW w:w="1915" w:type="dxa"/>
            <w:vAlign w:val="center"/>
          </w:tcPr>
          <w:p w:rsidR="00D05508" w:rsidRDefault="005819AB">
            <w:pPr>
              <w:jc w:val="right"/>
            </w:pPr>
            <w:r>
              <w:rPr>
                <w:color w:val="000000"/>
                <w:sz w:val="24"/>
              </w:rPr>
              <w:t>12,280,000.00</w:t>
            </w:r>
          </w:p>
        </w:tc>
        <w:tc>
          <w:tcPr>
            <w:tcW w:w="1680" w:type="dxa"/>
            <w:vAlign w:val="center"/>
          </w:tcPr>
          <w:p w:rsidR="00D05508" w:rsidRDefault="005819AB">
            <w:pPr>
              <w:jc w:val="right"/>
            </w:pPr>
            <w:r>
              <w:rPr>
                <w:color w:val="000000"/>
                <w:sz w:val="24"/>
              </w:rPr>
              <w:t>0.74</w:t>
            </w:r>
          </w:p>
        </w:tc>
      </w:tr>
      <w:tr w:rsidR="00D05508">
        <w:trPr>
          <w:jc w:val="center"/>
        </w:trPr>
        <w:tc>
          <w:tcPr>
            <w:tcW w:w="850" w:type="dxa"/>
            <w:vAlign w:val="center"/>
          </w:tcPr>
          <w:p w:rsidR="00D05508" w:rsidRDefault="005819AB">
            <w:pPr>
              <w:jc w:val="center"/>
            </w:pPr>
            <w:r>
              <w:rPr>
                <w:color w:val="000000"/>
                <w:sz w:val="24"/>
              </w:rPr>
              <w:t>3</w:t>
            </w:r>
          </w:p>
        </w:tc>
        <w:tc>
          <w:tcPr>
            <w:tcW w:w="1327" w:type="dxa"/>
            <w:vAlign w:val="center"/>
          </w:tcPr>
          <w:p w:rsidR="00D05508" w:rsidRDefault="005819AB">
            <w:pPr>
              <w:jc w:val="center"/>
            </w:pPr>
            <w:r>
              <w:rPr>
                <w:color w:val="000000"/>
                <w:sz w:val="24"/>
              </w:rPr>
              <w:t>601009</w:t>
            </w:r>
          </w:p>
        </w:tc>
        <w:tc>
          <w:tcPr>
            <w:tcW w:w="1769" w:type="dxa"/>
            <w:vAlign w:val="center"/>
          </w:tcPr>
          <w:p w:rsidR="00D05508" w:rsidRDefault="005819AB">
            <w:pPr>
              <w:jc w:val="center"/>
            </w:pPr>
            <w:r>
              <w:rPr>
                <w:color w:val="000000"/>
                <w:sz w:val="24"/>
              </w:rPr>
              <w:t>南京银行</w:t>
            </w:r>
          </w:p>
        </w:tc>
        <w:tc>
          <w:tcPr>
            <w:tcW w:w="1327" w:type="dxa"/>
            <w:vAlign w:val="center"/>
          </w:tcPr>
          <w:p w:rsidR="00D05508" w:rsidRDefault="005819AB">
            <w:pPr>
              <w:jc w:val="right"/>
            </w:pPr>
            <w:r>
              <w:rPr>
                <w:color w:val="000000"/>
                <w:sz w:val="24"/>
              </w:rPr>
              <w:t>600,000</w:t>
            </w:r>
          </w:p>
        </w:tc>
        <w:tc>
          <w:tcPr>
            <w:tcW w:w="1915" w:type="dxa"/>
            <w:vAlign w:val="center"/>
          </w:tcPr>
          <w:p w:rsidR="00D05508" w:rsidRDefault="005819AB">
            <w:pPr>
              <w:jc w:val="right"/>
            </w:pPr>
            <w:r>
              <w:rPr>
                <w:color w:val="000000"/>
                <w:sz w:val="24"/>
              </w:rPr>
              <w:t>10,620,000.00</w:t>
            </w:r>
          </w:p>
        </w:tc>
        <w:tc>
          <w:tcPr>
            <w:tcW w:w="1680" w:type="dxa"/>
            <w:vAlign w:val="center"/>
          </w:tcPr>
          <w:p w:rsidR="00D05508" w:rsidRDefault="005819AB">
            <w:pPr>
              <w:jc w:val="right"/>
            </w:pPr>
            <w:r>
              <w:rPr>
                <w:color w:val="000000"/>
                <w:sz w:val="24"/>
              </w:rPr>
              <w:t>0.64</w:t>
            </w:r>
          </w:p>
        </w:tc>
      </w:tr>
      <w:tr w:rsidR="00D05508">
        <w:trPr>
          <w:jc w:val="center"/>
        </w:trPr>
        <w:tc>
          <w:tcPr>
            <w:tcW w:w="850" w:type="dxa"/>
            <w:vAlign w:val="center"/>
          </w:tcPr>
          <w:p w:rsidR="00D05508" w:rsidRDefault="005819AB">
            <w:pPr>
              <w:jc w:val="center"/>
            </w:pPr>
            <w:r>
              <w:rPr>
                <w:color w:val="000000"/>
                <w:sz w:val="24"/>
              </w:rPr>
              <w:t>4</w:t>
            </w:r>
          </w:p>
        </w:tc>
        <w:tc>
          <w:tcPr>
            <w:tcW w:w="1327" w:type="dxa"/>
            <w:vAlign w:val="center"/>
          </w:tcPr>
          <w:p w:rsidR="00D05508" w:rsidRDefault="005819AB">
            <w:pPr>
              <w:jc w:val="center"/>
            </w:pPr>
            <w:r>
              <w:rPr>
                <w:color w:val="000000"/>
                <w:sz w:val="24"/>
              </w:rPr>
              <w:t>000858</w:t>
            </w:r>
          </w:p>
        </w:tc>
        <w:tc>
          <w:tcPr>
            <w:tcW w:w="1769" w:type="dxa"/>
            <w:vAlign w:val="center"/>
          </w:tcPr>
          <w:p w:rsidR="00D05508" w:rsidRDefault="005819AB">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27" w:type="dxa"/>
            <w:vAlign w:val="center"/>
          </w:tcPr>
          <w:p w:rsidR="00D05508" w:rsidRDefault="005819AB">
            <w:pPr>
              <w:jc w:val="right"/>
            </w:pPr>
            <w:r>
              <w:rPr>
                <w:color w:val="000000"/>
                <w:sz w:val="24"/>
              </w:rPr>
              <w:t>349,978</w:t>
            </w:r>
          </w:p>
        </w:tc>
        <w:tc>
          <w:tcPr>
            <w:tcW w:w="1915" w:type="dxa"/>
            <w:vAlign w:val="center"/>
          </w:tcPr>
          <w:p w:rsidR="00D05508" w:rsidRDefault="005819AB">
            <w:pPr>
              <w:jc w:val="right"/>
            </w:pPr>
            <w:r>
              <w:rPr>
                <w:color w:val="000000"/>
                <w:sz w:val="24"/>
              </w:rPr>
              <w:t>9,547,399.84</w:t>
            </w:r>
          </w:p>
        </w:tc>
        <w:tc>
          <w:tcPr>
            <w:tcW w:w="1680" w:type="dxa"/>
            <w:vAlign w:val="center"/>
          </w:tcPr>
          <w:p w:rsidR="00D05508" w:rsidRDefault="005819AB">
            <w:pPr>
              <w:jc w:val="right"/>
            </w:pPr>
            <w:r>
              <w:rPr>
                <w:color w:val="000000"/>
                <w:sz w:val="24"/>
              </w:rPr>
              <w:t>0.57</w:t>
            </w:r>
          </w:p>
        </w:tc>
      </w:tr>
      <w:tr w:rsidR="00D05508">
        <w:trPr>
          <w:jc w:val="center"/>
        </w:trPr>
        <w:tc>
          <w:tcPr>
            <w:tcW w:w="850" w:type="dxa"/>
            <w:vAlign w:val="center"/>
          </w:tcPr>
          <w:p w:rsidR="00D05508" w:rsidRDefault="005819AB">
            <w:pPr>
              <w:jc w:val="center"/>
            </w:pPr>
            <w:r>
              <w:rPr>
                <w:color w:val="000000"/>
                <w:sz w:val="24"/>
              </w:rPr>
              <w:t>5</w:t>
            </w:r>
          </w:p>
        </w:tc>
        <w:tc>
          <w:tcPr>
            <w:tcW w:w="1327" w:type="dxa"/>
            <w:vAlign w:val="center"/>
          </w:tcPr>
          <w:p w:rsidR="00D05508" w:rsidRDefault="005819AB">
            <w:pPr>
              <w:jc w:val="center"/>
            </w:pPr>
            <w:r>
              <w:rPr>
                <w:color w:val="000000"/>
                <w:sz w:val="24"/>
              </w:rPr>
              <w:t>300171</w:t>
            </w:r>
          </w:p>
        </w:tc>
        <w:tc>
          <w:tcPr>
            <w:tcW w:w="1769" w:type="dxa"/>
            <w:vAlign w:val="center"/>
          </w:tcPr>
          <w:p w:rsidR="00D05508" w:rsidRDefault="005819AB">
            <w:pPr>
              <w:jc w:val="center"/>
            </w:pPr>
            <w:r>
              <w:rPr>
                <w:color w:val="000000"/>
                <w:sz w:val="24"/>
              </w:rPr>
              <w:t>东富龙</w:t>
            </w:r>
          </w:p>
        </w:tc>
        <w:tc>
          <w:tcPr>
            <w:tcW w:w="1327" w:type="dxa"/>
            <w:vAlign w:val="center"/>
          </w:tcPr>
          <w:p w:rsidR="00D05508" w:rsidRDefault="005819AB">
            <w:pPr>
              <w:jc w:val="right"/>
            </w:pPr>
            <w:r>
              <w:rPr>
                <w:color w:val="000000"/>
                <w:sz w:val="24"/>
              </w:rPr>
              <w:t>300,000</w:t>
            </w:r>
          </w:p>
        </w:tc>
        <w:tc>
          <w:tcPr>
            <w:tcW w:w="1915" w:type="dxa"/>
            <w:vAlign w:val="center"/>
          </w:tcPr>
          <w:p w:rsidR="00D05508" w:rsidRDefault="005819AB">
            <w:pPr>
              <w:jc w:val="right"/>
            </w:pPr>
            <w:r>
              <w:rPr>
                <w:color w:val="000000"/>
                <w:sz w:val="24"/>
              </w:rPr>
              <w:t>8,994,000.00</w:t>
            </w:r>
          </w:p>
        </w:tc>
        <w:tc>
          <w:tcPr>
            <w:tcW w:w="1680" w:type="dxa"/>
            <w:vAlign w:val="center"/>
          </w:tcPr>
          <w:p w:rsidR="00D05508" w:rsidRDefault="005819AB">
            <w:pPr>
              <w:jc w:val="right"/>
            </w:pPr>
            <w:r>
              <w:rPr>
                <w:color w:val="000000"/>
                <w:sz w:val="24"/>
              </w:rPr>
              <w:t>0.54</w:t>
            </w:r>
          </w:p>
        </w:tc>
      </w:tr>
      <w:tr w:rsidR="00D05508">
        <w:trPr>
          <w:jc w:val="center"/>
        </w:trPr>
        <w:tc>
          <w:tcPr>
            <w:tcW w:w="850" w:type="dxa"/>
            <w:vAlign w:val="center"/>
          </w:tcPr>
          <w:p w:rsidR="00D05508" w:rsidRDefault="005819AB">
            <w:pPr>
              <w:jc w:val="center"/>
            </w:pPr>
            <w:r>
              <w:rPr>
                <w:color w:val="000000"/>
                <w:sz w:val="24"/>
              </w:rPr>
              <w:t>6</w:t>
            </w:r>
          </w:p>
        </w:tc>
        <w:tc>
          <w:tcPr>
            <w:tcW w:w="1327" w:type="dxa"/>
            <w:vAlign w:val="center"/>
          </w:tcPr>
          <w:p w:rsidR="00D05508" w:rsidRDefault="005819AB">
            <w:pPr>
              <w:jc w:val="center"/>
            </w:pPr>
            <w:r>
              <w:rPr>
                <w:color w:val="000000"/>
                <w:sz w:val="24"/>
              </w:rPr>
              <w:t>600067</w:t>
            </w:r>
          </w:p>
        </w:tc>
        <w:tc>
          <w:tcPr>
            <w:tcW w:w="1769" w:type="dxa"/>
            <w:vAlign w:val="center"/>
          </w:tcPr>
          <w:p w:rsidR="00D05508" w:rsidRDefault="005819AB">
            <w:pPr>
              <w:jc w:val="center"/>
            </w:pPr>
            <w:r>
              <w:rPr>
                <w:color w:val="000000"/>
                <w:sz w:val="24"/>
              </w:rPr>
              <w:t>冠城大通</w:t>
            </w:r>
          </w:p>
        </w:tc>
        <w:tc>
          <w:tcPr>
            <w:tcW w:w="1327" w:type="dxa"/>
            <w:vAlign w:val="center"/>
          </w:tcPr>
          <w:p w:rsidR="00D05508" w:rsidRDefault="005819AB">
            <w:pPr>
              <w:jc w:val="right"/>
            </w:pPr>
            <w:r>
              <w:rPr>
                <w:color w:val="000000"/>
                <w:sz w:val="24"/>
              </w:rPr>
              <w:t>1,000,000</w:t>
            </w:r>
          </w:p>
        </w:tc>
        <w:tc>
          <w:tcPr>
            <w:tcW w:w="1915" w:type="dxa"/>
            <w:vAlign w:val="center"/>
          </w:tcPr>
          <w:p w:rsidR="00D05508" w:rsidRDefault="005819AB">
            <w:pPr>
              <w:jc w:val="right"/>
            </w:pPr>
            <w:r>
              <w:rPr>
                <w:color w:val="000000"/>
                <w:sz w:val="24"/>
              </w:rPr>
              <w:t>8,740,000.00</w:t>
            </w:r>
          </w:p>
        </w:tc>
        <w:tc>
          <w:tcPr>
            <w:tcW w:w="1680" w:type="dxa"/>
            <w:vAlign w:val="center"/>
          </w:tcPr>
          <w:p w:rsidR="00D05508" w:rsidRDefault="005819AB">
            <w:pPr>
              <w:jc w:val="right"/>
            </w:pPr>
            <w:r>
              <w:rPr>
                <w:color w:val="000000"/>
                <w:sz w:val="24"/>
              </w:rPr>
              <w:t>0.53</w:t>
            </w:r>
          </w:p>
        </w:tc>
      </w:tr>
      <w:tr w:rsidR="00D05508">
        <w:trPr>
          <w:jc w:val="center"/>
        </w:trPr>
        <w:tc>
          <w:tcPr>
            <w:tcW w:w="850" w:type="dxa"/>
            <w:vAlign w:val="center"/>
          </w:tcPr>
          <w:p w:rsidR="00D05508" w:rsidRDefault="005819AB">
            <w:pPr>
              <w:jc w:val="center"/>
            </w:pPr>
            <w:r>
              <w:rPr>
                <w:color w:val="000000"/>
                <w:sz w:val="24"/>
              </w:rPr>
              <w:t>7</w:t>
            </w:r>
          </w:p>
        </w:tc>
        <w:tc>
          <w:tcPr>
            <w:tcW w:w="1327" w:type="dxa"/>
            <w:vAlign w:val="center"/>
          </w:tcPr>
          <w:p w:rsidR="00D05508" w:rsidRDefault="005819AB">
            <w:pPr>
              <w:jc w:val="center"/>
            </w:pPr>
            <w:r>
              <w:rPr>
                <w:color w:val="000000"/>
                <w:sz w:val="24"/>
              </w:rPr>
              <w:t>002390</w:t>
            </w:r>
          </w:p>
        </w:tc>
        <w:tc>
          <w:tcPr>
            <w:tcW w:w="1769" w:type="dxa"/>
            <w:vAlign w:val="center"/>
          </w:tcPr>
          <w:p w:rsidR="00D05508" w:rsidRDefault="005819AB">
            <w:pPr>
              <w:jc w:val="center"/>
            </w:pPr>
            <w:r>
              <w:rPr>
                <w:color w:val="000000"/>
                <w:sz w:val="24"/>
              </w:rPr>
              <w:t>信邦制药</w:t>
            </w:r>
          </w:p>
        </w:tc>
        <w:tc>
          <w:tcPr>
            <w:tcW w:w="1327" w:type="dxa"/>
            <w:vAlign w:val="center"/>
          </w:tcPr>
          <w:p w:rsidR="00D05508" w:rsidRDefault="005819AB">
            <w:pPr>
              <w:jc w:val="right"/>
            </w:pPr>
            <w:r>
              <w:rPr>
                <w:color w:val="000000"/>
                <w:sz w:val="24"/>
              </w:rPr>
              <w:t>599,950</w:t>
            </w:r>
          </w:p>
        </w:tc>
        <w:tc>
          <w:tcPr>
            <w:tcW w:w="1915" w:type="dxa"/>
            <w:vAlign w:val="center"/>
          </w:tcPr>
          <w:p w:rsidR="00D05508" w:rsidRDefault="005819AB">
            <w:pPr>
              <w:jc w:val="right"/>
            </w:pPr>
            <w:r>
              <w:rPr>
                <w:color w:val="000000"/>
                <w:sz w:val="24"/>
              </w:rPr>
              <w:t>8,609,282.50</w:t>
            </w:r>
          </w:p>
        </w:tc>
        <w:tc>
          <w:tcPr>
            <w:tcW w:w="1680" w:type="dxa"/>
            <w:vAlign w:val="center"/>
          </w:tcPr>
          <w:p w:rsidR="00D05508" w:rsidRDefault="005819AB">
            <w:pPr>
              <w:jc w:val="right"/>
            </w:pPr>
            <w:r>
              <w:rPr>
                <w:color w:val="000000"/>
                <w:sz w:val="24"/>
              </w:rPr>
              <w:t>0.52</w:t>
            </w:r>
          </w:p>
        </w:tc>
      </w:tr>
      <w:tr w:rsidR="00D05508">
        <w:trPr>
          <w:jc w:val="center"/>
        </w:trPr>
        <w:tc>
          <w:tcPr>
            <w:tcW w:w="850" w:type="dxa"/>
            <w:vAlign w:val="center"/>
          </w:tcPr>
          <w:p w:rsidR="00D05508" w:rsidRDefault="005819AB">
            <w:pPr>
              <w:jc w:val="center"/>
            </w:pPr>
            <w:r>
              <w:rPr>
                <w:color w:val="000000"/>
                <w:sz w:val="24"/>
              </w:rPr>
              <w:t>8</w:t>
            </w:r>
          </w:p>
        </w:tc>
        <w:tc>
          <w:tcPr>
            <w:tcW w:w="1327" w:type="dxa"/>
            <w:vAlign w:val="center"/>
          </w:tcPr>
          <w:p w:rsidR="00D05508" w:rsidRDefault="005819AB">
            <w:pPr>
              <w:jc w:val="center"/>
            </w:pPr>
            <w:r>
              <w:rPr>
                <w:color w:val="000000"/>
                <w:sz w:val="24"/>
              </w:rPr>
              <w:t>603883</w:t>
            </w:r>
          </w:p>
        </w:tc>
        <w:tc>
          <w:tcPr>
            <w:tcW w:w="1769" w:type="dxa"/>
            <w:vAlign w:val="center"/>
          </w:tcPr>
          <w:p w:rsidR="00D05508" w:rsidRDefault="005819AB">
            <w:pPr>
              <w:jc w:val="center"/>
            </w:pPr>
            <w:r>
              <w:rPr>
                <w:color w:val="000000"/>
                <w:sz w:val="24"/>
              </w:rPr>
              <w:t>老百姓</w:t>
            </w:r>
          </w:p>
        </w:tc>
        <w:tc>
          <w:tcPr>
            <w:tcW w:w="1327" w:type="dxa"/>
            <w:vAlign w:val="center"/>
          </w:tcPr>
          <w:p w:rsidR="00D05508" w:rsidRDefault="005819AB">
            <w:pPr>
              <w:jc w:val="right"/>
            </w:pPr>
            <w:r>
              <w:rPr>
                <w:color w:val="000000"/>
                <w:sz w:val="24"/>
              </w:rPr>
              <w:t>120,000</w:t>
            </w:r>
          </w:p>
        </w:tc>
        <w:tc>
          <w:tcPr>
            <w:tcW w:w="1915" w:type="dxa"/>
            <w:vAlign w:val="center"/>
          </w:tcPr>
          <w:p w:rsidR="00D05508" w:rsidRDefault="005819AB">
            <w:pPr>
              <w:jc w:val="right"/>
            </w:pPr>
            <w:r>
              <w:rPr>
                <w:color w:val="000000"/>
                <w:sz w:val="24"/>
              </w:rPr>
              <w:t>8,516,400.00</w:t>
            </w:r>
          </w:p>
        </w:tc>
        <w:tc>
          <w:tcPr>
            <w:tcW w:w="1680" w:type="dxa"/>
            <w:vAlign w:val="center"/>
          </w:tcPr>
          <w:p w:rsidR="00D05508" w:rsidRDefault="005819AB">
            <w:pPr>
              <w:jc w:val="right"/>
            </w:pPr>
            <w:r>
              <w:rPr>
                <w:color w:val="000000"/>
                <w:sz w:val="24"/>
              </w:rPr>
              <w:t>0.51</w:t>
            </w:r>
          </w:p>
        </w:tc>
      </w:tr>
      <w:tr w:rsidR="00D05508">
        <w:trPr>
          <w:jc w:val="center"/>
        </w:trPr>
        <w:tc>
          <w:tcPr>
            <w:tcW w:w="850" w:type="dxa"/>
            <w:vAlign w:val="center"/>
          </w:tcPr>
          <w:p w:rsidR="00D05508" w:rsidRDefault="005819AB">
            <w:pPr>
              <w:jc w:val="center"/>
            </w:pPr>
            <w:r>
              <w:rPr>
                <w:color w:val="000000"/>
                <w:sz w:val="24"/>
              </w:rPr>
              <w:t>9</w:t>
            </w:r>
          </w:p>
        </w:tc>
        <w:tc>
          <w:tcPr>
            <w:tcW w:w="1327" w:type="dxa"/>
            <w:vAlign w:val="center"/>
          </w:tcPr>
          <w:p w:rsidR="00D05508" w:rsidRDefault="005819AB">
            <w:pPr>
              <w:jc w:val="center"/>
            </w:pPr>
            <w:r>
              <w:rPr>
                <w:color w:val="000000"/>
                <w:sz w:val="24"/>
              </w:rPr>
              <w:t>600104</w:t>
            </w:r>
          </w:p>
        </w:tc>
        <w:tc>
          <w:tcPr>
            <w:tcW w:w="1769" w:type="dxa"/>
            <w:vAlign w:val="center"/>
          </w:tcPr>
          <w:p w:rsidR="00D05508" w:rsidRDefault="005819AB">
            <w:pPr>
              <w:jc w:val="center"/>
            </w:pPr>
            <w:r>
              <w:rPr>
                <w:color w:val="000000"/>
                <w:sz w:val="24"/>
              </w:rPr>
              <w:t>上汽集团</w:t>
            </w:r>
          </w:p>
        </w:tc>
        <w:tc>
          <w:tcPr>
            <w:tcW w:w="1327" w:type="dxa"/>
            <w:vAlign w:val="center"/>
          </w:tcPr>
          <w:p w:rsidR="00D05508" w:rsidRDefault="005819AB">
            <w:pPr>
              <w:jc w:val="right"/>
            </w:pPr>
            <w:r>
              <w:rPr>
                <w:color w:val="000000"/>
                <w:sz w:val="24"/>
              </w:rPr>
              <w:t>400,000</w:t>
            </w:r>
          </w:p>
        </w:tc>
        <w:tc>
          <w:tcPr>
            <w:tcW w:w="1915" w:type="dxa"/>
            <w:vAlign w:val="center"/>
          </w:tcPr>
          <w:p w:rsidR="00D05508" w:rsidRDefault="005819AB">
            <w:pPr>
              <w:jc w:val="right"/>
            </w:pPr>
            <w:r>
              <w:rPr>
                <w:color w:val="000000"/>
                <w:sz w:val="24"/>
              </w:rPr>
              <w:t>8,488,000.00</w:t>
            </w:r>
          </w:p>
        </w:tc>
        <w:tc>
          <w:tcPr>
            <w:tcW w:w="1680" w:type="dxa"/>
            <w:vAlign w:val="center"/>
          </w:tcPr>
          <w:p w:rsidR="00D05508" w:rsidRDefault="005819AB">
            <w:pPr>
              <w:jc w:val="right"/>
            </w:pPr>
            <w:r>
              <w:rPr>
                <w:color w:val="000000"/>
                <w:sz w:val="24"/>
              </w:rPr>
              <w:t>0.51</w:t>
            </w:r>
          </w:p>
        </w:tc>
      </w:tr>
      <w:tr w:rsidR="00D05508">
        <w:trPr>
          <w:jc w:val="center"/>
        </w:trPr>
        <w:tc>
          <w:tcPr>
            <w:tcW w:w="850" w:type="dxa"/>
            <w:vAlign w:val="center"/>
          </w:tcPr>
          <w:p w:rsidR="00D05508" w:rsidRDefault="005819AB">
            <w:pPr>
              <w:jc w:val="center"/>
            </w:pPr>
            <w:r>
              <w:rPr>
                <w:color w:val="000000"/>
                <w:sz w:val="24"/>
              </w:rPr>
              <w:t>10</w:t>
            </w:r>
          </w:p>
        </w:tc>
        <w:tc>
          <w:tcPr>
            <w:tcW w:w="1327" w:type="dxa"/>
            <w:vAlign w:val="center"/>
          </w:tcPr>
          <w:p w:rsidR="00D05508" w:rsidRDefault="005819AB">
            <w:pPr>
              <w:jc w:val="center"/>
            </w:pPr>
            <w:r>
              <w:rPr>
                <w:color w:val="000000"/>
                <w:sz w:val="24"/>
              </w:rPr>
              <w:t>601988</w:t>
            </w:r>
          </w:p>
        </w:tc>
        <w:tc>
          <w:tcPr>
            <w:tcW w:w="1769" w:type="dxa"/>
            <w:vAlign w:val="center"/>
          </w:tcPr>
          <w:p w:rsidR="00D05508" w:rsidRDefault="005819AB">
            <w:pPr>
              <w:jc w:val="center"/>
            </w:pPr>
            <w:r>
              <w:rPr>
                <w:color w:val="000000"/>
                <w:sz w:val="24"/>
              </w:rPr>
              <w:t>中国银行</w:t>
            </w:r>
          </w:p>
        </w:tc>
        <w:tc>
          <w:tcPr>
            <w:tcW w:w="1327" w:type="dxa"/>
            <w:vAlign w:val="center"/>
          </w:tcPr>
          <w:p w:rsidR="00D05508" w:rsidRDefault="005819AB">
            <w:pPr>
              <w:jc w:val="right"/>
            </w:pPr>
            <w:r>
              <w:rPr>
                <w:color w:val="000000"/>
                <w:sz w:val="24"/>
              </w:rPr>
              <w:t>2,000,000</w:t>
            </w:r>
          </w:p>
        </w:tc>
        <w:tc>
          <w:tcPr>
            <w:tcW w:w="1915" w:type="dxa"/>
            <w:vAlign w:val="center"/>
          </w:tcPr>
          <w:p w:rsidR="00D05508" w:rsidRDefault="005819AB">
            <w:pPr>
              <w:jc w:val="right"/>
            </w:pPr>
            <w:r>
              <w:rPr>
                <w:color w:val="000000"/>
                <w:sz w:val="24"/>
              </w:rPr>
              <w:t>8,020,000.00</w:t>
            </w:r>
          </w:p>
        </w:tc>
        <w:tc>
          <w:tcPr>
            <w:tcW w:w="1680" w:type="dxa"/>
            <w:vAlign w:val="center"/>
          </w:tcPr>
          <w:p w:rsidR="00D05508" w:rsidRDefault="005819AB">
            <w:pPr>
              <w:jc w:val="right"/>
            </w:pPr>
            <w:r>
              <w:rPr>
                <w:color w:val="000000"/>
                <w:sz w:val="24"/>
              </w:rPr>
              <w:t>0.48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219,474,000.00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13.22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219,474,000.00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13.22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467,941,387.29</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28.18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621,547,000.00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37.43</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689,041,000.00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41.49</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489,000.00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0.03</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D05508">
        <w:trPr>
          <w:jc w:val="center"/>
        </w:trPr>
        <w:tc>
          <w:tcPr>
            <w:tcW w:w="850" w:type="dxa"/>
            <w:vAlign w:val="center"/>
          </w:tcPr>
          <w:p w:rsidR="00D05508" w:rsidRDefault="005819AB">
            <w:pPr>
              <w:jc w:val="center"/>
            </w:pPr>
            <w:r>
              <w:rPr>
                <w:color w:val="000000"/>
                <w:sz w:val="24"/>
              </w:rPr>
              <w:t>9</w:t>
            </w:r>
          </w:p>
        </w:tc>
        <w:tc>
          <w:tcPr>
            <w:tcW w:w="3390" w:type="dxa"/>
            <w:vAlign w:val="center"/>
          </w:tcPr>
          <w:p w:rsidR="00D05508" w:rsidRDefault="005819AB" w:rsidP="003E1378">
            <w:r>
              <w:rPr>
                <w:color w:val="000000"/>
                <w:sz w:val="24"/>
              </w:rPr>
              <w:t>地方政府债券</w:t>
            </w:r>
          </w:p>
        </w:tc>
        <w:tc>
          <w:tcPr>
            <w:tcW w:w="2948" w:type="dxa"/>
            <w:vAlign w:val="center"/>
          </w:tcPr>
          <w:p w:rsidR="00D05508" w:rsidRDefault="005819AB" w:rsidP="003E1378">
            <w:pPr>
              <w:jc w:val="right"/>
            </w:pPr>
            <w:r>
              <w:rPr>
                <w:color w:val="000000"/>
                <w:sz w:val="24"/>
              </w:rPr>
              <w:t>100,690,000.00</w:t>
            </w:r>
          </w:p>
        </w:tc>
        <w:tc>
          <w:tcPr>
            <w:tcW w:w="1680" w:type="dxa"/>
            <w:vAlign w:val="center"/>
          </w:tcPr>
          <w:p w:rsidR="00D05508" w:rsidRDefault="005819AB" w:rsidP="003E1378">
            <w:pPr>
              <w:jc w:val="right"/>
            </w:pPr>
            <w:r>
              <w:rPr>
                <w:color w:val="000000"/>
                <w:sz w:val="24"/>
              </w:rPr>
              <w:t>6.06</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11</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2,099,182,387.29</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126.40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D05508">
        <w:trPr>
          <w:jc w:val="center"/>
        </w:trPr>
        <w:tc>
          <w:tcPr>
            <w:tcW w:w="1075" w:type="dxa"/>
            <w:vAlign w:val="center"/>
          </w:tcPr>
          <w:p w:rsidR="00D05508" w:rsidRDefault="005819AB">
            <w:pPr>
              <w:jc w:val="center"/>
            </w:pPr>
            <w:r>
              <w:rPr>
                <w:color w:val="000000"/>
                <w:sz w:val="24"/>
              </w:rPr>
              <w:t>1</w:t>
            </w:r>
          </w:p>
        </w:tc>
        <w:tc>
          <w:tcPr>
            <w:tcW w:w="1533" w:type="dxa"/>
            <w:vAlign w:val="center"/>
          </w:tcPr>
          <w:p w:rsidR="00D05508" w:rsidRDefault="005819AB">
            <w:pPr>
              <w:jc w:val="center"/>
            </w:pPr>
            <w:r>
              <w:rPr>
                <w:color w:val="000000"/>
                <w:sz w:val="24"/>
              </w:rPr>
              <w:t>150210</w:t>
            </w:r>
          </w:p>
        </w:tc>
        <w:tc>
          <w:tcPr>
            <w:tcW w:w="1533" w:type="dxa"/>
            <w:vAlign w:val="center"/>
          </w:tcPr>
          <w:p w:rsidR="00D05508" w:rsidRDefault="005819AB">
            <w:pPr>
              <w:jc w:val="center"/>
            </w:pPr>
            <w:r>
              <w:rPr>
                <w:color w:val="000000"/>
                <w:sz w:val="24"/>
              </w:rPr>
              <w:t>15</w:t>
            </w:r>
            <w:r>
              <w:rPr>
                <w:color w:val="000000"/>
                <w:sz w:val="24"/>
              </w:rPr>
              <w:t>国开</w:t>
            </w:r>
            <w:r>
              <w:rPr>
                <w:color w:val="000000"/>
                <w:sz w:val="24"/>
              </w:rPr>
              <w:t>10</w:t>
            </w:r>
          </w:p>
        </w:tc>
        <w:tc>
          <w:tcPr>
            <w:tcW w:w="1394" w:type="dxa"/>
            <w:vAlign w:val="center"/>
          </w:tcPr>
          <w:p w:rsidR="00D05508" w:rsidRDefault="005819AB">
            <w:pPr>
              <w:jc w:val="right"/>
            </w:pPr>
            <w:r>
              <w:rPr>
                <w:color w:val="000000"/>
                <w:sz w:val="24"/>
              </w:rPr>
              <w:t>1,100,000</w:t>
            </w:r>
          </w:p>
        </w:tc>
        <w:tc>
          <w:tcPr>
            <w:tcW w:w="1944" w:type="dxa"/>
            <w:vAlign w:val="center"/>
          </w:tcPr>
          <w:p w:rsidR="00D05508" w:rsidRDefault="005819AB">
            <w:pPr>
              <w:jc w:val="right"/>
            </w:pPr>
            <w:r>
              <w:rPr>
                <w:color w:val="000000"/>
                <w:sz w:val="24"/>
              </w:rPr>
              <w:t>119,196,000.00</w:t>
            </w:r>
          </w:p>
        </w:tc>
        <w:tc>
          <w:tcPr>
            <w:tcW w:w="1389" w:type="dxa"/>
            <w:vAlign w:val="center"/>
          </w:tcPr>
          <w:p w:rsidR="00D05508" w:rsidRDefault="005819AB">
            <w:pPr>
              <w:jc w:val="right"/>
            </w:pPr>
            <w:r>
              <w:rPr>
                <w:color w:val="000000"/>
                <w:sz w:val="24"/>
              </w:rPr>
              <w:t>7.18</w:t>
            </w:r>
          </w:p>
        </w:tc>
      </w:tr>
      <w:tr w:rsidR="00D05508">
        <w:trPr>
          <w:jc w:val="center"/>
        </w:trPr>
        <w:tc>
          <w:tcPr>
            <w:tcW w:w="1075" w:type="dxa"/>
            <w:vAlign w:val="center"/>
          </w:tcPr>
          <w:p w:rsidR="00D05508" w:rsidRDefault="005819AB">
            <w:pPr>
              <w:jc w:val="center"/>
            </w:pPr>
            <w:r>
              <w:rPr>
                <w:color w:val="000000"/>
                <w:sz w:val="24"/>
              </w:rPr>
              <w:t>2</w:t>
            </w:r>
          </w:p>
        </w:tc>
        <w:tc>
          <w:tcPr>
            <w:tcW w:w="1533" w:type="dxa"/>
            <w:vAlign w:val="center"/>
          </w:tcPr>
          <w:p w:rsidR="00D05508" w:rsidRDefault="005819AB">
            <w:pPr>
              <w:jc w:val="center"/>
            </w:pPr>
            <w:r>
              <w:rPr>
                <w:color w:val="000000"/>
                <w:sz w:val="24"/>
              </w:rPr>
              <w:t>101453021</w:t>
            </w:r>
          </w:p>
        </w:tc>
        <w:tc>
          <w:tcPr>
            <w:tcW w:w="1533" w:type="dxa"/>
            <w:vAlign w:val="center"/>
          </w:tcPr>
          <w:p w:rsidR="00D05508" w:rsidRDefault="005819AB">
            <w:pPr>
              <w:jc w:val="center"/>
            </w:pPr>
            <w:r>
              <w:rPr>
                <w:color w:val="000000"/>
                <w:sz w:val="24"/>
              </w:rPr>
              <w:t>14</w:t>
            </w:r>
            <w:r>
              <w:rPr>
                <w:color w:val="000000"/>
                <w:sz w:val="24"/>
              </w:rPr>
              <w:t>粤城建</w:t>
            </w:r>
            <w:r>
              <w:rPr>
                <w:color w:val="000000"/>
                <w:sz w:val="24"/>
              </w:rPr>
              <w:t>MTN001</w:t>
            </w:r>
          </w:p>
        </w:tc>
        <w:tc>
          <w:tcPr>
            <w:tcW w:w="1394" w:type="dxa"/>
            <w:vAlign w:val="center"/>
          </w:tcPr>
          <w:p w:rsidR="00D05508" w:rsidRDefault="005819AB">
            <w:pPr>
              <w:jc w:val="right"/>
            </w:pPr>
            <w:r>
              <w:rPr>
                <w:color w:val="000000"/>
                <w:sz w:val="24"/>
              </w:rPr>
              <w:t>1,100,000</w:t>
            </w:r>
          </w:p>
        </w:tc>
        <w:tc>
          <w:tcPr>
            <w:tcW w:w="1944" w:type="dxa"/>
            <w:vAlign w:val="center"/>
          </w:tcPr>
          <w:p w:rsidR="00D05508" w:rsidRDefault="005819AB">
            <w:pPr>
              <w:jc w:val="right"/>
            </w:pPr>
            <w:r>
              <w:rPr>
                <w:color w:val="000000"/>
                <w:sz w:val="24"/>
              </w:rPr>
              <w:t>118,569,000.00</w:t>
            </w:r>
          </w:p>
        </w:tc>
        <w:tc>
          <w:tcPr>
            <w:tcW w:w="1389" w:type="dxa"/>
            <w:vAlign w:val="center"/>
          </w:tcPr>
          <w:p w:rsidR="00D05508" w:rsidRDefault="005819AB">
            <w:pPr>
              <w:jc w:val="right"/>
            </w:pPr>
            <w:r>
              <w:rPr>
                <w:color w:val="000000"/>
                <w:sz w:val="24"/>
              </w:rPr>
              <w:t>7.14</w:t>
            </w:r>
          </w:p>
        </w:tc>
      </w:tr>
      <w:tr w:rsidR="00D05508">
        <w:trPr>
          <w:jc w:val="center"/>
        </w:trPr>
        <w:tc>
          <w:tcPr>
            <w:tcW w:w="1075" w:type="dxa"/>
            <w:vAlign w:val="center"/>
          </w:tcPr>
          <w:p w:rsidR="00D05508" w:rsidRDefault="005819AB">
            <w:pPr>
              <w:jc w:val="center"/>
            </w:pPr>
            <w:r>
              <w:rPr>
                <w:color w:val="000000"/>
                <w:sz w:val="24"/>
              </w:rPr>
              <w:t>3</w:t>
            </w:r>
          </w:p>
        </w:tc>
        <w:tc>
          <w:tcPr>
            <w:tcW w:w="1533" w:type="dxa"/>
            <w:vAlign w:val="center"/>
          </w:tcPr>
          <w:p w:rsidR="00D05508" w:rsidRDefault="005819AB">
            <w:pPr>
              <w:jc w:val="center"/>
            </w:pPr>
            <w:r>
              <w:rPr>
                <w:color w:val="000000"/>
                <w:sz w:val="24"/>
              </w:rPr>
              <w:t>1380140</w:t>
            </w:r>
          </w:p>
        </w:tc>
        <w:tc>
          <w:tcPr>
            <w:tcW w:w="1533" w:type="dxa"/>
            <w:vAlign w:val="center"/>
          </w:tcPr>
          <w:p w:rsidR="00D05508" w:rsidRDefault="005819AB">
            <w:pPr>
              <w:jc w:val="center"/>
            </w:pPr>
            <w:r>
              <w:rPr>
                <w:color w:val="000000"/>
                <w:sz w:val="24"/>
              </w:rPr>
              <w:t>13</w:t>
            </w:r>
            <w:r>
              <w:rPr>
                <w:color w:val="000000"/>
                <w:sz w:val="24"/>
              </w:rPr>
              <w:t>漳州开发债</w:t>
            </w:r>
          </w:p>
        </w:tc>
        <w:tc>
          <w:tcPr>
            <w:tcW w:w="1394" w:type="dxa"/>
            <w:vAlign w:val="center"/>
          </w:tcPr>
          <w:p w:rsidR="00D05508" w:rsidRDefault="005819AB">
            <w:pPr>
              <w:jc w:val="right"/>
            </w:pPr>
            <w:r>
              <w:rPr>
                <w:color w:val="000000"/>
                <w:sz w:val="24"/>
              </w:rPr>
              <w:t>1,000,000</w:t>
            </w:r>
          </w:p>
        </w:tc>
        <w:tc>
          <w:tcPr>
            <w:tcW w:w="1944" w:type="dxa"/>
            <w:vAlign w:val="center"/>
          </w:tcPr>
          <w:p w:rsidR="00D05508" w:rsidRDefault="005819AB">
            <w:pPr>
              <w:jc w:val="right"/>
            </w:pPr>
            <w:r>
              <w:rPr>
                <w:color w:val="000000"/>
                <w:sz w:val="24"/>
              </w:rPr>
              <w:t>106,920,000.00</w:t>
            </w:r>
          </w:p>
        </w:tc>
        <w:tc>
          <w:tcPr>
            <w:tcW w:w="1389" w:type="dxa"/>
            <w:vAlign w:val="center"/>
          </w:tcPr>
          <w:p w:rsidR="00D05508" w:rsidRDefault="005819AB">
            <w:pPr>
              <w:jc w:val="right"/>
            </w:pPr>
            <w:r>
              <w:rPr>
                <w:color w:val="000000"/>
                <w:sz w:val="24"/>
              </w:rPr>
              <w:t>6.44</w:t>
            </w:r>
          </w:p>
        </w:tc>
      </w:tr>
      <w:tr w:rsidR="00D05508">
        <w:trPr>
          <w:jc w:val="center"/>
        </w:trPr>
        <w:tc>
          <w:tcPr>
            <w:tcW w:w="1075" w:type="dxa"/>
            <w:vAlign w:val="center"/>
          </w:tcPr>
          <w:p w:rsidR="00D05508" w:rsidRDefault="005819AB">
            <w:pPr>
              <w:jc w:val="center"/>
            </w:pPr>
            <w:r>
              <w:rPr>
                <w:color w:val="000000"/>
                <w:sz w:val="24"/>
              </w:rPr>
              <w:t>4</w:t>
            </w:r>
          </w:p>
        </w:tc>
        <w:tc>
          <w:tcPr>
            <w:tcW w:w="1533" w:type="dxa"/>
            <w:vAlign w:val="center"/>
          </w:tcPr>
          <w:p w:rsidR="00D05508" w:rsidRDefault="005819AB">
            <w:pPr>
              <w:jc w:val="center"/>
            </w:pPr>
            <w:r>
              <w:rPr>
                <w:color w:val="000000"/>
                <w:sz w:val="24"/>
              </w:rPr>
              <w:t>101573023</w:t>
            </w:r>
          </w:p>
        </w:tc>
        <w:tc>
          <w:tcPr>
            <w:tcW w:w="1533" w:type="dxa"/>
            <w:vAlign w:val="center"/>
          </w:tcPr>
          <w:p w:rsidR="00D05508" w:rsidRDefault="005819AB">
            <w:pPr>
              <w:jc w:val="center"/>
            </w:pPr>
            <w:r>
              <w:rPr>
                <w:color w:val="000000"/>
                <w:sz w:val="24"/>
              </w:rPr>
              <w:t>15</w:t>
            </w:r>
            <w:r>
              <w:rPr>
                <w:color w:val="000000"/>
                <w:sz w:val="24"/>
              </w:rPr>
              <w:t>中信国安</w:t>
            </w:r>
            <w:r>
              <w:rPr>
                <w:color w:val="000000"/>
                <w:sz w:val="24"/>
              </w:rPr>
              <w:t>MTN004</w:t>
            </w:r>
          </w:p>
        </w:tc>
        <w:tc>
          <w:tcPr>
            <w:tcW w:w="1394" w:type="dxa"/>
            <w:vAlign w:val="center"/>
          </w:tcPr>
          <w:p w:rsidR="00D05508" w:rsidRDefault="005819AB">
            <w:pPr>
              <w:jc w:val="right"/>
            </w:pPr>
            <w:r>
              <w:rPr>
                <w:color w:val="000000"/>
                <w:sz w:val="24"/>
              </w:rPr>
              <w:t>1,000,000</w:t>
            </w:r>
          </w:p>
        </w:tc>
        <w:tc>
          <w:tcPr>
            <w:tcW w:w="1944" w:type="dxa"/>
            <w:vAlign w:val="center"/>
          </w:tcPr>
          <w:p w:rsidR="00D05508" w:rsidRDefault="005819AB">
            <w:pPr>
              <w:jc w:val="right"/>
            </w:pPr>
            <w:r>
              <w:rPr>
                <w:color w:val="000000"/>
                <w:sz w:val="24"/>
              </w:rPr>
              <w:t>101,170,000.00</w:t>
            </w:r>
          </w:p>
        </w:tc>
        <w:tc>
          <w:tcPr>
            <w:tcW w:w="1389" w:type="dxa"/>
            <w:vAlign w:val="center"/>
          </w:tcPr>
          <w:p w:rsidR="00D05508" w:rsidRDefault="005819AB">
            <w:pPr>
              <w:jc w:val="right"/>
            </w:pPr>
            <w:r>
              <w:rPr>
                <w:color w:val="000000"/>
                <w:sz w:val="24"/>
              </w:rPr>
              <w:t>6.09</w:t>
            </w:r>
          </w:p>
        </w:tc>
      </w:tr>
      <w:tr w:rsidR="00D05508">
        <w:trPr>
          <w:jc w:val="center"/>
        </w:trPr>
        <w:tc>
          <w:tcPr>
            <w:tcW w:w="1075" w:type="dxa"/>
            <w:vAlign w:val="center"/>
          </w:tcPr>
          <w:p w:rsidR="00D05508" w:rsidRDefault="005819AB">
            <w:pPr>
              <w:jc w:val="center"/>
            </w:pPr>
            <w:r>
              <w:rPr>
                <w:color w:val="000000"/>
                <w:sz w:val="24"/>
              </w:rPr>
              <w:t>5</w:t>
            </w:r>
          </w:p>
        </w:tc>
        <w:tc>
          <w:tcPr>
            <w:tcW w:w="1533" w:type="dxa"/>
            <w:vAlign w:val="center"/>
          </w:tcPr>
          <w:p w:rsidR="00D05508" w:rsidRDefault="005819AB">
            <w:pPr>
              <w:jc w:val="center"/>
            </w:pPr>
            <w:r>
              <w:rPr>
                <w:color w:val="000000"/>
                <w:sz w:val="24"/>
              </w:rPr>
              <w:t>130649</w:t>
            </w:r>
          </w:p>
        </w:tc>
        <w:tc>
          <w:tcPr>
            <w:tcW w:w="1533" w:type="dxa"/>
            <w:vAlign w:val="center"/>
          </w:tcPr>
          <w:p w:rsidR="00D05508" w:rsidRDefault="005819AB">
            <w:pPr>
              <w:jc w:val="center"/>
            </w:pPr>
            <w:r>
              <w:rPr>
                <w:color w:val="000000"/>
                <w:sz w:val="24"/>
              </w:rPr>
              <w:t>15</w:t>
            </w:r>
            <w:r>
              <w:rPr>
                <w:color w:val="000000"/>
                <w:sz w:val="24"/>
              </w:rPr>
              <w:t>江苏</w:t>
            </w:r>
            <w:r>
              <w:rPr>
                <w:color w:val="000000"/>
                <w:sz w:val="24"/>
              </w:rPr>
              <w:t>09</w:t>
            </w:r>
          </w:p>
        </w:tc>
        <w:tc>
          <w:tcPr>
            <w:tcW w:w="1394" w:type="dxa"/>
            <w:vAlign w:val="center"/>
          </w:tcPr>
          <w:p w:rsidR="00D05508" w:rsidRDefault="005819AB">
            <w:pPr>
              <w:jc w:val="right"/>
            </w:pPr>
            <w:r>
              <w:rPr>
                <w:color w:val="000000"/>
                <w:sz w:val="24"/>
              </w:rPr>
              <w:t>1,000,000</w:t>
            </w:r>
          </w:p>
        </w:tc>
        <w:tc>
          <w:tcPr>
            <w:tcW w:w="1944" w:type="dxa"/>
            <w:vAlign w:val="center"/>
          </w:tcPr>
          <w:p w:rsidR="00D05508" w:rsidRDefault="005819AB">
            <w:pPr>
              <w:jc w:val="right"/>
            </w:pPr>
            <w:r>
              <w:rPr>
                <w:color w:val="000000"/>
                <w:sz w:val="24"/>
              </w:rPr>
              <w:t>100,690,000.00</w:t>
            </w:r>
          </w:p>
        </w:tc>
        <w:tc>
          <w:tcPr>
            <w:tcW w:w="1389" w:type="dxa"/>
            <w:vAlign w:val="center"/>
          </w:tcPr>
          <w:p w:rsidR="00D05508" w:rsidRDefault="005819AB">
            <w:pPr>
              <w:jc w:val="right"/>
            </w:pPr>
            <w:r>
              <w:rPr>
                <w:color w:val="000000"/>
                <w:sz w:val="24"/>
              </w:rPr>
              <w:t>6.06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5"/>
        <w:gridCol w:w="2774"/>
        <w:gridCol w:w="4849"/>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900,439.07</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83,011,111.11</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27,839,470.81</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46,317.90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111,797,338.89</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交银双利债券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交银双利债券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1,179,731,579.41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121,799,216.58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19,096,897.15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398,147,807.98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117,840,586.19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252,653,068.72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1,080,987,890.37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267,293,955.84</w:t>
            </w:r>
          </w:p>
        </w:tc>
      </w:tr>
    </w:tbl>
    <w:p w:rsidR="00D05508" w:rsidRDefault="005819A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7F50FB">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AE55CC" w:rsidRPr="00AE55CC" w:rsidRDefault="00AE55CC" w:rsidP="00AE55CC">
      <w:pPr>
        <w:autoSpaceDE w:val="0"/>
        <w:autoSpaceDN w:val="0"/>
        <w:adjustRightInd w:val="0"/>
        <w:spacing w:before="29" w:line="360" w:lineRule="auto"/>
        <w:ind w:left="15"/>
        <w:jc w:val="right"/>
        <w:rPr>
          <w:color w:val="000000"/>
          <w:kern w:val="0"/>
          <w:sz w:val="24"/>
        </w:rPr>
      </w:pPr>
      <w:r w:rsidRPr="00AE55CC">
        <w:rPr>
          <w:color w:val="000000"/>
          <w:kern w:val="0"/>
          <w:sz w:val="24"/>
        </w:rPr>
        <w:t>单位：份</w:t>
      </w:r>
    </w:p>
    <w:tbl>
      <w:tblPr>
        <w:tblW w:w="8998" w:type="dxa"/>
        <w:tblInd w:w="108" w:type="dxa"/>
        <w:tblLayout w:type="fixed"/>
        <w:tblLook w:val="0000" w:firstRow="0" w:lastRow="0" w:firstColumn="0" w:lastColumn="0" w:noHBand="0" w:noVBand="0"/>
      </w:tblPr>
      <w:tblGrid>
        <w:gridCol w:w="3204"/>
        <w:gridCol w:w="2897"/>
        <w:gridCol w:w="2897"/>
      </w:tblGrid>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center"/>
              <w:rPr>
                <w:color w:val="000000"/>
                <w:kern w:val="0"/>
                <w:sz w:val="24"/>
              </w:rPr>
            </w:pPr>
            <w:r w:rsidRPr="00AE55CC">
              <w:rPr>
                <w:color w:val="000000"/>
                <w:kern w:val="0"/>
                <w:sz w:val="24"/>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交银双利债券</w:t>
            </w:r>
            <w:r w:rsidRPr="00AE55CC">
              <w:rPr>
                <w:sz w:val="24"/>
              </w:rPr>
              <w:t>A/B</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交银双利债券</w:t>
            </w:r>
            <w:r w:rsidRPr="00AE55CC">
              <w:rPr>
                <w:sz w:val="24"/>
              </w:rPr>
              <w:t>C</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pStyle w:val="ac"/>
              <w:adjustRightInd w:val="0"/>
              <w:snapToGrid w:val="0"/>
              <w:spacing w:line="360" w:lineRule="exact"/>
              <w:rPr>
                <w:color w:val="000000"/>
                <w:szCs w:val="24"/>
              </w:rPr>
            </w:pPr>
            <w:r w:rsidRPr="00AE55CC">
              <w:rPr>
                <w:color w:val="000000"/>
                <w:szCs w:val="24"/>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25,876,679.80</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买入</w:t>
            </w:r>
            <w:r w:rsidRPr="00AE55CC">
              <w:rPr>
                <w:color w:val="000000"/>
                <w:sz w:val="24"/>
              </w:rPr>
              <w:t>/</w:t>
            </w:r>
            <w:r w:rsidRPr="00AE55CC">
              <w:rPr>
                <w:color w:val="000000"/>
                <w:sz w:val="24"/>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16,866.79</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卖出</w:t>
            </w:r>
            <w:r w:rsidRPr="00AE55CC">
              <w:rPr>
                <w:color w:val="000000"/>
                <w:sz w:val="24"/>
              </w:rPr>
              <w:t>/</w:t>
            </w:r>
            <w:r w:rsidRPr="00AE55CC">
              <w:rPr>
                <w:color w:val="000000"/>
                <w:sz w:val="24"/>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25,893,546.59</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报告期期末持有的本基金份额占基金总份额比例（</w:t>
            </w:r>
            <w:r w:rsidRPr="00AE55CC">
              <w:rPr>
                <w:color w:val="000000"/>
                <w:sz w:val="24"/>
              </w:rPr>
              <w:t>%</w:t>
            </w: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1.92</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bl>
    <w:p w:rsidR="00D05508" w:rsidRDefault="005819A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 xml:space="preserve">    2</w:t>
      </w:r>
      <w:r w:rsidRPr="00AE55CC">
        <w:rPr>
          <w:color w:val="000000"/>
          <w:sz w:val="24"/>
        </w:rPr>
        <w:t>、如果本报告期间发生转换出业务，则总赎回份额中包含该业务。</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776"/>
        <w:gridCol w:w="1508"/>
        <w:gridCol w:w="1442"/>
        <w:gridCol w:w="1767"/>
        <w:gridCol w:w="1343"/>
      </w:tblGrid>
      <w:tr w:rsidR="00285618" w:rsidRPr="007F52FA" w:rsidTr="005819AB">
        <w:trPr>
          <w:trHeight w:val="340"/>
          <w:jc w:val="center"/>
        </w:trPr>
        <w:tc>
          <w:tcPr>
            <w:tcW w:w="1032"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序号</w:t>
            </w:r>
          </w:p>
        </w:tc>
        <w:tc>
          <w:tcPr>
            <w:tcW w:w="1776"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交易方式</w:t>
            </w:r>
          </w:p>
        </w:tc>
        <w:tc>
          <w:tcPr>
            <w:tcW w:w="1508" w:type="dxa"/>
            <w:vAlign w:val="center"/>
          </w:tcPr>
          <w:p w:rsidR="00285618" w:rsidRPr="007F52FA" w:rsidRDefault="00285618" w:rsidP="005819AB">
            <w:pPr>
              <w:adjustRightInd w:val="0"/>
              <w:snapToGrid w:val="0"/>
              <w:spacing w:before="29" w:line="288" w:lineRule="auto"/>
              <w:jc w:val="center"/>
              <w:rPr>
                <w:color w:val="000000"/>
                <w:kern w:val="0"/>
                <w:sz w:val="24"/>
              </w:rPr>
            </w:pPr>
            <w:r w:rsidRPr="007F52FA">
              <w:rPr>
                <w:color w:val="000000"/>
                <w:kern w:val="0"/>
                <w:sz w:val="24"/>
              </w:rPr>
              <w:t>交易日期</w:t>
            </w:r>
          </w:p>
        </w:tc>
        <w:tc>
          <w:tcPr>
            <w:tcW w:w="1442"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交易份额（份</w:t>
            </w:r>
            <w:r w:rsidR="006B2CE8" w:rsidRPr="007F52FA">
              <w:rPr>
                <w:color w:val="000000"/>
                <w:kern w:val="0"/>
                <w:sz w:val="24"/>
              </w:rPr>
              <w:t>）</w:t>
            </w:r>
          </w:p>
        </w:tc>
        <w:tc>
          <w:tcPr>
            <w:tcW w:w="1767"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交易金额（元）</w:t>
            </w:r>
          </w:p>
        </w:tc>
        <w:tc>
          <w:tcPr>
            <w:tcW w:w="1343"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适用费率</w:t>
            </w:r>
          </w:p>
        </w:tc>
      </w:tr>
      <w:tr w:rsidR="00D05508" w:rsidTr="005819AB">
        <w:trPr>
          <w:jc w:val="center"/>
        </w:trPr>
        <w:tc>
          <w:tcPr>
            <w:tcW w:w="1032" w:type="dxa"/>
            <w:vAlign w:val="center"/>
          </w:tcPr>
          <w:p w:rsidR="00D05508" w:rsidRDefault="005819AB">
            <w:pPr>
              <w:jc w:val="center"/>
            </w:pPr>
            <w:r>
              <w:rPr>
                <w:rFonts w:eastAsiaTheme="minorEastAsia"/>
                <w:color w:val="000000"/>
                <w:sz w:val="24"/>
              </w:rPr>
              <w:t>1</w:t>
            </w:r>
          </w:p>
        </w:tc>
        <w:tc>
          <w:tcPr>
            <w:tcW w:w="1776" w:type="dxa"/>
            <w:vAlign w:val="center"/>
          </w:tcPr>
          <w:p w:rsidR="00D05508" w:rsidRDefault="005F1586" w:rsidP="005F1586">
            <w:pPr>
              <w:adjustRightInd w:val="0"/>
              <w:snapToGrid w:val="0"/>
              <w:spacing w:before="29" w:line="288" w:lineRule="auto"/>
              <w:jc w:val="center"/>
            </w:pPr>
            <w:bookmarkStart w:id="0" w:name="_GoBack"/>
            <w:r w:rsidRPr="005F1586">
              <w:rPr>
                <w:rFonts w:hint="eastAsia"/>
                <w:color w:val="000000"/>
                <w:kern w:val="0"/>
                <w:sz w:val="24"/>
              </w:rPr>
              <w:t>份额调整</w:t>
            </w:r>
            <w:bookmarkEnd w:id="0"/>
          </w:p>
        </w:tc>
        <w:tc>
          <w:tcPr>
            <w:tcW w:w="1508" w:type="dxa"/>
            <w:vAlign w:val="center"/>
          </w:tcPr>
          <w:p w:rsidR="00D05508" w:rsidRDefault="005819AB">
            <w:pPr>
              <w:jc w:val="center"/>
            </w:pPr>
            <w:r>
              <w:rPr>
                <w:rFonts w:eastAsiaTheme="minorEastAsia"/>
                <w:color w:val="000000"/>
                <w:sz w:val="24"/>
              </w:rPr>
              <w:t>2015-12-10</w:t>
            </w:r>
          </w:p>
        </w:tc>
        <w:tc>
          <w:tcPr>
            <w:tcW w:w="1442" w:type="dxa"/>
            <w:vAlign w:val="center"/>
          </w:tcPr>
          <w:p w:rsidR="00D05508" w:rsidRDefault="005819AB">
            <w:pPr>
              <w:jc w:val="right"/>
            </w:pPr>
            <w:r>
              <w:rPr>
                <w:rFonts w:eastAsiaTheme="minorEastAsia"/>
                <w:color w:val="000000"/>
                <w:sz w:val="24"/>
              </w:rPr>
              <w:t>16,866.79</w:t>
            </w:r>
          </w:p>
        </w:tc>
        <w:tc>
          <w:tcPr>
            <w:tcW w:w="1767" w:type="dxa"/>
            <w:vAlign w:val="center"/>
          </w:tcPr>
          <w:p w:rsidR="00D05508" w:rsidRDefault="005819AB">
            <w:pPr>
              <w:jc w:val="right"/>
            </w:pPr>
            <w:r>
              <w:rPr>
                <w:rFonts w:eastAsiaTheme="minorEastAsia"/>
                <w:color w:val="000000"/>
                <w:sz w:val="24"/>
              </w:rPr>
              <w:t>-</w:t>
            </w:r>
          </w:p>
        </w:tc>
        <w:tc>
          <w:tcPr>
            <w:tcW w:w="1343" w:type="dxa"/>
            <w:vAlign w:val="center"/>
          </w:tcPr>
          <w:p w:rsidR="00D05508" w:rsidRDefault="005819AB">
            <w:pPr>
              <w:jc w:val="center"/>
            </w:pPr>
            <w:r>
              <w:rPr>
                <w:rFonts w:eastAsiaTheme="minorEastAsia"/>
                <w:color w:val="000000"/>
                <w:sz w:val="24"/>
              </w:rPr>
              <w:t>-</w:t>
            </w:r>
          </w:p>
        </w:tc>
      </w:tr>
      <w:tr w:rsidR="00285618" w:rsidRPr="007F52FA" w:rsidTr="005819AB">
        <w:trPr>
          <w:trHeight w:val="340"/>
          <w:jc w:val="center"/>
        </w:trPr>
        <w:tc>
          <w:tcPr>
            <w:tcW w:w="1032"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合计</w:t>
            </w:r>
          </w:p>
        </w:tc>
        <w:tc>
          <w:tcPr>
            <w:tcW w:w="1776"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508"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442"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16,866.79</w:t>
            </w:r>
          </w:p>
        </w:tc>
        <w:tc>
          <w:tcPr>
            <w:tcW w:w="1767"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w:t>
            </w:r>
          </w:p>
        </w:tc>
        <w:tc>
          <w:tcPr>
            <w:tcW w:w="1343" w:type="dxa"/>
            <w:vAlign w:val="center"/>
          </w:tcPr>
          <w:p w:rsidR="00285618" w:rsidRPr="007F52FA" w:rsidRDefault="00285618" w:rsidP="007C14DF">
            <w:pPr>
              <w:adjustRightInd w:val="0"/>
              <w:snapToGrid w:val="0"/>
              <w:spacing w:before="29" w:line="288" w:lineRule="auto"/>
              <w:jc w:val="right"/>
              <w:rPr>
                <w:color w:val="0000FF"/>
                <w:kern w:val="0"/>
                <w:sz w:val="24"/>
              </w:rPr>
            </w:pPr>
          </w:p>
        </w:tc>
      </w:tr>
    </w:tbl>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D05508" w:rsidRDefault="005819AB">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、中国证监会批准交银施罗德双利债券证券投资基金募集的文件；</w:t>
      </w:r>
      <w:r>
        <w:rPr>
          <w:rFonts w:eastAsiaTheme="minorEastAsia"/>
          <w:color w:val="000000"/>
          <w:sz w:val="24"/>
        </w:rPr>
        <w:t xml:space="preserve"> </w:t>
      </w:r>
    </w:p>
    <w:p w:rsidR="00D05508" w:rsidRDefault="005819AB">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、《交银施罗德双利债券证券投资基金基金合同》；</w:t>
      </w:r>
      <w:r>
        <w:rPr>
          <w:rFonts w:eastAsiaTheme="minorEastAsia"/>
          <w:color w:val="000000"/>
          <w:sz w:val="24"/>
        </w:rPr>
        <w:t xml:space="preserve"> </w:t>
      </w:r>
    </w:p>
    <w:p w:rsidR="00D05508" w:rsidRDefault="005819AB">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、《交银施罗德双利债券证券投资基金招募说明书》；</w:t>
      </w:r>
      <w:r>
        <w:rPr>
          <w:rFonts w:eastAsiaTheme="minorEastAsia"/>
          <w:color w:val="000000"/>
          <w:sz w:val="24"/>
        </w:rPr>
        <w:t xml:space="preserve"> </w:t>
      </w:r>
    </w:p>
    <w:p w:rsidR="00D05508" w:rsidRDefault="005819AB">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、《交银施罗德双利债券证券投资基金托管协议》；</w:t>
      </w:r>
      <w:r>
        <w:rPr>
          <w:rFonts w:eastAsiaTheme="minorEastAsia"/>
          <w:color w:val="000000"/>
          <w:sz w:val="24"/>
        </w:rPr>
        <w:t xml:space="preserve"> </w:t>
      </w:r>
    </w:p>
    <w:p w:rsidR="00D05508" w:rsidRDefault="005819AB">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、关于募集交银施罗德双利债券证券投资基金之法律意见书；</w:t>
      </w:r>
      <w:r>
        <w:rPr>
          <w:rFonts w:eastAsiaTheme="minorEastAsia"/>
          <w:color w:val="000000"/>
          <w:sz w:val="24"/>
        </w:rPr>
        <w:t xml:space="preserve"> </w:t>
      </w:r>
    </w:p>
    <w:p w:rsidR="00D05508" w:rsidRDefault="005819AB">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D05508" w:rsidRDefault="005819AB">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、报告期内交银施罗德双利债券证券投资基金在指定报刊上各项公告的原稿。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D05508" w:rsidRDefault="005819AB">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C4A" w:rsidRDefault="00F34C4A">
      <w:r>
        <w:separator/>
      </w:r>
    </w:p>
  </w:endnote>
  <w:endnote w:type="continuationSeparator" w:id="0">
    <w:p w:rsidR="00F34C4A" w:rsidRDefault="00F34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5F1586">
      <w:rPr>
        <w:noProof/>
        <w:kern w:val="0"/>
        <w:szCs w:val="21"/>
      </w:rPr>
      <w:t>14</w:t>
    </w:r>
    <w:r>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5F1586">
      <w:rPr>
        <w:noProof/>
        <w:kern w:val="0"/>
        <w:szCs w:val="21"/>
      </w:rPr>
      <w:t>15</w:t>
    </w:r>
    <w:r>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F50F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C4A" w:rsidRDefault="00F34C4A">
      <w:r>
        <w:separator/>
      </w:r>
    </w:p>
  </w:footnote>
  <w:footnote w:type="continuationSeparator" w:id="0">
    <w:p w:rsidR="00F34C4A" w:rsidRDefault="00F34C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5F1586"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3C0B"/>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1378"/>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19AB"/>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1586"/>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4B38"/>
    <w:rsid w:val="00C050BB"/>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3420"/>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16D8"/>
    <w:rsid w:val="00D0316E"/>
    <w:rsid w:val="00D03538"/>
    <w:rsid w:val="00D04410"/>
    <w:rsid w:val="00D05508"/>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0956"/>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4C4A"/>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D5066241-919A-4708-B4D2-A6D8F5D5B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4A1D3-0BAB-4A17-A1BA-BF5B10A33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200</TotalTime>
  <Pages>15</Pages>
  <Words>1378</Words>
  <Characters>7860</Characters>
  <Application>Microsoft Office Word</Application>
  <DocSecurity>0</DocSecurity>
  <Lines>65</Lines>
  <Paragraphs>18</Paragraphs>
  <ScaleCrop>false</ScaleCrop>
  <Company>TRT. Ltd. Co.</Company>
  <LinksUpToDate>false</LinksUpToDate>
  <CharactersWithSpaces>9220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371</cp:revision>
  <cp:lastPrinted>2007-07-19T00:46:00Z</cp:lastPrinted>
  <dcterms:created xsi:type="dcterms:W3CDTF">2014-01-17T06:19:00Z</dcterms:created>
  <dcterms:modified xsi:type="dcterms:W3CDTF">2016-01-18T09:08:00Z</dcterms:modified>
</cp:coreProperties>
</file>