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722FE" w:rsidRDefault="00906E2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722FE" w:rsidRDefault="00906E2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722FE" w:rsidRDefault="00906E2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722FE" w:rsidRDefault="00906E2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722FE" w:rsidRDefault="00906E2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453,576,306.10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00906E2C">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06E2C" w:rsidRPr="00414345" w:rsidTr="00906E2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06E2C" w:rsidRPr="00414345" w:rsidTr="00906E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233,798,630.65</w:t>
            </w:r>
          </w:p>
        </w:tc>
      </w:tr>
      <w:tr w:rsidR="00906E2C" w:rsidRPr="00414345" w:rsidTr="00906E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305,726,890.04</w:t>
            </w:r>
          </w:p>
        </w:tc>
      </w:tr>
      <w:tr w:rsidR="00906E2C" w:rsidRPr="00414345" w:rsidTr="00906E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0.7348</w:t>
            </w:r>
          </w:p>
        </w:tc>
      </w:tr>
      <w:tr w:rsidR="00906E2C" w:rsidRPr="00414345" w:rsidTr="00906E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1,197,137,426.51</w:t>
            </w:r>
          </w:p>
        </w:tc>
      </w:tr>
      <w:tr w:rsidR="00906E2C" w:rsidRPr="00414345" w:rsidTr="00906E2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2.639</w:t>
            </w:r>
          </w:p>
        </w:tc>
      </w:tr>
    </w:tbl>
    <w:p w:rsidR="00D722FE" w:rsidRDefault="00906E2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722FE">
        <w:trPr>
          <w:jc w:val="center"/>
        </w:trPr>
        <w:tc>
          <w:tcPr>
            <w:tcW w:w="1701" w:type="dxa"/>
            <w:vAlign w:val="center"/>
          </w:tcPr>
          <w:p w:rsidR="00D722FE" w:rsidRDefault="00906E2C">
            <w:pPr>
              <w:jc w:val="left"/>
            </w:pPr>
            <w:r>
              <w:rPr>
                <w:color w:val="000000"/>
                <w:sz w:val="24"/>
                <w:szCs w:val="24"/>
              </w:rPr>
              <w:t>过去三个月</w:t>
            </w:r>
          </w:p>
        </w:tc>
        <w:tc>
          <w:tcPr>
            <w:tcW w:w="1045" w:type="dxa"/>
            <w:vAlign w:val="center"/>
          </w:tcPr>
          <w:p w:rsidR="00D722FE" w:rsidRDefault="00906E2C">
            <w:pPr>
              <w:jc w:val="center"/>
            </w:pPr>
            <w:r>
              <w:rPr>
                <w:color w:val="000000"/>
                <w:sz w:val="24"/>
                <w:szCs w:val="24"/>
              </w:rPr>
              <w:t>40.60%</w:t>
            </w:r>
          </w:p>
        </w:tc>
        <w:tc>
          <w:tcPr>
            <w:tcW w:w="1344" w:type="dxa"/>
            <w:vAlign w:val="center"/>
          </w:tcPr>
          <w:p w:rsidR="00D722FE" w:rsidRDefault="00906E2C">
            <w:pPr>
              <w:jc w:val="center"/>
            </w:pPr>
            <w:r>
              <w:rPr>
                <w:color w:val="000000"/>
                <w:sz w:val="24"/>
                <w:szCs w:val="24"/>
              </w:rPr>
              <w:t>1.86%</w:t>
            </w:r>
          </w:p>
        </w:tc>
        <w:tc>
          <w:tcPr>
            <w:tcW w:w="1194" w:type="dxa"/>
            <w:vAlign w:val="center"/>
          </w:tcPr>
          <w:p w:rsidR="00D722FE" w:rsidRDefault="00906E2C">
            <w:pPr>
              <w:jc w:val="center"/>
            </w:pPr>
            <w:r>
              <w:rPr>
                <w:color w:val="000000"/>
                <w:sz w:val="24"/>
                <w:szCs w:val="24"/>
              </w:rPr>
              <w:t>23.00%</w:t>
            </w:r>
          </w:p>
        </w:tc>
        <w:tc>
          <w:tcPr>
            <w:tcW w:w="1492" w:type="dxa"/>
            <w:vAlign w:val="center"/>
          </w:tcPr>
          <w:p w:rsidR="00D722FE" w:rsidRDefault="00906E2C">
            <w:pPr>
              <w:jc w:val="center"/>
            </w:pPr>
            <w:r>
              <w:rPr>
                <w:color w:val="000000"/>
                <w:sz w:val="24"/>
                <w:szCs w:val="24"/>
              </w:rPr>
              <w:t>1.61%</w:t>
            </w:r>
          </w:p>
        </w:tc>
        <w:tc>
          <w:tcPr>
            <w:tcW w:w="1194" w:type="dxa"/>
            <w:vAlign w:val="center"/>
          </w:tcPr>
          <w:p w:rsidR="00D722FE" w:rsidRDefault="00906E2C">
            <w:pPr>
              <w:jc w:val="center"/>
            </w:pPr>
            <w:r>
              <w:rPr>
                <w:color w:val="000000"/>
                <w:sz w:val="24"/>
                <w:szCs w:val="24"/>
              </w:rPr>
              <w:t>17.60%</w:t>
            </w:r>
          </w:p>
        </w:tc>
        <w:tc>
          <w:tcPr>
            <w:tcW w:w="898" w:type="dxa"/>
            <w:vAlign w:val="center"/>
          </w:tcPr>
          <w:p w:rsidR="00D722FE" w:rsidRDefault="00906E2C">
            <w:pPr>
              <w:jc w:val="center"/>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00906E2C">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722FE">
        <w:trPr>
          <w:jc w:val="center"/>
        </w:trPr>
        <w:tc>
          <w:tcPr>
            <w:tcW w:w="846" w:type="dxa"/>
            <w:vAlign w:val="center"/>
          </w:tcPr>
          <w:p w:rsidR="00D722FE" w:rsidRDefault="00906E2C">
            <w:pPr>
              <w:jc w:val="center"/>
            </w:pPr>
            <w:r>
              <w:rPr>
                <w:color w:val="000000"/>
                <w:sz w:val="24"/>
                <w:szCs w:val="24"/>
              </w:rPr>
              <w:t>任相栋</w:t>
            </w:r>
          </w:p>
        </w:tc>
        <w:tc>
          <w:tcPr>
            <w:tcW w:w="845" w:type="dxa"/>
            <w:vAlign w:val="center"/>
          </w:tcPr>
          <w:p w:rsidR="00D722FE" w:rsidRDefault="00906E2C">
            <w:pPr>
              <w:jc w:val="center"/>
            </w:pPr>
            <w:r>
              <w:rPr>
                <w:color w:val="000000"/>
                <w:sz w:val="24"/>
                <w:szCs w:val="24"/>
              </w:rPr>
              <w:t>交银先进制造混合的基金经理</w:t>
            </w:r>
          </w:p>
        </w:tc>
        <w:tc>
          <w:tcPr>
            <w:tcW w:w="1549" w:type="dxa"/>
            <w:vAlign w:val="center"/>
          </w:tcPr>
          <w:p w:rsidR="00D722FE" w:rsidRDefault="00906E2C">
            <w:pPr>
              <w:jc w:val="center"/>
            </w:pPr>
            <w:r>
              <w:rPr>
                <w:color w:val="000000"/>
                <w:sz w:val="24"/>
                <w:szCs w:val="24"/>
              </w:rPr>
              <w:t>2015-01-21</w:t>
            </w:r>
          </w:p>
        </w:tc>
        <w:tc>
          <w:tcPr>
            <w:tcW w:w="1548" w:type="dxa"/>
            <w:vAlign w:val="center"/>
          </w:tcPr>
          <w:p w:rsidR="00D722FE" w:rsidRDefault="00906E2C">
            <w:pPr>
              <w:jc w:val="center"/>
            </w:pPr>
            <w:r>
              <w:rPr>
                <w:color w:val="000000"/>
                <w:sz w:val="24"/>
                <w:szCs w:val="24"/>
              </w:rPr>
              <w:t>-</w:t>
            </w:r>
          </w:p>
        </w:tc>
        <w:tc>
          <w:tcPr>
            <w:tcW w:w="1407" w:type="dxa"/>
            <w:vAlign w:val="center"/>
          </w:tcPr>
          <w:p w:rsidR="00D722FE" w:rsidRDefault="00906E2C">
            <w:pPr>
              <w:jc w:val="center"/>
            </w:pPr>
            <w:r>
              <w:rPr>
                <w:color w:val="000000"/>
                <w:sz w:val="24"/>
                <w:szCs w:val="24"/>
              </w:rPr>
              <w:t>5</w:t>
            </w:r>
            <w:r>
              <w:rPr>
                <w:color w:val="000000"/>
                <w:sz w:val="24"/>
                <w:szCs w:val="24"/>
              </w:rPr>
              <w:t>年</w:t>
            </w:r>
          </w:p>
        </w:tc>
        <w:tc>
          <w:tcPr>
            <w:tcW w:w="2673" w:type="dxa"/>
            <w:vAlign w:val="center"/>
          </w:tcPr>
          <w:p w:rsidR="00D722FE" w:rsidRDefault="00906E2C">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722FE" w:rsidRDefault="00906E2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722FE" w:rsidRDefault="00906E2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722FE" w:rsidRDefault="00906E2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722FE" w:rsidRDefault="00906E2C">
      <w:pPr>
        <w:spacing w:before="29" w:line="288" w:lineRule="auto"/>
        <w:ind w:firstLineChars="200" w:firstLine="480"/>
        <w:rPr>
          <w:color w:val="000000"/>
          <w:sz w:val="24"/>
          <w:szCs w:val="24"/>
        </w:rPr>
      </w:pPr>
      <w:r>
        <w:rPr>
          <w:color w:val="000000"/>
          <w:sz w:val="24"/>
          <w:szCs w:val="24"/>
        </w:rPr>
        <w:t>2015</w:t>
      </w:r>
      <w:r>
        <w:rPr>
          <w:color w:val="000000"/>
          <w:sz w:val="24"/>
          <w:szCs w:val="24"/>
        </w:rPr>
        <w:t>年四季度，国内经济先行指标出现了一些企稳迹象，美联储加息终于靴子落地，给全球风险资产带来了一段喘息之机。四季度国内证券市场精彩纷呈，国家的股市维稳意愿与大类资产配置的资产荒，共同推动了股指四季度明显的反弹行情，整体来看以创业板为代表的成长股涨幅明显高于传统行业蓝筹股。</w:t>
      </w:r>
    </w:p>
    <w:p w:rsidR="00D722FE" w:rsidRDefault="00906E2C">
      <w:pPr>
        <w:spacing w:before="29" w:line="288" w:lineRule="auto"/>
        <w:ind w:firstLineChars="200" w:firstLine="480"/>
        <w:rPr>
          <w:color w:val="000000"/>
          <w:sz w:val="24"/>
          <w:szCs w:val="24"/>
        </w:rPr>
      </w:pPr>
      <w:r>
        <w:rPr>
          <w:color w:val="000000"/>
          <w:sz w:val="24"/>
          <w:szCs w:val="24"/>
        </w:rPr>
        <w:t>本基金四季度业绩跑赢业绩比较基准，在</w:t>
      </w:r>
      <w:r>
        <w:rPr>
          <w:color w:val="000000"/>
          <w:sz w:val="24"/>
          <w:szCs w:val="24"/>
        </w:rPr>
        <w:t>9</w:t>
      </w:r>
      <w:r>
        <w:rPr>
          <w:color w:val="000000"/>
          <w:sz w:val="24"/>
          <w:szCs w:val="24"/>
        </w:rPr>
        <w:t>月底的市场底部，明显加仓了部分超跌的成长股，</w:t>
      </w:r>
      <w:r>
        <w:rPr>
          <w:color w:val="000000"/>
          <w:sz w:val="24"/>
          <w:szCs w:val="24"/>
        </w:rPr>
        <w:t>11</w:t>
      </w:r>
      <w:r>
        <w:rPr>
          <w:color w:val="000000"/>
          <w:sz w:val="24"/>
          <w:szCs w:val="24"/>
        </w:rPr>
        <w:t>月之后组合内股票的风格配置上做了些均衡，增加了部分高股息率个股的配置比例。</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w:t>
      </w:r>
      <w:r w:rsidRPr="00414345">
        <w:rPr>
          <w:color w:val="000000"/>
          <w:sz w:val="24"/>
          <w:szCs w:val="24"/>
        </w:rPr>
        <w:t>2016</w:t>
      </w:r>
      <w:r w:rsidRPr="00414345">
        <w:rPr>
          <w:color w:val="000000"/>
          <w:sz w:val="24"/>
          <w:szCs w:val="24"/>
        </w:rPr>
        <w:t>年是十三五的开局之年，一些大的改革措施有望落地，</w:t>
      </w:r>
      <w:r w:rsidRPr="00414345">
        <w:rPr>
          <w:color w:val="000000"/>
          <w:sz w:val="24"/>
          <w:szCs w:val="24"/>
        </w:rPr>
        <w:t>GDP</w:t>
      </w:r>
      <w:r w:rsidRPr="00414345">
        <w:rPr>
          <w:color w:val="000000"/>
          <w:sz w:val="24"/>
          <w:szCs w:val="24"/>
        </w:rPr>
        <w:t>增速有望从前几年的明显下滑过渡到稳步寻底，部分新经济业态有望逐步走出初创阶段，这些经济生活的变化都会影响证券市场，因此我们有理由相信</w:t>
      </w:r>
      <w:r w:rsidRPr="00414345">
        <w:rPr>
          <w:color w:val="000000"/>
          <w:sz w:val="24"/>
          <w:szCs w:val="24"/>
        </w:rPr>
        <w:t>2016</w:t>
      </w:r>
      <w:r w:rsidRPr="00414345">
        <w:rPr>
          <w:color w:val="000000"/>
          <w:sz w:val="24"/>
          <w:szCs w:val="24"/>
        </w:rPr>
        <w:t>年的股票市场必定不会平淡，投资人需要做好的是去伪存真的工作。但同时需要注意的是，随着注册制的推进，</w:t>
      </w:r>
      <w:r w:rsidRPr="00414345">
        <w:rPr>
          <w:color w:val="000000"/>
          <w:sz w:val="24"/>
          <w:szCs w:val="24"/>
        </w:rPr>
        <w:t>2016</w:t>
      </w:r>
      <w:r w:rsidRPr="00414345">
        <w:rPr>
          <w:color w:val="000000"/>
          <w:sz w:val="24"/>
          <w:szCs w:val="24"/>
        </w:rPr>
        <w:t>年的股票供给可能会明显加大，经过一轮降息之后，预计国内边际上的货币宽松将会放缓，美国在</w:t>
      </w:r>
      <w:r w:rsidRPr="00414345">
        <w:rPr>
          <w:color w:val="000000"/>
          <w:sz w:val="24"/>
          <w:szCs w:val="24"/>
        </w:rPr>
        <w:t>2016</w:t>
      </w:r>
      <w:r w:rsidRPr="00414345">
        <w:rPr>
          <w:color w:val="000000"/>
          <w:sz w:val="24"/>
          <w:szCs w:val="24"/>
        </w:rPr>
        <w:t>年的加息幅度也使得全球流动性状况充满变数，这些因素都可能导致股票市场波动的加剧。本基金将继续致力于在控制好风险的情况下，努力为持有人赢得更高的回报。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2.639</w:t>
      </w:r>
      <w:r w:rsidRPr="00414345">
        <w:rPr>
          <w:color w:val="000000"/>
          <w:sz w:val="24"/>
          <w:szCs w:val="24"/>
        </w:rPr>
        <w:t>元，本报告期份额净值增长率为</w:t>
      </w:r>
      <w:r w:rsidRPr="00414345">
        <w:rPr>
          <w:color w:val="000000"/>
          <w:sz w:val="24"/>
          <w:szCs w:val="24"/>
        </w:rPr>
        <w:t>40.60%</w:t>
      </w:r>
      <w:r w:rsidRPr="00414345">
        <w:rPr>
          <w:color w:val="000000"/>
          <w:sz w:val="24"/>
          <w:szCs w:val="24"/>
        </w:rPr>
        <w:t>，同期业绩比较基准增长率</w:t>
      </w:r>
      <w:r w:rsidRPr="00414345">
        <w:rPr>
          <w:color w:val="000000"/>
          <w:sz w:val="24"/>
          <w:szCs w:val="24"/>
        </w:rPr>
        <w:t>23.00%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8B7951" w:rsidRDefault="008B7951" w:rsidP="00421CD2">
      <w:pPr>
        <w:spacing w:before="29" w:line="288" w:lineRule="auto"/>
        <w:ind w:firstLineChars="200" w:firstLine="480"/>
        <w:rPr>
          <w:rFonts w:hint="eastAsia"/>
          <w:color w:val="000000"/>
          <w:sz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1,121,514,960.85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1,121,514,960.85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164,986,731.20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12.73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9,734,550.76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0.75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1,296,236,242.81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12,908,025.00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939,171,240.73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40,049,224.80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16,287,851.52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78,464,933.04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13,306,085.76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21,327,600.00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1,121,514,960.85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93.68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722FE">
        <w:trPr>
          <w:jc w:val="center"/>
        </w:trPr>
        <w:tc>
          <w:tcPr>
            <w:tcW w:w="855" w:type="dxa"/>
            <w:vAlign w:val="center"/>
          </w:tcPr>
          <w:p w:rsidR="00D722FE" w:rsidRDefault="00906E2C">
            <w:pPr>
              <w:jc w:val="center"/>
            </w:pPr>
            <w:r>
              <w:rPr>
                <w:color w:val="000000"/>
                <w:sz w:val="24"/>
                <w:szCs w:val="24"/>
              </w:rPr>
              <w:t>1</w:t>
            </w:r>
          </w:p>
        </w:tc>
        <w:tc>
          <w:tcPr>
            <w:tcW w:w="1334" w:type="dxa"/>
            <w:vAlign w:val="center"/>
          </w:tcPr>
          <w:p w:rsidR="00D722FE" w:rsidRDefault="00906E2C">
            <w:pPr>
              <w:jc w:val="center"/>
            </w:pPr>
            <w:r>
              <w:rPr>
                <w:color w:val="000000"/>
                <w:sz w:val="24"/>
                <w:szCs w:val="24"/>
              </w:rPr>
              <w:t>002456</w:t>
            </w:r>
          </w:p>
        </w:tc>
        <w:tc>
          <w:tcPr>
            <w:tcW w:w="1777" w:type="dxa"/>
            <w:vAlign w:val="center"/>
          </w:tcPr>
          <w:p w:rsidR="00D722FE" w:rsidRDefault="00906E2C">
            <w:pPr>
              <w:jc w:val="center"/>
            </w:pPr>
            <w:r>
              <w:rPr>
                <w:color w:val="000000"/>
                <w:sz w:val="24"/>
                <w:szCs w:val="24"/>
              </w:rPr>
              <w:t>欧菲光</w:t>
            </w:r>
          </w:p>
        </w:tc>
        <w:tc>
          <w:tcPr>
            <w:tcW w:w="1334" w:type="dxa"/>
            <w:vAlign w:val="center"/>
          </w:tcPr>
          <w:p w:rsidR="00D722FE" w:rsidRDefault="00906E2C">
            <w:pPr>
              <w:jc w:val="right"/>
            </w:pPr>
            <w:r>
              <w:rPr>
                <w:color w:val="000000"/>
                <w:sz w:val="24"/>
                <w:szCs w:val="24"/>
              </w:rPr>
              <w:t>3,073,526</w:t>
            </w:r>
          </w:p>
        </w:tc>
        <w:tc>
          <w:tcPr>
            <w:tcW w:w="1924" w:type="dxa"/>
            <w:vAlign w:val="center"/>
          </w:tcPr>
          <w:p w:rsidR="00D722FE" w:rsidRDefault="00906E2C">
            <w:pPr>
              <w:jc w:val="right"/>
            </w:pPr>
            <w:r>
              <w:rPr>
                <w:color w:val="000000"/>
                <w:sz w:val="24"/>
                <w:szCs w:val="24"/>
              </w:rPr>
              <w:t>95,340,776.52</w:t>
            </w:r>
          </w:p>
        </w:tc>
        <w:tc>
          <w:tcPr>
            <w:tcW w:w="1644" w:type="dxa"/>
            <w:vAlign w:val="center"/>
          </w:tcPr>
          <w:p w:rsidR="00D722FE" w:rsidRDefault="00906E2C">
            <w:pPr>
              <w:jc w:val="right"/>
            </w:pPr>
            <w:r>
              <w:rPr>
                <w:color w:val="000000"/>
                <w:sz w:val="24"/>
                <w:szCs w:val="24"/>
              </w:rPr>
              <w:t>7.96</w:t>
            </w:r>
          </w:p>
        </w:tc>
      </w:tr>
      <w:tr w:rsidR="00D722FE">
        <w:trPr>
          <w:jc w:val="center"/>
        </w:trPr>
        <w:tc>
          <w:tcPr>
            <w:tcW w:w="855" w:type="dxa"/>
            <w:vAlign w:val="center"/>
          </w:tcPr>
          <w:p w:rsidR="00D722FE" w:rsidRDefault="00906E2C">
            <w:pPr>
              <w:jc w:val="center"/>
            </w:pPr>
            <w:r>
              <w:rPr>
                <w:color w:val="000000"/>
                <w:sz w:val="24"/>
                <w:szCs w:val="24"/>
              </w:rPr>
              <w:t>2</w:t>
            </w:r>
          </w:p>
        </w:tc>
        <w:tc>
          <w:tcPr>
            <w:tcW w:w="1334" w:type="dxa"/>
            <w:vAlign w:val="center"/>
          </w:tcPr>
          <w:p w:rsidR="00D722FE" w:rsidRDefault="00906E2C">
            <w:pPr>
              <w:jc w:val="center"/>
            </w:pPr>
            <w:r>
              <w:rPr>
                <w:color w:val="000000"/>
                <w:sz w:val="24"/>
                <w:szCs w:val="24"/>
              </w:rPr>
              <w:t>000157</w:t>
            </w:r>
          </w:p>
        </w:tc>
        <w:tc>
          <w:tcPr>
            <w:tcW w:w="1777" w:type="dxa"/>
            <w:vAlign w:val="center"/>
          </w:tcPr>
          <w:p w:rsidR="00D722FE" w:rsidRDefault="00906E2C">
            <w:pPr>
              <w:jc w:val="center"/>
            </w:pPr>
            <w:r>
              <w:rPr>
                <w:color w:val="000000"/>
                <w:sz w:val="24"/>
                <w:szCs w:val="24"/>
              </w:rPr>
              <w:t>中联重科</w:t>
            </w:r>
          </w:p>
        </w:tc>
        <w:tc>
          <w:tcPr>
            <w:tcW w:w="1334" w:type="dxa"/>
            <w:vAlign w:val="center"/>
          </w:tcPr>
          <w:p w:rsidR="00D722FE" w:rsidRDefault="00906E2C">
            <w:pPr>
              <w:jc w:val="right"/>
            </w:pPr>
            <w:r>
              <w:rPr>
                <w:color w:val="000000"/>
                <w:sz w:val="24"/>
                <w:szCs w:val="24"/>
              </w:rPr>
              <w:t>11,017,278</w:t>
            </w:r>
          </w:p>
        </w:tc>
        <w:tc>
          <w:tcPr>
            <w:tcW w:w="1924" w:type="dxa"/>
            <w:vAlign w:val="center"/>
          </w:tcPr>
          <w:p w:rsidR="00D722FE" w:rsidRDefault="00906E2C">
            <w:pPr>
              <w:jc w:val="right"/>
            </w:pPr>
            <w:r>
              <w:rPr>
                <w:color w:val="000000"/>
                <w:sz w:val="24"/>
                <w:szCs w:val="24"/>
              </w:rPr>
              <w:t>58,942,437.30</w:t>
            </w:r>
          </w:p>
        </w:tc>
        <w:tc>
          <w:tcPr>
            <w:tcW w:w="1644" w:type="dxa"/>
            <w:vAlign w:val="center"/>
          </w:tcPr>
          <w:p w:rsidR="00D722FE" w:rsidRDefault="00906E2C">
            <w:pPr>
              <w:jc w:val="right"/>
            </w:pPr>
            <w:r>
              <w:rPr>
                <w:color w:val="000000"/>
                <w:sz w:val="24"/>
                <w:szCs w:val="24"/>
              </w:rPr>
              <w:t>4.92</w:t>
            </w:r>
          </w:p>
        </w:tc>
      </w:tr>
      <w:tr w:rsidR="00D722FE">
        <w:trPr>
          <w:jc w:val="center"/>
        </w:trPr>
        <w:tc>
          <w:tcPr>
            <w:tcW w:w="855" w:type="dxa"/>
            <w:vAlign w:val="center"/>
          </w:tcPr>
          <w:p w:rsidR="00D722FE" w:rsidRDefault="00906E2C">
            <w:pPr>
              <w:jc w:val="center"/>
            </w:pPr>
            <w:r>
              <w:rPr>
                <w:color w:val="000000"/>
                <w:sz w:val="24"/>
                <w:szCs w:val="24"/>
              </w:rPr>
              <w:t>3</w:t>
            </w:r>
          </w:p>
        </w:tc>
        <w:tc>
          <w:tcPr>
            <w:tcW w:w="1334" w:type="dxa"/>
            <w:vAlign w:val="center"/>
          </w:tcPr>
          <w:p w:rsidR="00D722FE" w:rsidRDefault="00906E2C">
            <w:pPr>
              <w:jc w:val="center"/>
            </w:pPr>
            <w:r>
              <w:rPr>
                <w:color w:val="000000"/>
                <w:sz w:val="24"/>
                <w:szCs w:val="24"/>
              </w:rPr>
              <w:t>600104</w:t>
            </w:r>
          </w:p>
        </w:tc>
        <w:tc>
          <w:tcPr>
            <w:tcW w:w="1777" w:type="dxa"/>
            <w:vAlign w:val="center"/>
          </w:tcPr>
          <w:p w:rsidR="00D722FE" w:rsidRDefault="00906E2C">
            <w:pPr>
              <w:jc w:val="center"/>
            </w:pPr>
            <w:r>
              <w:rPr>
                <w:color w:val="000000"/>
                <w:sz w:val="24"/>
                <w:szCs w:val="24"/>
              </w:rPr>
              <w:t>上汽集团</w:t>
            </w:r>
          </w:p>
        </w:tc>
        <w:tc>
          <w:tcPr>
            <w:tcW w:w="1334" w:type="dxa"/>
            <w:vAlign w:val="center"/>
          </w:tcPr>
          <w:p w:rsidR="00D722FE" w:rsidRDefault="00906E2C">
            <w:pPr>
              <w:jc w:val="right"/>
            </w:pPr>
            <w:r>
              <w:rPr>
                <w:color w:val="000000"/>
                <w:sz w:val="24"/>
                <w:szCs w:val="24"/>
              </w:rPr>
              <w:t>2,772,600</w:t>
            </w:r>
          </w:p>
        </w:tc>
        <w:tc>
          <w:tcPr>
            <w:tcW w:w="1924" w:type="dxa"/>
            <w:vAlign w:val="center"/>
          </w:tcPr>
          <w:p w:rsidR="00D722FE" w:rsidRDefault="00906E2C">
            <w:pPr>
              <w:jc w:val="right"/>
            </w:pPr>
            <w:r>
              <w:rPr>
                <w:color w:val="000000"/>
                <w:sz w:val="24"/>
                <w:szCs w:val="24"/>
              </w:rPr>
              <w:t>58,834,572.00</w:t>
            </w:r>
          </w:p>
        </w:tc>
        <w:tc>
          <w:tcPr>
            <w:tcW w:w="1644" w:type="dxa"/>
            <w:vAlign w:val="center"/>
          </w:tcPr>
          <w:p w:rsidR="00D722FE" w:rsidRDefault="00906E2C">
            <w:pPr>
              <w:jc w:val="right"/>
            </w:pPr>
            <w:r>
              <w:rPr>
                <w:color w:val="000000"/>
                <w:sz w:val="24"/>
                <w:szCs w:val="24"/>
              </w:rPr>
              <w:t>4.91</w:t>
            </w:r>
          </w:p>
        </w:tc>
      </w:tr>
      <w:tr w:rsidR="00D722FE">
        <w:trPr>
          <w:jc w:val="center"/>
        </w:trPr>
        <w:tc>
          <w:tcPr>
            <w:tcW w:w="855" w:type="dxa"/>
            <w:vAlign w:val="center"/>
          </w:tcPr>
          <w:p w:rsidR="00D722FE" w:rsidRDefault="00906E2C">
            <w:pPr>
              <w:jc w:val="center"/>
            </w:pPr>
            <w:r>
              <w:rPr>
                <w:color w:val="000000"/>
                <w:sz w:val="24"/>
                <w:szCs w:val="24"/>
              </w:rPr>
              <w:t>4</w:t>
            </w:r>
          </w:p>
        </w:tc>
        <w:tc>
          <w:tcPr>
            <w:tcW w:w="1334" w:type="dxa"/>
            <w:vAlign w:val="center"/>
          </w:tcPr>
          <w:p w:rsidR="00D722FE" w:rsidRDefault="00906E2C">
            <w:pPr>
              <w:jc w:val="center"/>
            </w:pPr>
            <w:r>
              <w:rPr>
                <w:color w:val="000000"/>
                <w:sz w:val="24"/>
                <w:szCs w:val="24"/>
              </w:rPr>
              <w:t>000768</w:t>
            </w:r>
          </w:p>
        </w:tc>
        <w:tc>
          <w:tcPr>
            <w:tcW w:w="1777" w:type="dxa"/>
            <w:vAlign w:val="center"/>
          </w:tcPr>
          <w:p w:rsidR="00D722FE" w:rsidRDefault="00906E2C">
            <w:pPr>
              <w:jc w:val="center"/>
            </w:pPr>
            <w:r>
              <w:rPr>
                <w:color w:val="000000"/>
                <w:sz w:val="24"/>
                <w:szCs w:val="24"/>
              </w:rPr>
              <w:t>中航飞机</w:t>
            </w:r>
          </w:p>
        </w:tc>
        <w:tc>
          <w:tcPr>
            <w:tcW w:w="1334" w:type="dxa"/>
            <w:vAlign w:val="center"/>
          </w:tcPr>
          <w:p w:rsidR="00D722FE" w:rsidRDefault="00906E2C">
            <w:pPr>
              <w:jc w:val="right"/>
            </w:pPr>
            <w:r>
              <w:rPr>
                <w:color w:val="000000"/>
                <w:sz w:val="24"/>
                <w:szCs w:val="24"/>
              </w:rPr>
              <w:t>2,311,900</w:t>
            </w:r>
          </w:p>
        </w:tc>
        <w:tc>
          <w:tcPr>
            <w:tcW w:w="1924" w:type="dxa"/>
            <w:vAlign w:val="center"/>
          </w:tcPr>
          <w:p w:rsidR="00D722FE" w:rsidRDefault="00906E2C">
            <w:pPr>
              <w:jc w:val="right"/>
            </w:pPr>
            <w:r>
              <w:rPr>
                <w:color w:val="000000"/>
                <w:sz w:val="24"/>
                <w:szCs w:val="24"/>
              </w:rPr>
              <w:t>57,265,763.00</w:t>
            </w:r>
          </w:p>
        </w:tc>
        <w:tc>
          <w:tcPr>
            <w:tcW w:w="1644" w:type="dxa"/>
            <w:vAlign w:val="center"/>
          </w:tcPr>
          <w:p w:rsidR="00D722FE" w:rsidRDefault="00906E2C">
            <w:pPr>
              <w:jc w:val="right"/>
            </w:pPr>
            <w:r>
              <w:rPr>
                <w:color w:val="000000"/>
                <w:sz w:val="24"/>
                <w:szCs w:val="24"/>
              </w:rPr>
              <w:t>4.78</w:t>
            </w:r>
          </w:p>
        </w:tc>
      </w:tr>
      <w:tr w:rsidR="00D722FE">
        <w:trPr>
          <w:jc w:val="center"/>
        </w:trPr>
        <w:tc>
          <w:tcPr>
            <w:tcW w:w="855" w:type="dxa"/>
            <w:vAlign w:val="center"/>
          </w:tcPr>
          <w:p w:rsidR="00D722FE" w:rsidRDefault="00906E2C">
            <w:pPr>
              <w:jc w:val="center"/>
            </w:pPr>
            <w:r>
              <w:rPr>
                <w:color w:val="000000"/>
                <w:sz w:val="24"/>
                <w:szCs w:val="24"/>
              </w:rPr>
              <w:t>5</w:t>
            </w:r>
          </w:p>
        </w:tc>
        <w:tc>
          <w:tcPr>
            <w:tcW w:w="1334" w:type="dxa"/>
            <w:vAlign w:val="center"/>
          </w:tcPr>
          <w:p w:rsidR="00D722FE" w:rsidRDefault="00906E2C">
            <w:pPr>
              <w:jc w:val="center"/>
            </w:pPr>
            <w:r>
              <w:rPr>
                <w:color w:val="000000"/>
                <w:sz w:val="24"/>
                <w:szCs w:val="24"/>
              </w:rPr>
              <w:t>002125</w:t>
            </w:r>
          </w:p>
        </w:tc>
        <w:tc>
          <w:tcPr>
            <w:tcW w:w="1777" w:type="dxa"/>
            <w:vAlign w:val="center"/>
          </w:tcPr>
          <w:p w:rsidR="00D722FE" w:rsidRDefault="00906E2C">
            <w:pPr>
              <w:jc w:val="center"/>
            </w:pPr>
            <w:r>
              <w:rPr>
                <w:color w:val="000000"/>
                <w:sz w:val="24"/>
                <w:szCs w:val="24"/>
              </w:rPr>
              <w:t>湘潭电化</w:t>
            </w:r>
          </w:p>
        </w:tc>
        <w:tc>
          <w:tcPr>
            <w:tcW w:w="1334" w:type="dxa"/>
            <w:vAlign w:val="center"/>
          </w:tcPr>
          <w:p w:rsidR="00D722FE" w:rsidRDefault="00906E2C">
            <w:pPr>
              <w:jc w:val="right"/>
            </w:pPr>
            <w:r>
              <w:rPr>
                <w:color w:val="000000"/>
                <w:sz w:val="24"/>
                <w:szCs w:val="24"/>
              </w:rPr>
              <w:t>2,445,751</w:t>
            </w:r>
          </w:p>
        </w:tc>
        <w:tc>
          <w:tcPr>
            <w:tcW w:w="1924" w:type="dxa"/>
            <w:vAlign w:val="center"/>
          </w:tcPr>
          <w:p w:rsidR="00D722FE" w:rsidRDefault="00906E2C">
            <w:pPr>
              <w:jc w:val="right"/>
            </w:pPr>
            <w:r>
              <w:rPr>
                <w:color w:val="000000"/>
                <w:sz w:val="24"/>
                <w:szCs w:val="24"/>
              </w:rPr>
              <w:t>57,108,285.85</w:t>
            </w:r>
          </w:p>
        </w:tc>
        <w:tc>
          <w:tcPr>
            <w:tcW w:w="1644" w:type="dxa"/>
            <w:vAlign w:val="center"/>
          </w:tcPr>
          <w:p w:rsidR="00D722FE" w:rsidRDefault="00906E2C">
            <w:pPr>
              <w:jc w:val="right"/>
            </w:pPr>
            <w:r>
              <w:rPr>
                <w:color w:val="000000"/>
                <w:sz w:val="24"/>
                <w:szCs w:val="24"/>
              </w:rPr>
              <w:t>4.77</w:t>
            </w:r>
          </w:p>
        </w:tc>
      </w:tr>
      <w:tr w:rsidR="00D722FE">
        <w:trPr>
          <w:jc w:val="center"/>
        </w:trPr>
        <w:tc>
          <w:tcPr>
            <w:tcW w:w="855" w:type="dxa"/>
            <w:vAlign w:val="center"/>
          </w:tcPr>
          <w:p w:rsidR="00D722FE" w:rsidRDefault="00906E2C">
            <w:pPr>
              <w:jc w:val="center"/>
            </w:pPr>
            <w:r>
              <w:rPr>
                <w:color w:val="000000"/>
                <w:sz w:val="24"/>
                <w:szCs w:val="24"/>
              </w:rPr>
              <w:t>6</w:t>
            </w:r>
          </w:p>
        </w:tc>
        <w:tc>
          <w:tcPr>
            <w:tcW w:w="1334" w:type="dxa"/>
            <w:vAlign w:val="center"/>
          </w:tcPr>
          <w:p w:rsidR="00D722FE" w:rsidRDefault="00906E2C">
            <w:pPr>
              <w:jc w:val="center"/>
            </w:pPr>
            <w:r>
              <w:rPr>
                <w:color w:val="000000"/>
                <w:sz w:val="24"/>
                <w:szCs w:val="24"/>
              </w:rPr>
              <w:t>600741</w:t>
            </w:r>
          </w:p>
        </w:tc>
        <w:tc>
          <w:tcPr>
            <w:tcW w:w="1777" w:type="dxa"/>
            <w:vAlign w:val="center"/>
          </w:tcPr>
          <w:p w:rsidR="00D722FE" w:rsidRDefault="00906E2C">
            <w:pPr>
              <w:jc w:val="center"/>
            </w:pPr>
            <w:r>
              <w:rPr>
                <w:color w:val="000000"/>
                <w:sz w:val="24"/>
                <w:szCs w:val="24"/>
              </w:rPr>
              <w:t>华域汽车</w:t>
            </w:r>
          </w:p>
        </w:tc>
        <w:tc>
          <w:tcPr>
            <w:tcW w:w="1334" w:type="dxa"/>
            <w:vAlign w:val="center"/>
          </w:tcPr>
          <w:p w:rsidR="00D722FE" w:rsidRDefault="00906E2C">
            <w:pPr>
              <w:jc w:val="right"/>
            </w:pPr>
            <w:r>
              <w:rPr>
                <w:color w:val="000000"/>
                <w:sz w:val="24"/>
                <w:szCs w:val="24"/>
              </w:rPr>
              <w:t>3,037,915</w:t>
            </w:r>
          </w:p>
        </w:tc>
        <w:tc>
          <w:tcPr>
            <w:tcW w:w="1924" w:type="dxa"/>
            <w:vAlign w:val="center"/>
          </w:tcPr>
          <w:p w:rsidR="00D722FE" w:rsidRDefault="00906E2C">
            <w:pPr>
              <w:jc w:val="right"/>
            </w:pPr>
            <w:r>
              <w:rPr>
                <w:color w:val="000000"/>
                <w:sz w:val="24"/>
                <w:szCs w:val="24"/>
              </w:rPr>
              <w:t>51,219,246.90</w:t>
            </w:r>
          </w:p>
        </w:tc>
        <w:tc>
          <w:tcPr>
            <w:tcW w:w="1644" w:type="dxa"/>
            <w:vAlign w:val="center"/>
          </w:tcPr>
          <w:p w:rsidR="00D722FE" w:rsidRDefault="00906E2C">
            <w:pPr>
              <w:jc w:val="right"/>
            </w:pPr>
            <w:r>
              <w:rPr>
                <w:color w:val="000000"/>
                <w:sz w:val="24"/>
                <w:szCs w:val="24"/>
              </w:rPr>
              <w:t>4.28</w:t>
            </w:r>
          </w:p>
        </w:tc>
      </w:tr>
      <w:tr w:rsidR="00D722FE">
        <w:trPr>
          <w:jc w:val="center"/>
        </w:trPr>
        <w:tc>
          <w:tcPr>
            <w:tcW w:w="855" w:type="dxa"/>
            <w:vAlign w:val="center"/>
          </w:tcPr>
          <w:p w:rsidR="00D722FE" w:rsidRDefault="00906E2C">
            <w:pPr>
              <w:jc w:val="center"/>
            </w:pPr>
            <w:r>
              <w:rPr>
                <w:color w:val="000000"/>
                <w:sz w:val="24"/>
                <w:szCs w:val="24"/>
              </w:rPr>
              <w:t>7</w:t>
            </w:r>
          </w:p>
        </w:tc>
        <w:tc>
          <w:tcPr>
            <w:tcW w:w="1334" w:type="dxa"/>
            <w:vAlign w:val="center"/>
          </w:tcPr>
          <w:p w:rsidR="00D722FE" w:rsidRDefault="00906E2C">
            <w:pPr>
              <w:jc w:val="center"/>
            </w:pPr>
            <w:r>
              <w:rPr>
                <w:color w:val="000000"/>
                <w:sz w:val="24"/>
                <w:szCs w:val="24"/>
              </w:rPr>
              <w:t>600389</w:t>
            </w:r>
          </w:p>
        </w:tc>
        <w:tc>
          <w:tcPr>
            <w:tcW w:w="1777" w:type="dxa"/>
            <w:vAlign w:val="center"/>
          </w:tcPr>
          <w:p w:rsidR="00D722FE" w:rsidRDefault="00906E2C">
            <w:pPr>
              <w:jc w:val="center"/>
            </w:pPr>
            <w:r>
              <w:rPr>
                <w:color w:val="000000"/>
                <w:sz w:val="24"/>
                <w:szCs w:val="24"/>
              </w:rPr>
              <w:t>江山股份</w:t>
            </w:r>
          </w:p>
        </w:tc>
        <w:tc>
          <w:tcPr>
            <w:tcW w:w="1334" w:type="dxa"/>
            <w:vAlign w:val="center"/>
          </w:tcPr>
          <w:p w:rsidR="00D722FE" w:rsidRDefault="00906E2C">
            <w:pPr>
              <w:jc w:val="right"/>
            </w:pPr>
            <w:r>
              <w:rPr>
                <w:color w:val="000000"/>
                <w:sz w:val="24"/>
                <w:szCs w:val="24"/>
              </w:rPr>
              <w:t>1,630,031</w:t>
            </w:r>
          </w:p>
        </w:tc>
        <w:tc>
          <w:tcPr>
            <w:tcW w:w="1924" w:type="dxa"/>
            <w:vAlign w:val="center"/>
          </w:tcPr>
          <w:p w:rsidR="00D722FE" w:rsidRDefault="00906E2C">
            <w:pPr>
              <w:jc w:val="right"/>
            </w:pPr>
            <w:r>
              <w:rPr>
                <w:color w:val="000000"/>
                <w:sz w:val="24"/>
                <w:szCs w:val="24"/>
              </w:rPr>
              <w:t>43,179,521.19</w:t>
            </w:r>
          </w:p>
        </w:tc>
        <w:tc>
          <w:tcPr>
            <w:tcW w:w="1644" w:type="dxa"/>
            <w:vAlign w:val="center"/>
          </w:tcPr>
          <w:p w:rsidR="00D722FE" w:rsidRDefault="00906E2C">
            <w:pPr>
              <w:jc w:val="right"/>
            </w:pPr>
            <w:r>
              <w:rPr>
                <w:color w:val="000000"/>
                <w:sz w:val="24"/>
                <w:szCs w:val="24"/>
              </w:rPr>
              <w:t>3.61</w:t>
            </w:r>
          </w:p>
        </w:tc>
      </w:tr>
      <w:tr w:rsidR="00D722FE">
        <w:trPr>
          <w:jc w:val="center"/>
        </w:trPr>
        <w:tc>
          <w:tcPr>
            <w:tcW w:w="855" w:type="dxa"/>
            <w:vAlign w:val="center"/>
          </w:tcPr>
          <w:p w:rsidR="00D722FE" w:rsidRDefault="00906E2C">
            <w:pPr>
              <w:jc w:val="center"/>
            </w:pPr>
            <w:r>
              <w:rPr>
                <w:color w:val="000000"/>
                <w:sz w:val="24"/>
                <w:szCs w:val="24"/>
              </w:rPr>
              <w:t>8</w:t>
            </w:r>
          </w:p>
        </w:tc>
        <w:tc>
          <w:tcPr>
            <w:tcW w:w="1334" w:type="dxa"/>
            <w:vAlign w:val="center"/>
          </w:tcPr>
          <w:p w:rsidR="00D722FE" w:rsidRDefault="00906E2C">
            <w:pPr>
              <w:jc w:val="center"/>
            </w:pPr>
            <w:r>
              <w:rPr>
                <w:color w:val="000000"/>
                <w:sz w:val="24"/>
                <w:szCs w:val="24"/>
              </w:rPr>
              <w:t>300322</w:t>
            </w:r>
          </w:p>
        </w:tc>
        <w:tc>
          <w:tcPr>
            <w:tcW w:w="1777" w:type="dxa"/>
            <w:vAlign w:val="center"/>
          </w:tcPr>
          <w:p w:rsidR="00D722FE" w:rsidRDefault="00906E2C">
            <w:pPr>
              <w:jc w:val="center"/>
            </w:pPr>
            <w:r>
              <w:rPr>
                <w:color w:val="000000"/>
                <w:sz w:val="24"/>
                <w:szCs w:val="24"/>
              </w:rPr>
              <w:t>硕贝德</w:t>
            </w:r>
          </w:p>
        </w:tc>
        <w:tc>
          <w:tcPr>
            <w:tcW w:w="1334" w:type="dxa"/>
            <w:vAlign w:val="center"/>
          </w:tcPr>
          <w:p w:rsidR="00D722FE" w:rsidRDefault="00906E2C">
            <w:pPr>
              <w:jc w:val="right"/>
            </w:pPr>
            <w:r>
              <w:rPr>
                <w:color w:val="000000"/>
                <w:sz w:val="24"/>
                <w:szCs w:val="24"/>
              </w:rPr>
              <w:t>2,075,566</w:t>
            </w:r>
          </w:p>
        </w:tc>
        <w:tc>
          <w:tcPr>
            <w:tcW w:w="1924" w:type="dxa"/>
            <w:vAlign w:val="center"/>
          </w:tcPr>
          <w:p w:rsidR="00D722FE" w:rsidRDefault="00906E2C">
            <w:pPr>
              <w:jc w:val="right"/>
            </w:pPr>
            <w:r>
              <w:rPr>
                <w:color w:val="000000"/>
                <w:sz w:val="24"/>
                <w:szCs w:val="24"/>
              </w:rPr>
              <w:t>40,473,537.00</w:t>
            </w:r>
          </w:p>
        </w:tc>
        <w:tc>
          <w:tcPr>
            <w:tcW w:w="1644" w:type="dxa"/>
            <w:vAlign w:val="center"/>
          </w:tcPr>
          <w:p w:rsidR="00D722FE" w:rsidRDefault="00906E2C">
            <w:pPr>
              <w:jc w:val="right"/>
            </w:pPr>
            <w:r>
              <w:rPr>
                <w:color w:val="000000"/>
                <w:sz w:val="24"/>
                <w:szCs w:val="24"/>
              </w:rPr>
              <w:t>3.38</w:t>
            </w:r>
          </w:p>
        </w:tc>
      </w:tr>
      <w:tr w:rsidR="00D722FE">
        <w:trPr>
          <w:jc w:val="center"/>
        </w:trPr>
        <w:tc>
          <w:tcPr>
            <w:tcW w:w="855" w:type="dxa"/>
            <w:vAlign w:val="center"/>
          </w:tcPr>
          <w:p w:rsidR="00D722FE" w:rsidRDefault="00906E2C">
            <w:pPr>
              <w:jc w:val="center"/>
            </w:pPr>
            <w:r>
              <w:rPr>
                <w:color w:val="000000"/>
                <w:sz w:val="24"/>
                <w:szCs w:val="24"/>
              </w:rPr>
              <w:t>9</w:t>
            </w:r>
          </w:p>
        </w:tc>
        <w:tc>
          <w:tcPr>
            <w:tcW w:w="1334" w:type="dxa"/>
            <w:vAlign w:val="center"/>
          </w:tcPr>
          <w:p w:rsidR="00D722FE" w:rsidRDefault="00906E2C">
            <w:pPr>
              <w:jc w:val="center"/>
            </w:pPr>
            <w:r>
              <w:rPr>
                <w:color w:val="000000"/>
                <w:sz w:val="24"/>
                <w:szCs w:val="24"/>
              </w:rPr>
              <w:t>300161</w:t>
            </w:r>
          </w:p>
        </w:tc>
        <w:tc>
          <w:tcPr>
            <w:tcW w:w="1777" w:type="dxa"/>
            <w:vAlign w:val="center"/>
          </w:tcPr>
          <w:p w:rsidR="00D722FE" w:rsidRDefault="00906E2C">
            <w:pPr>
              <w:jc w:val="center"/>
            </w:pPr>
            <w:r>
              <w:rPr>
                <w:color w:val="000000"/>
                <w:sz w:val="24"/>
                <w:szCs w:val="24"/>
              </w:rPr>
              <w:t>华中数控</w:t>
            </w:r>
          </w:p>
        </w:tc>
        <w:tc>
          <w:tcPr>
            <w:tcW w:w="1334" w:type="dxa"/>
            <w:vAlign w:val="center"/>
          </w:tcPr>
          <w:p w:rsidR="00D722FE" w:rsidRDefault="00906E2C">
            <w:pPr>
              <w:jc w:val="right"/>
            </w:pPr>
            <w:r>
              <w:rPr>
                <w:color w:val="000000"/>
                <w:sz w:val="24"/>
                <w:szCs w:val="24"/>
              </w:rPr>
              <w:t>935,958</w:t>
            </w:r>
          </w:p>
        </w:tc>
        <w:tc>
          <w:tcPr>
            <w:tcW w:w="1924" w:type="dxa"/>
            <w:vAlign w:val="center"/>
          </w:tcPr>
          <w:p w:rsidR="00D722FE" w:rsidRDefault="00906E2C">
            <w:pPr>
              <w:jc w:val="right"/>
            </w:pPr>
            <w:r>
              <w:rPr>
                <w:color w:val="000000"/>
                <w:sz w:val="24"/>
                <w:szCs w:val="24"/>
              </w:rPr>
              <w:t>34,368,377.76</w:t>
            </w:r>
          </w:p>
        </w:tc>
        <w:tc>
          <w:tcPr>
            <w:tcW w:w="1644" w:type="dxa"/>
            <w:vAlign w:val="center"/>
          </w:tcPr>
          <w:p w:rsidR="00D722FE" w:rsidRDefault="00906E2C">
            <w:pPr>
              <w:jc w:val="right"/>
            </w:pPr>
            <w:r>
              <w:rPr>
                <w:color w:val="000000"/>
                <w:sz w:val="24"/>
                <w:szCs w:val="24"/>
              </w:rPr>
              <w:t>2.87</w:t>
            </w:r>
          </w:p>
        </w:tc>
      </w:tr>
      <w:tr w:rsidR="00D722FE">
        <w:trPr>
          <w:jc w:val="center"/>
        </w:trPr>
        <w:tc>
          <w:tcPr>
            <w:tcW w:w="855" w:type="dxa"/>
            <w:vAlign w:val="center"/>
          </w:tcPr>
          <w:p w:rsidR="00D722FE" w:rsidRDefault="00906E2C">
            <w:pPr>
              <w:jc w:val="center"/>
            </w:pPr>
            <w:r>
              <w:rPr>
                <w:color w:val="000000"/>
                <w:sz w:val="24"/>
                <w:szCs w:val="24"/>
              </w:rPr>
              <w:t>10</w:t>
            </w:r>
          </w:p>
        </w:tc>
        <w:tc>
          <w:tcPr>
            <w:tcW w:w="1334" w:type="dxa"/>
            <w:vAlign w:val="center"/>
          </w:tcPr>
          <w:p w:rsidR="00D722FE" w:rsidRDefault="00906E2C">
            <w:pPr>
              <w:jc w:val="center"/>
            </w:pPr>
            <w:r>
              <w:rPr>
                <w:color w:val="000000"/>
                <w:sz w:val="24"/>
                <w:szCs w:val="24"/>
              </w:rPr>
              <w:t>300100</w:t>
            </w:r>
          </w:p>
        </w:tc>
        <w:tc>
          <w:tcPr>
            <w:tcW w:w="1777" w:type="dxa"/>
            <w:vAlign w:val="center"/>
          </w:tcPr>
          <w:p w:rsidR="00D722FE" w:rsidRDefault="00906E2C">
            <w:pPr>
              <w:jc w:val="center"/>
            </w:pPr>
            <w:r>
              <w:rPr>
                <w:color w:val="000000"/>
                <w:sz w:val="24"/>
                <w:szCs w:val="24"/>
              </w:rPr>
              <w:t>双林股份</w:t>
            </w:r>
          </w:p>
        </w:tc>
        <w:tc>
          <w:tcPr>
            <w:tcW w:w="1334" w:type="dxa"/>
            <w:vAlign w:val="center"/>
          </w:tcPr>
          <w:p w:rsidR="00D722FE" w:rsidRDefault="00906E2C">
            <w:pPr>
              <w:jc w:val="right"/>
            </w:pPr>
            <w:r>
              <w:rPr>
                <w:color w:val="000000"/>
                <w:sz w:val="24"/>
                <w:szCs w:val="24"/>
              </w:rPr>
              <w:t>1,095,001</w:t>
            </w:r>
          </w:p>
        </w:tc>
        <w:tc>
          <w:tcPr>
            <w:tcW w:w="1924" w:type="dxa"/>
            <w:vAlign w:val="center"/>
          </w:tcPr>
          <w:p w:rsidR="00D722FE" w:rsidRDefault="00906E2C">
            <w:pPr>
              <w:jc w:val="right"/>
            </w:pPr>
            <w:r>
              <w:rPr>
                <w:color w:val="000000"/>
                <w:sz w:val="24"/>
                <w:szCs w:val="24"/>
              </w:rPr>
              <w:t>34,295,431.32</w:t>
            </w:r>
          </w:p>
        </w:tc>
        <w:tc>
          <w:tcPr>
            <w:tcW w:w="1644" w:type="dxa"/>
            <w:vAlign w:val="center"/>
          </w:tcPr>
          <w:p w:rsidR="00D722FE" w:rsidRDefault="00906E2C">
            <w:pPr>
              <w:jc w:val="right"/>
            </w:pPr>
            <w:r>
              <w:rPr>
                <w:color w:val="000000"/>
                <w:sz w:val="24"/>
                <w:szCs w:val="24"/>
              </w:rPr>
              <w:t>2.86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1,790,615.26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36,424.94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7,907,510.56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9,734,550.76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722FE">
        <w:trPr>
          <w:jc w:val="center"/>
        </w:trPr>
        <w:tc>
          <w:tcPr>
            <w:tcW w:w="1129" w:type="dxa"/>
            <w:vAlign w:val="center"/>
          </w:tcPr>
          <w:p w:rsidR="00D722FE" w:rsidRDefault="00906E2C">
            <w:pPr>
              <w:jc w:val="center"/>
            </w:pPr>
            <w:r>
              <w:rPr>
                <w:color w:val="000000"/>
                <w:sz w:val="24"/>
                <w:szCs w:val="24"/>
              </w:rPr>
              <w:t>1</w:t>
            </w:r>
          </w:p>
        </w:tc>
        <w:tc>
          <w:tcPr>
            <w:tcW w:w="1356" w:type="dxa"/>
            <w:vAlign w:val="center"/>
          </w:tcPr>
          <w:p w:rsidR="00D722FE" w:rsidRDefault="00906E2C">
            <w:pPr>
              <w:jc w:val="center"/>
            </w:pPr>
            <w:r>
              <w:rPr>
                <w:color w:val="000000"/>
                <w:sz w:val="24"/>
                <w:szCs w:val="24"/>
              </w:rPr>
              <w:t>600389</w:t>
            </w:r>
          </w:p>
        </w:tc>
        <w:tc>
          <w:tcPr>
            <w:tcW w:w="1355" w:type="dxa"/>
            <w:vAlign w:val="center"/>
          </w:tcPr>
          <w:p w:rsidR="00D722FE" w:rsidRDefault="00906E2C">
            <w:pPr>
              <w:jc w:val="center"/>
            </w:pPr>
            <w:r>
              <w:rPr>
                <w:color w:val="000000"/>
                <w:sz w:val="24"/>
                <w:szCs w:val="24"/>
              </w:rPr>
              <w:t>江山股份</w:t>
            </w:r>
          </w:p>
        </w:tc>
        <w:tc>
          <w:tcPr>
            <w:tcW w:w="1880" w:type="dxa"/>
            <w:vAlign w:val="center"/>
          </w:tcPr>
          <w:p w:rsidR="00D722FE" w:rsidRDefault="00906E2C">
            <w:pPr>
              <w:jc w:val="right"/>
            </w:pPr>
            <w:r>
              <w:rPr>
                <w:color w:val="000000"/>
                <w:sz w:val="24"/>
                <w:szCs w:val="24"/>
              </w:rPr>
              <w:t>43,179,521.19</w:t>
            </w:r>
          </w:p>
        </w:tc>
        <w:tc>
          <w:tcPr>
            <w:tcW w:w="1724" w:type="dxa"/>
            <w:vAlign w:val="center"/>
          </w:tcPr>
          <w:p w:rsidR="00D722FE" w:rsidRDefault="00906E2C">
            <w:pPr>
              <w:jc w:val="right"/>
            </w:pPr>
            <w:r>
              <w:rPr>
                <w:color w:val="000000"/>
                <w:sz w:val="24"/>
                <w:szCs w:val="24"/>
              </w:rPr>
              <w:t>3.61</w:t>
            </w:r>
          </w:p>
        </w:tc>
        <w:tc>
          <w:tcPr>
            <w:tcW w:w="1424" w:type="dxa"/>
            <w:vAlign w:val="center"/>
          </w:tcPr>
          <w:p w:rsidR="00D722FE" w:rsidRDefault="00906E2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385,263,007.06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137,817,231.02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69,503,931.98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453,576,306.10</w:t>
            </w:r>
          </w:p>
        </w:tc>
      </w:tr>
    </w:tbl>
    <w:p w:rsidR="00D722FE" w:rsidRDefault="00906E2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鉴于交银施罗德先进制造混合型证券投资基金的业绩比较基准的指数停止计算编制，本基金管理人根据基金合同的相关约定，经与基金托管人协商一致，并报中国证监会备案，决定自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日起将交银施罗德先进制造混合型证券投资基金的业绩比较基准由原</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722FE" w:rsidRDefault="00906E2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D722FE" w:rsidRDefault="00906E2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、《交银施罗德先进制造混合型证券投资基金基金合同》；</w:t>
      </w:r>
      <w:r>
        <w:rPr>
          <w:color w:val="000000"/>
          <w:sz w:val="24"/>
          <w:szCs w:val="24"/>
        </w:rPr>
        <w:t xml:space="preserve"> </w:t>
      </w:r>
    </w:p>
    <w:p w:rsidR="00D722FE" w:rsidRDefault="00906E2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、《交银施罗德先进制造混合型证券投资基金招募说明书》；</w:t>
      </w:r>
      <w:r>
        <w:rPr>
          <w:color w:val="000000"/>
          <w:sz w:val="24"/>
          <w:szCs w:val="24"/>
        </w:rPr>
        <w:t xml:space="preserve"> </w:t>
      </w:r>
    </w:p>
    <w:p w:rsidR="00D722FE" w:rsidRDefault="00906E2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、《交银施罗德先进制造混合型证券投资基金托管协议》；</w:t>
      </w:r>
    </w:p>
    <w:p w:rsidR="00D722FE" w:rsidRDefault="00906E2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D722FE" w:rsidRDefault="00906E2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D722FE" w:rsidRDefault="00906E2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722FE" w:rsidRDefault="00906E2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8B7951">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8B7951">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B7951"/>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6E2C"/>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22FE"/>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8EA2E87C-274C-4C84-93ED-72E60278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814F-7532-477F-AD7E-F71C5D97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11</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562</cp:revision>
  <dcterms:created xsi:type="dcterms:W3CDTF">2012-10-16T06:07:00Z</dcterms:created>
  <dcterms:modified xsi:type="dcterms:W3CDTF">2016-01-18T06:18:00Z</dcterms:modified>
</cp:coreProperties>
</file>