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41607" w:rsidRDefault="00BD29C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41607" w:rsidRDefault="00BD29C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41607" w:rsidRDefault="00BD29C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41607" w:rsidRDefault="00BD29C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41607" w:rsidRDefault="00BD29C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1,313,635,714.40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00BD29C0">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D29C0" w:rsidRPr="00414345" w:rsidTr="00BD29C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D29C0" w:rsidRPr="00414345" w:rsidTr="00BD29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94,819,343.69</w:t>
            </w:r>
          </w:p>
        </w:tc>
      </w:tr>
      <w:tr w:rsidR="00BD29C0" w:rsidRPr="00414345" w:rsidTr="00BD29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924,982,556.42</w:t>
            </w:r>
          </w:p>
        </w:tc>
      </w:tr>
      <w:tr w:rsidR="00BD29C0" w:rsidRPr="00414345" w:rsidTr="00BD29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0.7268</w:t>
            </w:r>
          </w:p>
        </w:tc>
      </w:tr>
      <w:tr w:rsidR="00BD29C0" w:rsidRPr="00414345" w:rsidTr="00BD29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2,832,050,950.98</w:t>
            </w:r>
          </w:p>
        </w:tc>
      </w:tr>
      <w:tr w:rsidR="00BD29C0" w:rsidRPr="00414345" w:rsidTr="00BD29C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2.1559</w:t>
            </w:r>
          </w:p>
        </w:tc>
      </w:tr>
    </w:tbl>
    <w:p w:rsidR="00441607" w:rsidRDefault="00BD29C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41607">
        <w:trPr>
          <w:jc w:val="center"/>
        </w:trPr>
        <w:tc>
          <w:tcPr>
            <w:tcW w:w="1701" w:type="dxa"/>
            <w:vAlign w:val="center"/>
          </w:tcPr>
          <w:p w:rsidR="00441607" w:rsidRDefault="00BD29C0">
            <w:pPr>
              <w:jc w:val="left"/>
            </w:pPr>
            <w:r>
              <w:rPr>
                <w:color w:val="000000"/>
                <w:sz w:val="24"/>
                <w:szCs w:val="24"/>
              </w:rPr>
              <w:t>过去三个月</w:t>
            </w:r>
          </w:p>
        </w:tc>
        <w:tc>
          <w:tcPr>
            <w:tcW w:w="1045" w:type="dxa"/>
            <w:vAlign w:val="center"/>
          </w:tcPr>
          <w:p w:rsidR="00441607" w:rsidRDefault="00BD29C0">
            <w:pPr>
              <w:jc w:val="center"/>
            </w:pPr>
            <w:r>
              <w:rPr>
                <w:color w:val="000000"/>
                <w:sz w:val="24"/>
                <w:szCs w:val="24"/>
              </w:rPr>
              <w:t>52.01%</w:t>
            </w:r>
          </w:p>
        </w:tc>
        <w:tc>
          <w:tcPr>
            <w:tcW w:w="1344" w:type="dxa"/>
            <w:vAlign w:val="center"/>
          </w:tcPr>
          <w:p w:rsidR="00441607" w:rsidRDefault="00BD29C0">
            <w:pPr>
              <w:jc w:val="center"/>
            </w:pPr>
            <w:r>
              <w:rPr>
                <w:color w:val="000000"/>
                <w:sz w:val="24"/>
                <w:szCs w:val="24"/>
              </w:rPr>
              <w:t>2.70%</w:t>
            </w:r>
          </w:p>
        </w:tc>
        <w:tc>
          <w:tcPr>
            <w:tcW w:w="1194" w:type="dxa"/>
            <w:vAlign w:val="center"/>
          </w:tcPr>
          <w:p w:rsidR="00441607" w:rsidRDefault="00BD29C0">
            <w:pPr>
              <w:jc w:val="center"/>
            </w:pPr>
            <w:r>
              <w:rPr>
                <w:color w:val="000000"/>
                <w:sz w:val="24"/>
                <w:szCs w:val="24"/>
              </w:rPr>
              <w:t>17.36%</w:t>
            </w:r>
          </w:p>
        </w:tc>
        <w:tc>
          <w:tcPr>
            <w:tcW w:w="1492" w:type="dxa"/>
            <w:vAlign w:val="center"/>
          </w:tcPr>
          <w:p w:rsidR="00441607" w:rsidRDefault="00BD29C0">
            <w:pPr>
              <w:jc w:val="center"/>
            </w:pPr>
            <w:r>
              <w:rPr>
                <w:color w:val="000000"/>
                <w:sz w:val="24"/>
                <w:szCs w:val="24"/>
              </w:rPr>
              <w:t>1.51%</w:t>
            </w:r>
          </w:p>
        </w:tc>
        <w:tc>
          <w:tcPr>
            <w:tcW w:w="1194" w:type="dxa"/>
            <w:vAlign w:val="center"/>
          </w:tcPr>
          <w:p w:rsidR="00441607" w:rsidRDefault="00BD29C0">
            <w:pPr>
              <w:jc w:val="center"/>
            </w:pPr>
            <w:r>
              <w:rPr>
                <w:color w:val="000000"/>
                <w:sz w:val="24"/>
                <w:szCs w:val="24"/>
              </w:rPr>
              <w:t>34.65%</w:t>
            </w:r>
          </w:p>
        </w:tc>
        <w:tc>
          <w:tcPr>
            <w:tcW w:w="898" w:type="dxa"/>
            <w:vAlign w:val="center"/>
          </w:tcPr>
          <w:p w:rsidR="00441607" w:rsidRDefault="00BD29C0">
            <w:pPr>
              <w:jc w:val="center"/>
            </w:pPr>
            <w:r>
              <w:rPr>
                <w:color w:val="000000"/>
                <w:sz w:val="24"/>
                <w:szCs w:val="24"/>
              </w:rPr>
              <w:t>1.19%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00BD29C0">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41607">
        <w:trPr>
          <w:jc w:val="center"/>
        </w:trPr>
        <w:tc>
          <w:tcPr>
            <w:tcW w:w="846" w:type="dxa"/>
            <w:vAlign w:val="center"/>
          </w:tcPr>
          <w:p w:rsidR="00441607" w:rsidRDefault="00BD29C0">
            <w:pPr>
              <w:jc w:val="center"/>
            </w:pPr>
            <w:r>
              <w:rPr>
                <w:color w:val="000000"/>
                <w:sz w:val="24"/>
                <w:szCs w:val="24"/>
              </w:rPr>
              <w:t>芮晨</w:t>
            </w:r>
          </w:p>
        </w:tc>
        <w:tc>
          <w:tcPr>
            <w:tcW w:w="845" w:type="dxa"/>
            <w:vAlign w:val="center"/>
          </w:tcPr>
          <w:p w:rsidR="00441607" w:rsidRDefault="00BD29C0">
            <w:pPr>
              <w:jc w:val="center"/>
            </w:pPr>
            <w:r>
              <w:rPr>
                <w:color w:val="000000"/>
                <w:sz w:val="24"/>
                <w:szCs w:val="24"/>
              </w:rPr>
              <w:t>交银先锋混合的基金经理</w:t>
            </w:r>
          </w:p>
        </w:tc>
        <w:tc>
          <w:tcPr>
            <w:tcW w:w="1549" w:type="dxa"/>
            <w:vAlign w:val="center"/>
          </w:tcPr>
          <w:p w:rsidR="00441607" w:rsidRDefault="00BD29C0">
            <w:pPr>
              <w:jc w:val="center"/>
            </w:pPr>
            <w:r>
              <w:rPr>
                <w:color w:val="000000"/>
                <w:sz w:val="24"/>
                <w:szCs w:val="24"/>
              </w:rPr>
              <w:t>2015-05-18</w:t>
            </w:r>
          </w:p>
        </w:tc>
        <w:tc>
          <w:tcPr>
            <w:tcW w:w="1548" w:type="dxa"/>
            <w:vAlign w:val="center"/>
          </w:tcPr>
          <w:p w:rsidR="00441607" w:rsidRDefault="00BD29C0">
            <w:pPr>
              <w:jc w:val="center"/>
            </w:pPr>
            <w:r>
              <w:rPr>
                <w:color w:val="000000"/>
                <w:sz w:val="24"/>
                <w:szCs w:val="24"/>
              </w:rPr>
              <w:t>-</w:t>
            </w:r>
          </w:p>
        </w:tc>
        <w:tc>
          <w:tcPr>
            <w:tcW w:w="1407" w:type="dxa"/>
            <w:vAlign w:val="center"/>
          </w:tcPr>
          <w:p w:rsidR="00441607" w:rsidRDefault="00BD29C0">
            <w:pPr>
              <w:jc w:val="center"/>
            </w:pPr>
            <w:r>
              <w:rPr>
                <w:color w:val="000000"/>
                <w:sz w:val="24"/>
                <w:szCs w:val="24"/>
              </w:rPr>
              <w:t>8</w:t>
            </w:r>
            <w:r>
              <w:rPr>
                <w:color w:val="000000"/>
                <w:sz w:val="24"/>
                <w:szCs w:val="24"/>
              </w:rPr>
              <w:t>年</w:t>
            </w:r>
          </w:p>
        </w:tc>
        <w:tc>
          <w:tcPr>
            <w:tcW w:w="2673" w:type="dxa"/>
            <w:vAlign w:val="center"/>
          </w:tcPr>
          <w:p w:rsidR="00441607" w:rsidRDefault="00BD29C0">
            <w:r>
              <w:rPr>
                <w:color w:val="000000"/>
                <w:sz w:val="24"/>
                <w:szCs w:val="24"/>
              </w:rPr>
              <w:t>芮晨先生，内蒙古科技大学工学士。历任深圳尚诚资产管理有限公司研究员、研究副总监，国联安基金管理有限公司行业研究员、投资经理，</w:t>
            </w:r>
            <w:r>
              <w:rPr>
                <w:color w:val="000000"/>
                <w:sz w:val="24"/>
                <w:szCs w:val="24"/>
              </w:rPr>
              <w:t>2013</w:t>
            </w:r>
            <w:r>
              <w:rPr>
                <w:color w:val="000000"/>
                <w:sz w:val="24"/>
                <w:szCs w:val="24"/>
              </w:rPr>
              <w:t>年</w:t>
            </w:r>
            <w:r>
              <w:rPr>
                <w:color w:val="000000"/>
                <w:sz w:val="24"/>
                <w:szCs w:val="24"/>
              </w:rPr>
              <w:t>-2014</w:t>
            </w:r>
            <w:r>
              <w:rPr>
                <w:color w:val="000000"/>
                <w:sz w:val="24"/>
                <w:szCs w:val="24"/>
              </w:rPr>
              <w:t>年任浙商证券资产管理有限公司投资主办。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41607" w:rsidRDefault="00BD29C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41607" w:rsidRDefault="00BD29C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41607" w:rsidRDefault="00BD29C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41607" w:rsidRDefault="00BD29C0">
      <w:pPr>
        <w:spacing w:before="29" w:line="288" w:lineRule="auto"/>
        <w:ind w:firstLineChars="200" w:firstLine="480"/>
        <w:rPr>
          <w:color w:val="000000"/>
          <w:sz w:val="24"/>
          <w:szCs w:val="24"/>
        </w:rPr>
      </w:pPr>
      <w:r>
        <w:rPr>
          <w:color w:val="000000"/>
          <w:sz w:val="24"/>
          <w:szCs w:val="24"/>
        </w:rPr>
        <w:t>2015</w:t>
      </w:r>
      <w:r>
        <w:rPr>
          <w:color w:val="000000"/>
          <w:sz w:val="24"/>
          <w:szCs w:val="24"/>
        </w:rPr>
        <w:t>年四季度，经济基本面方面仍延续前三季度的特征。传统经济继续下滑，</w:t>
      </w:r>
      <w:r>
        <w:rPr>
          <w:color w:val="000000"/>
          <w:sz w:val="24"/>
          <w:szCs w:val="24"/>
        </w:rPr>
        <w:t>PPI</w:t>
      </w:r>
      <w:r>
        <w:rPr>
          <w:color w:val="000000"/>
          <w:sz w:val="24"/>
          <w:szCs w:val="24"/>
        </w:rPr>
        <w:t>、工业增加值等总体经济指标继续回落。新兴经济仍然在持续创新进步中，同时不少传统产业厂家积极投身新兴产业，或转型，或基于自身优势向创新做延展、做渗透。市场层面，四季度市场涨幅较大，尤其是以新兴产业为代表的中小创。我们在</w:t>
      </w:r>
      <w:r>
        <w:rPr>
          <w:color w:val="000000"/>
          <w:sz w:val="24"/>
          <w:szCs w:val="24"/>
        </w:rPr>
        <w:t>2015</w:t>
      </w:r>
      <w:r>
        <w:rPr>
          <w:color w:val="000000"/>
          <w:sz w:val="24"/>
          <w:szCs w:val="24"/>
        </w:rPr>
        <w:t>年三季度曾提出坚定看好四季度，并认为在市场极大幅度的风险释放后，新兴产业的很多领导企业有了一个非常好的投资机会。市场印证了我们的看法。</w:t>
      </w:r>
    </w:p>
    <w:p w:rsidR="00441607" w:rsidRDefault="00BD29C0">
      <w:pPr>
        <w:spacing w:before="29" w:line="288" w:lineRule="auto"/>
        <w:ind w:firstLineChars="200" w:firstLine="480"/>
        <w:rPr>
          <w:color w:val="000000"/>
          <w:sz w:val="24"/>
          <w:szCs w:val="24"/>
        </w:rPr>
      </w:pPr>
      <w:r>
        <w:rPr>
          <w:color w:val="000000"/>
          <w:sz w:val="24"/>
          <w:szCs w:val="24"/>
        </w:rPr>
        <w:t>四季度，本基金净值上涨幅度较大。原因在于：我们在市场大幅调整中，依然坚持一贯的投资策略没有动摇，依然坚守经过深入调研长期看好的公司。</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w:t>
      </w:r>
      <w:r w:rsidRPr="00414345">
        <w:rPr>
          <w:color w:val="000000"/>
          <w:sz w:val="24"/>
          <w:szCs w:val="24"/>
        </w:rPr>
        <w:t>2016</w:t>
      </w:r>
      <w:r w:rsidRPr="00414345">
        <w:rPr>
          <w:color w:val="000000"/>
          <w:sz w:val="24"/>
          <w:szCs w:val="24"/>
        </w:rPr>
        <w:t>年一季度，我们预计市场仍会持续向上，我们大概率将保持风格不变。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2.1559</w:t>
      </w:r>
      <w:r w:rsidRPr="00414345">
        <w:rPr>
          <w:color w:val="000000"/>
          <w:sz w:val="24"/>
          <w:szCs w:val="24"/>
        </w:rPr>
        <w:t>元，本报告期份额净值增长率为</w:t>
      </w:r>
      <w:r w:rsidRPr="00414345">
        <w:rPr>
          <w:color w:val="000000"/>
          <w:sz w:val="24"/>
          <w:szCs w:val="24"/>
        </w:rPr>
        <w:t>52.01%</w:t>
      </w:r>
      <w:r w:rsidRPr="00414345">
        <w:rPr>
          <w:color w:val="000000"/>
          <w:sz w:val="24"/>
          <w:szCs w:val="24"/>
        </w:rPr>
        <w:t>，同期业绩比较基准增长率为</w:t>
      </w:r>
      <w:r w:rsidRPr="00414345">
        <w:rPr>
          <w:color w:val="000000"/>
          <w:sz w:val="24"/>
          <w:szCs w:val="24"/>
        </w:rPr>
        <w:t>17.36%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FD59C8" w:rsidRDefault="00FD59C8" w:rsidP="00421CD2">
      <w:pPr>
        <w:spacing w:before="29" w:line="288" w:lineRule="auto"/>
        <w:ind w:firstLineChars="200" w:firstLine="480"/>
        <w:rPr>
          <w:rFonts w:hint="eastAsia"/>
          <w:color w:val="000000"/>
          <w:sz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2,676,373,845.09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2,676,373,845.09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200,531,667.75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6.94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14,599,139.67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0.50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2,891,504,652.51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1,784,637,870.66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117,408,954.99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90,733,654.63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600,421,622.33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83,171,742.48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2,676,373,845.09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41607">
        <w:trPr>
          <w:jc w:val="center"/>
        </w:trPr>
        <w:tc>
          <w:tcPr>
            <w:tcW w:w="855" w:type="dxa"/>
            <w:vAlign w:val="center"/>
          </w:tcPr>
          <w:p w:rsidR="00441607" w:rsidRDefault="00BD29C0">
            <w:pPr>
              <w:jc w:val="center"/>
            </w:pPr>
            <w:r>
              <w:rPr>
                <w:color w:val="000000"/>
                <w:sz w:val="24"/>
                <w:szCs w:val="24"/>
              </w:rPr>
              <w:t>1</w:t>
            </w:r>
          </w:p>
        </w:tc>
        <w:tc>
          <w:tcPr>
            <w:tcW w:w="1334" w:type="dxa"/>
            <w:vAlign w:val="center"/>
          </w:tcPr>
          <w:p w:rsidR="00441607" w:rsidRDefault="00BD29C0">
            <w:pPr>
              <w:jc w:val="center"/>
            </w:pPr>
            <w:r>
              <w:rPr>
                <w:color w:val="000000"/>
                <w:sz w:val="24"/>
                <w:szCs w:val="24"/>
              </w:rPr>
              <w:t>300365</w:t>
            </w:r>
          </w:p>
        </w:tc>
        <w:tc>
          <w:tcPr>
            <w:tcW w:w="1777" w:type="dxa"/>
            <w:vAlign w:val="center"/>
          </w:tcPr>
          <w:p w:rsidR="00441607" w:rsidRDefault="00BD29C0">
            <w:pPr>
              <w:jc w:val="center"/>
            </w:pPr>
            <w:r>
              <w:rPr>
                <w:color w:val="000000"/>
                <w:sz w:val="24"/>
                <w:szCs w:val="24"/>
              </w:rPr>
              <w:t>恒华科技</w:t>
            </w:r>
          </w:p>
        </w:tc>
        <w:tc>
          <w:tcPr>
            <w:tcW w:w="1334" w:type="dxa"/>
            <w:vAlign w:val="center"/>
          </w:tcPr>
          <w:p w:rsidR="00441607" w:rsidRDefault="00BD29C0">
            <w:pPr>
              <w:jc w:val="right"/>
            </w:pPr>
            <w:r>
              <w:rPr>
                <w:color w:val="000000"/>
                <w:sz w:val="24"/>
                <w:szCs w:val="24"/>
              </w:rPr>
              <w:t>6,134,651</w:t>
            </w:r>
          </w:p>
        </w:tc>
        <w:tc>
          <w:tcPr>
            <w:tcW w:w="1924" w:type="dxa"/>
            <w:vAlign w:val="center"/>
          </w:tcPr>
          <w:p w:rsidR="00441607" w:rsidRDefault="00BD29C0">
            <w:pPr>
              <w:jc w:val="right"/>
            </w:pPr>
            <w:r>
              <w:rPr>
                <w:color w:val="000000"/>
                <w:sz w:val="24"/>
                <w:szCs w:val="24"/>
              </w:rPr>
              <w:t>264,403,458.10</w:t>
            </w:r>
          </w:p>
        </w:tc>
        <w:tc>
          <w:tcPr>
            <w:tcW w:w="1644" w:type="dxa"/>
            <w:vAlign w:val="center"/>
          </w:tcPr>
          <w:p w:rsidR="00441607" w:rsidRDefault="00BD29C0">
            <w:pPr>
              <w:jc w:val="right"/>
            </w:pPr>
            <w:r>
              <w:rPr>
                <w:color w:val="000000"/>
                <w:sz w:val="24"/>
                <w:szCs w:val="24"/>
              </w:rPr>
              <w:t>9.34</w:t>
            </w:r>
          </w:p>
        </w:tc>
      </w:tr>
      <w:tr w:rsidR="00441607">
        <w:trPr>
          <w:jc w:val="center"/>
        </w:trPr>
        <w:tc>
          <w:tcPr>
            <w:tcW w:w="855" w:type="dxa"/>
            <w:vAlign w:val="center"/>
          </w:tcPr>
          <w:p w:rsidR="00441607" w:rsidRDefault="00BD29C0">
            <w:pPr>
              <w:jc w:val="center"/>
            </w:pPr>
            <w:r>
              <w:rPr>
                <w:color w:val="000000"/>
                <w:sz w:val="24"/>
                <w:szCs w:val="24"/>
              </w:rPr>
              <w:t>2</w:t>
            </w:r>
          </w:p>
        </w:tc>
        <w:tc>
          <w:tcPr>
            <w:tcW w:w="1334" w:type="dxa"/>
            <w:vAlign w:val="center"/>
          </w:tcPr>
          <w:p w:rsidR="00441607" w:rsidRDefault="00BD29C0">
            <w:pPr>
              <w:jc w:val="center"/>
            </w:pPr>
            <w:r>
              <w:rPr>
                <w:color w:val="000000"/>
                <w:sz w:val="24"/>
                <w:szCs w:val="24"/>
              </w:rPr>
              <w:t>300329</w:t>
            </w:r>
          </w:p>
        </w:tc>
        <w:tc>
          <w:tcPr>
            <w:tcW w:w="1777" w:type="dxa"/>
            <w:vAlign w:val="center"/>
          </w:tcPr>
          <w:p w:rsidR="00441607" w:rsidRDefault="00BD29C0">
            <w:pPr>
              <w:jc w:val="center"/>
            </w:pPr>
            <w:r>
              <w:rPr>
                <w:color w:val="000000"/>
                <w:sz w:val="24"/>
                <w:szCs w:val="24"/>
              </w:rPr>
              <w:t>海伦钢琴</w:t>
            </w:r>
          </w:p>
        </w:tc>
        <w:tc>
          <w:tcPr>
            <w:tcW w:w="1334" w:type="dxa"/>
            <w:vAlign w:val="center"/>
          </w:tcPr>
          <w:p w:rsidR="00441607" w:rsidRDefault="00BD29C0">
            <w:pPr>
              <w:jc w:val="right"/>
            </w:pPr>
            <w:r>
              <w:rPr>
                <w:color w:val="000000"/>
                <w:sz w:val="24"/>
                <w:szCs w:val="24"/>
              </w:rPr>
              <w:t>7,080,711</w:t>
            </w:r>
          </w:p>
        </w:tc>
        <w:tc>
          <w:tcPr>
            <w:tcW w:w="1924" w:type="dxa"/>
            <w:vAlign w:val="center"/>
          </w:tcPr>
          <w:p w:rsidR="00441607" w:rsidRDefault="00BD29C0">
            <w:pPr>
              <w:jc w:val="right"/>
            </w:pPr>
            <w:r>
              <w:rPr>
                <w:color w:val="000000"/>
                <w:sz w:val="24"/>
                <w:szCs w:val="24"/>
              </w:rPr>
              <w:t>194,577,938.28</w:t>
            </w:r>
          </w:p>
        </w:tc>
        <w:tc>
          <w:tcPr>
            <w:tcW w:w="1644" w:type="dxa"/>
            <w:vAlign w:val="center"/>
          </w:tcPr>
          <w:p w:rsidR="00441607" w:rsidRDefault="00BD29C0">
            <w:pPr>
              <w:jc w:val="right"/>
            </w:pPr>
            <w:r>
              <w:rPr>
                <w:color w:val="000000"/>
                <w:sz w:val="24"/>
                <w:szCs w:val="24"/>
              </w:rPr>
              <w:t>6.87</w:t>
            </w:r>
          </w:p>
        </w:tc>
      </w:tr>
      <w:tr w:rsidR="00441607">
        <w:trPr>
          <w:jc w:val="center"/>
        </w:trPr>
        <w:tc>
          <w:tcPr>
            <w:tcW w:w="855" w:type="dxa"/>
            <w:vAlign w:val="center"/>
          </w:tcPr>
          <w:p w:rsidR="00441607" w:rsidRDefault="00BD29C0">
            <w:pPr>
              <w:jc w:val="center"/>
            </w:pPr>
            <w:r>
              <w:rPr>
                <w:color w:val="000000"/>
                <w:sz w:val="24"/>
                <w:szCs w:val="24"/>
              </w:rPr>
              <w:t>3</w:t>
            </w:r>
          </w:p>
        </w:tc>
        <w:tc>
          <w:tcPr>
            <w:tcW w:w="1334" w:type="dxa"/>
            <w:vAlign w:val="center"/>
          </w:tcPr>
          <w:p w:rsidR="00441607" w:rsidRDefault="00BD29C0">
            <w:pPr>
              <w:jc w:val="center"/>
            </w:pPr>
            <w:r>
              <w:rPr>
                <w:color w:val="000000"/>
                <w:sz w:val="24"/>
                <w:szCs w:val="24"/>
              </w:rPr>
              <w:t>002117</w:t>
            </w:r>
          </w:p>
        </w:tc>
        <w:tc>
          <w:tcPr>
            <w:tcW w:w="1777" w:type="dxa"/>
            <w:vAlign w:val="center"/>
          </w:tcPr>
          <w:p w:rsidR="00441607" w:rsidRDefault="00BD29C0">
            <w:pPr>
              <w:jc w:val="center"/>
            </w:pPr>
            <w:r>
              <w:rPr>
                <w:color w:val="000000"/>
                <w:sz w:val="24"/>
                <w:szCs w:val="24"/>
              </w:rPr>
              <w:t>东港股份</w:t>
            </w:r>
          </w:p>
        </w:tc>
        <w:tc>
          <w:tcPr>
            <w:tcW w:w="1334" w:type="dxa"/>
            <w:vAlign w:val="center"/>
          </w:tcPr>
          <w:p w:rsidR="00441607" w:rsidRDefault="00BD29C0">
            <w:pPr>
              <w:jc w:val="right"/>
            </w:pPr>
            <w:r>
              <w:rPr>
                <w:color w:val="000000"/>
                <w:sz w:val="24"/>
                <w:szCs w:val="24"/>
              </w:rPr>
              <w:t>3,753,076</w:t>
            </w:r>
          </w:p>
        </w:tc>
        <w:tc>
          <w:tcPr>
            <w:tcW w:w="1924" w:type="dxa"/>
            <w:vAlign w:val="center"/>
          </w:tcPr>
          <w:p w:rsidR="00441607" w:rsidRDefault="00BD29C0">
            <w:pPr>
              <w:jc w:val="right"/>
            </w:pPr>
            <w:r>
              <w:rPr>
                <w:color w:val="000000"/>
                <w:sz w:val="24"/>
                <w:szCs w:val="24"/>
              </w:rPr>
              <w:t>172,716,557.52</w:t>
            </w:r>
          </w:p>
        </w:tc>
        <w:tc>
          <w:tcPr>
            <w:tcW w:w="1644" w:type="dxa"/>
            <w:vAlign w:val="center"/>
          </w:tcPr>
          <w:p w:rsidR="00441607" w:rsidRDefault="00BD29C0">
            <w:pPr>
              <w:jc w:val="right"/>
            </w:pPr>
            <w:r>
              <w:rPr>
                <w:color w:val="000000"/>
                <w:sz w:val="24"/>
                <w:szCs w:val="24"/>
              </w:rPr>
              <w:t>6.10</w:t>
            </w:r>
          </w:p>
        </w:tc>
      </w:tr>
      <w:tr w:rsidR="00441607">
        <w:trPr>
          <w:jc w:val="center"/>
        </w:trPr>
        <w:tc>
          <w:tcPr>
            <w:tcW w:w="855" w:type="dxa"/>
            <w:vAlign w:val="center"/>
          </w:tcPr>
          <w:p w:rsidR="00441607" w:rsidRDefault="00BD29C0">
            <w:pPr>
              <w:jc w:val="center"/>
            </w:pPr>
            <w:r>
              <w:rPr>
                <w:color w:val="000000"/>
                <w:sz w:val="24"/>
                <w:szCs w:val="24"/>
              </w:rPr>
              <w:t>4</w:t>
            </w:r>
          </w:p>
        </w:tc>
        <w:tc>
          <w:tcPr>
            <w:tcW w:w="1334" w:type="dxa"/>
            <w:vAlign w:val="center"/>
          </w:tcPr>
          <w:p w:rsidR="00441607" w:rsidRDefault="00BD29C0">
            <w:pPr>
              <w:jc w:val="center"/>
            </w:pPr>
            <w:r>
              <w:rPr>
                <w:color w:val="000000"/>
                <w:sz w:val="24"/>
                <w:szCs w:val="24"/>
              </w:rPr>
              <w:t>300212</w:t>
            </w:r>
          </w:p>
        </w:tc>
        <w:tc>
          <w:tcPr>
            <w:tcW w:w="1777" w:type="dxa"/>
            <w:vAlign w:val="center"/>
          </w:tcPr>
          <w:p w:rsidR="00441607" w:rsidRDefault="00BD29C0">
            <w:pPr>
              <w:jc w:val="center"/>
            </w:pPr>
            <w:r>
              <w:rPr>
                <w:color w:val="000000"/>
                <w:sz w:val="24"/>
                <w:szCs w:val="24"/>
              </w:rPr>
              <w:t>易华录</w:t>
            </w:r>
          </w:p>
        </w:tc>
        <w:tc>
          <w:tcPr>
            <w:tcW w:w="1334" w:type="dxa"/>
            <w:vAlign w:val="center"/>
          </w:tcPr>
          <w:p w:rsidR="00441607" w:rsidRDefault="00BD29C0">
            <w:pPr>
              <w:jc w:val="right"/>
            </w:pPr>
            <w:r>
              <w:rPr>
                <w:color w:val="000000"/>
                <w:sz w:val="24"/>
                <w:szCs w:val="24"/>
              </w:rPr>
              <w:t>3,147,195</w:t>
            </w:r>
          </w:p>
        </w:tc>
        <w:tc>
          <w:tcPr>
            <w:tcW w:w="1924" w:type="dxa"/>
            <w:vAlign w:val="center"/>
          </w:tcPr>
          <w:p w:rsidR="00441607" w:rsidRDefault="00BD29C0">
            <w:pPr>
              <w:jc w:val="right"/>
            </w:pPr>
            <w:r>
              <w:rPr>
                <w:color w:val="000000"/>
                <w:sz w:val="24"/>
                <w:szCs w:val="24"/>
              </w:rPr>
              <w:t>145,305,993.15</w:t>
            </w:r>
          </w:p>
        </w:tc>
        <w:tc>
          <w:tcPr>
            <w:tcW w:w="1644" w:type="dxa"/>
            <w:vAlign w:val="center"/>
          </w:tcPr>
          <w:p w:rsidR="00441607" w:rsidRDefault="00BD29C0">
            <w:pPr>
              <w:jc w:val="right"/>
            </w:pPr>
            <w:r>
              <w:rPr>
                <w:color w:val="000000"/>
                <w:sz w:val="24"/>
                <w:szCs w:val="24"/>
              </w:rPr>
              <w:t>5.13</w:t>
            </w:r>
          </w:p>
        </w:tc>
      </w:tr>
      <w:tr w:rsidR="00441607">
        <w:trPr>
          <w:jc w:val="center"/>
        </w:trPr>
        <w:tc>
          <w:tcPr>
            <w:tcW w:w="855" w:type="dxa"/>
            <w:vAlign w:val="center"/>
          </w:tcPr>
          <w:p w:rsidR="00441607" w:rsidRDefault="00BD29C0">
            <w:pPr>
              <w:jc w:val="center"/>
            </w:pPr>
            <w:r>
              <w:rPr>
                <w:color w:val="000000"/>
                <w:sz w:val="24"/>
                <w:szCs w:val="24"/>
              </w:rPr>
              <w:t>5</w:t>
            </w:r>
          </w:p>
        </w:tc>
        <w:tc>
          <w:tcPr>
            <w:tcW w:w="1334" w:type="dxa"/>
            <w:vAlign w:val="center"/>
          </w:tcPr>
          <w:p w:rsidR="00441607" w:rsidRDefault="00BD29C0">
            <w:pPr>
              <w:jc w:val="center"/>
            </w:pPr>
            <w:r>
              <w:rPr>
                <w:color w:val="000000"/>
                <w:sz w:val="24"/>
                <w:szCs w:val="24"/>
              </w:rPr>
              <w:t>300073</w:t>
            </w:r>
          </w:p>
        </w:tc>
        <w:tc>
          <w:tcPr>
            <w:tcW w:w="1777" w:type="dxa"/>
            <w:vAlign w:val="center"/>
          </w:tcPr>
          <w:p w:rsidR="00441607" w:rsidRDefault="00BD29C0">
            <w:pPr>
              <w:jc w:val="center"/>
            </w:pPr>
            <w:r>
              <w:rPr>
                <w:color w:val="000000"/>
                <w:sz w:val="24"/>
                <w:szCs w:val="24"/>
              </w:rPr>
              <w:t>当升科技</w:t>
            </w:r>
          </w:p>
        </w:tc>
        <w:tc>
          <w:tcPr>
            <w:tcW w:w="1334" w:type="dxa"/>
            <w:vAlign w:val="center"/>
          </w:tcPr>
          <w:p w:rsidR="00441607" w:rsidRDefault="00BD29C0">
            <w:pPr>
              <w:jc w:val="right"/>
            </w:pPr>
            <w:r>
              <w:rPr>
                <w:color w:val="000000"/>
                <w:sz w:val="24"/>
                <w:szCs w:val="24"/>
              </w:rPr>
              <w:t>3,596,151</w:t>
            </w:r>
          </w:p>
        </w:tc>
        <w:tc>
          <w:tcPr>
            <w:tcW w:w="1924" w:type="dxa"/>
            <w:vAlign w:val="center"/>
          </w:tcPr>
          <w:p w:rsidR="00441607" w:rsidRDefault="00BD29C0">
            <w:pPr>
              <w:jc w:val="right"/>
            </w:pPr>
            <w:r>
              <w:rPr>
                <w:color w:val="000000"/>
                <w:sz w:val="24"/>
                <w:szCs w:val="24"/>
              </w:rPr>
              <w:t>139,638,543.33</w:t>
            </w:r>
          </w:p>
        </w:tc>
        <w:tc>
          <w:tcPr>
            <w:tcW w:w="1644" w:type="dxa"/>
            <w:vAlign w:val="center"/>
          </w:tcPr>
          <w:p w:rsidR="00441607" w:rsidRDefault="00BD29C0">
            <w:pPr>
              <w:jc w:val="right"/>
            </w:pPr>
            <w:r>
              <w:rPr>
                <w:color w:val="000000"/>
                <w:sz w:val="24"/>
                <w:szCs w:val="24"/>
              </w:rPr>
              <w:t>4.93</w:t>
            </w:r>
          </w:p>
        </w:tc>
      </w:tr>
      <w:tr w:rsidR="00441607">
        <w:trPr>
          <w:jc w:val="center"/>
        </w:trPr>
        <w:tc>
          <w:tcPr>
            <w:tcW w:w="855" w:type="dxa"/>
            <w:vAlign w:val="center"/>
          </w:tcPr>
          <w:p w:rsidR="00441607" w:rsidRDefault="00BD29C0">
            <w:pPr>
              <w:jc w:val="center"/>
            </w:pPr>
            <w:r>
              <w:rPr>
                <w:color w:val="000000"/>
                <w:sz w:val="24"/>
                <w:szCs w:val="24"/>
              </w:rPr>
              <w:t>6</w:t>
            </w:r>
          </w:p>
        </w:tc>
        <w:tc>
          <w:tcPr>
            <w:tcW w:w="1334" w:type="dxa"/>
            <w:vAlign w:val="center"/>
          </w:tcPr>
          <w:p w:rsidR="00441607" w:rsidRDefault="00BD29C0">
            <w:pPr>
              <w:jc w:val="center"/>
            </w:pPr>
            <w:r>
              <w:rPr>
                <w:color w:val="000000"/>
                <w:sz w:val="24"/>
                <w:szCs w:val="24"/>
              </w:rPr>
              <w:t>300279</w:t>
            </w:r>
          </w:p>
        </w:tc>
        <w:tc>
          <w:tcPr>
            <w:tcW w:w="1777" w:type="dxa"/>
            <w:vAlign w:val="center"/>
          </w:tcPr>
          <w:p w:rsidR="00441607" w:rsidRDefault="00BD29C0">
            <w:pPr>
              <w:jc w:val="center"/>
            </w:pPr>
            <w:r>
              <w:rPr>
                <w:color w:val="000000"/>
                <w:sz w:val="24"/>
                <w:szCs w:val="24"/>
              </w:rPr>
              <w:t>和晶科技</w:t>
            </w:r>
          </w:p>
        </w:tc>
        <w:tc>
          <w:tcPr>
            <w:tcW w:w="1334" w:type="dxa"/>
            <w:vAlign w:val="center"/>
          </w:tcPr>
          <w:p w:rsidR="00441607" w:rsidRDefault="00BD29C0">
            <w:pPr>
              <w:jc w:val="right"/>
            </w:pPr>
            <w:r>
              <w:rPr>
                <w:color w:val="000000"/>
                <w:sz w:val="24"/>
                <w:szCs w:val="24"/>
              </w:rPr>
              <w:t>2,749,728</w:t>
            </w:r>
          </w:p>
        </w:tc>
        <w:tc>
          <w:tcPr>
            <w:tcW w:w="1924" w:type="dxa"/>
            <w:vAlign w:val="center"/>
          </w:tcPr>
          <w:p w:rsidR="00441607" w:rsidRDefault="00BD29C0">
            <w:pPr>
              <w:jc w:val="right"/>
            </w:pPr>
            <w:r>
              <w:rPr>
                <w:color w:val="000000"/>
                <w:sz w:val="24"/>
                <w:szCs w:val="24"/>
              </w:rPr>
              <w:t>136,936,454.40</w:t>
            </w:r>
          </w:p>
        </w:tc>
        <w:tc>
          <w:tcPr>
            <w:tcW w:w="1644" w:type="dxa"/>
            <w:vAlign w:val="center"/>
          </w:tcPr>
          <w:p w:rsidR="00441607" w:rsidRDefault="00BD29C0">
            <w:pPr>
              <w:jc w:val="right"/>
            </w:pPr>
            <w:r>
              <w:rPr>
                <w:color w:val="000000"/>
                <w:sz w:val="24"/>
                <w:szCs w:val="24"/>
              </w:rPr>
              <w:t>4.84</w:t>
            </w:r>
          </w:p>
        </w:tc>
      </w:tr>
      <w:tr w:rsidR="00441607">
        <w:trPr>
          <w:jc w:val="center"/>
        </w:trPr>
        <w:tc>
          <w:tcPr>
            <w:tcW w:w="855" w:type="dxa"/>
            <w:vAlign w:val="center"/>
          </w:tcPr>
          <w:p w:rsidR="00441607" w:rsidRDefault="00BD29C0">
            <w:pPr>
              <w:jc w:val="center"/>
            </w:pPr>
            <w:r>
              <w:rPr>
                <w:color w:val="000000"/>
                <w:sz w:val="24"/>
                <w:szCs w:val="24"/>
              </w:rPr>
              <w:t>7</w:t>
            </w:r>
          </w:p>
        </w:tc>
        <w:tc>
          <w:tcPr>
            <w:tcW w:w="1334" w:type="dxa"/>
            <w:vAlign w:val="center"/>
          </w:tcPr>
          <w:p w:rsidR="00441607" w:rsidRDefault="00BD29C0">
            <w:pPr>
              <w:jc w:val="center"/>
            </w:pPr>
            <w:r>
              <w:rPr>
                <w:color w:val="000000"/>
                <w:sz w:val="24"/>
                <w:szCs w:val="24"/>
              </w:rPr>
              <w:t>002098</w:t>
            </w:r>
          </w:p>
        </w:tc>
        <w:tc>
          <w:tcPr>
            <w:tcW w:w="1777" w:type="dxa"/>
            <w:vAlign w:val="center"/>
          </w:tcPr>
          <w:p w:rsidR="00441607" w:rsidRDefault="00BD29C0">
            <w:pPr>
              <w:jc w:val="center"/>
            </w:pPr>
            <w:r>
              <w:rPr>
                <w:color w:val="000000"/>
                <w:sz w:val="24"/>
                <w:szCs w:val="24"/>
              </w:rPr>
              <w:t>浔兴股份</w:t>
            </w:r>
          </w:p>
        </w:tc>
        <w:tc>
          <w:tcPr>
            <w:tcW w:w="1334" w:type="dxa"/>
            <w:vAlign w:val="center"/>
          </w:tcPr>
          <w:p w:rsidR="00441607" w:rsidRDefault="00BD29C0">
            <w:pPr>
              <w:jc w:val="right"/>
            </w:pPr>
            <w:r>
              <w:rPr>
                <w:color w:val="000000"/>
                <w:sz w:val="24"/>
                <w:szCs w:val="24"/>
              </w:rPr>
              <w:t>8,339,319</w:t>
            </w:r>
          </w:p>
        </w:tc>
        <w:tc>
          <w:tcPr>
            <w:tcW w:w="1924" w:type="dxa"/>
            <w:vAlign w:val="center"/>
          </w:tcPr>
          <w:p w:rsidR="00441607" w:rsidRDefault="00BD29C0">
            <w:pPr>
              <w:jc w:val="right"/>
            </w:pPr>
            <w:r>
              <w:rPr>
                <w:color w:val="000000"/>
                <w:sz w:val="24"/>
                <w:szCs w:val="24"/>
              </w:rPr>
              <w:t>128,925,871.74</w:t>
            </w:r>
          </w:p>
        </w:tc>
        <w:tc>
          <w:tcPr>
            <w:tcW w:w="1644" w:type="dxa"/>
            <w:vAlign w:val="center"/>
          </w:tcPr>
          <w:p w:rsidR="00441607" w:rsidRDefault="00BD29C0">
            <w:pPr>
              <w:jc w:val="right"/>
            </w:pPr>
            <w:r>
              <w:rPr>
                <w:color w:val="000000"/>
                <w:sz w:val="24"/>
                <w:szCs w:val="24"/>
              </w:rPr>
              <w:t>4.55</w:t>
            </w:r>
          </w:p>
        </w:tc>
      </w:tr>
      <w:tr w:rsidR="00441607">
        <w:trPr>
          <w:jc w:val="center"/>
        </w:trPr>
        <w:tc>
          <w:tcPr>
            <w:tcW w:w="855" w:type="dxa"/>
            <w:vAlign w:val="center"/>
          </w:tcPr>
          <w:p w:rsidR="00441607" w:rsidRDefault="00BD29C0">
            <w:pPr>
              <w:jc w:val="center"/>
            </w:pPr>
            <w:r>
              <w:rPr>
                <w:color w:val="000000"/>
                <w:sz w:val="24"/>
                <w:szCs w:val="24"/>
              </w:rPr>
              <w:t>8</w:t>
            </w:r>
          </w:p>
        </w:tc>
        <w:tc>
          <w:tcPr>
            <w:tcW w:w="1334" w:type="dxa"/>
            <w:vAlign w:val="center"/>
          </w:tcPr>
          <w:p w:rsidR="00441607" w:rsidRDefault="00BD29C0">
            <w:pPr>
              <w:jc w:val="center"/>
            </w:pPr>
            <w:r>
              <w:rPr>
                <w:color w:val="000000"/>
                <w:sz w:val="24"/>
                <w:szCs w:val="24"/>
              </w:rPr>
              <w:t>300161</w:t>
            </w:r>
          </w:p>
        </w:tc>
        <w:tc>
          <w:tcPr>
            <w:tcW w:w="1777" w:type="dxa"/>
            <w:vAlign w:val="center"/>
          </w:tcPr>
          <w:p w:rsidR="00441607" w:rsidRDefault="00BD29C0">
            <w:pPr>
              <w:jc w:val="center"/>
            </w:pPr>
            <w:r>
              <w:rPr>
                <w:color w:val="000000"/>
                <w:sz w:val="24"/>
                <w:szCs w:val="24"/>
              </w:rPr>
              <w:t>华中数控</w:t>
            </w:r>
          </w:p>
        </w:tc>
        <w:tc>
          <w:tcPr>
            <w:tcW w:w="1334" w:type="dxa"/>
            <w:vAlign w:val="center"/>
          </w:tcPr>
          <w:p w:rsidR="00441607" w:rsidRDefault="00BD29C0">
            <w:pPr>
              <w:jc w:val="right"/>
            </w:pPr>
            <w:r>
              <w:rPr>
                <w:color w:val="000000"/>
                <w:sz w:val="24"/>
                <w:szCs w:val="24"/>
              </w:rPr>
              <w:t>3,408,780</w:t>
            </w:r>
          </w:p>
        </w:tc>
        <w:tc>
          <w:tcPr>
            <w:tcW w:w="1924" w:type="dxa"/>
            <w:vAlign w:val="center"/>
          </w:tcPr>
          <w:p w:rsidR="00441607" w:rsidRDefault="00BD29C0">
            <w:pPr>
              <w:jc w:val="right"/>
            </w:pPr>
            <w:r>
              <w:rPr>
                <w:color w:val="000000"/>
                <w:sz w:val="24"/>
                <w:szCs w:val="24"/>
              </w:rPr>
              <w:t>125,170,401.60</w:t>
            </w:r>
          </w:p>
        </w:tc>
        <w:tc>
          <w:tcPr>
            <w:tcW w:w="1644" w:type="dxa"/>
            <w:vAlign w:val="center"/>
          </w:tcPr>
          <w:p w:rsidR="00441607" w:rsidRDefault="00BD29C0">
            <w:pPr>
              <w:jc w:val="right"/>
            </w:pPr>
            <w:r>
              <w:rPr>
                <w:color w:val="000000"/>
                <w:sz w:val="24"/>
                <w:szCs w:val="24"/>
              </w:rPr>
              <w:t>4.42</w:t>
            </w:r>
          </w:p>
        </w:tc>
      </w:tr>
      <w:tr w:rsidR="00441607">
        <w:trPr>
          <w:jc w:val="center"/>
        </w:trPr>
        <w:tc>
          <w:tcPr>
            <w:tcW w:w="855" w:type="dxa"/>
            <w:vAlign w:val="center"/>
          </w:tcPr>
          <w:p w:rsidR="00441607" w:rsidRDefault="00BD29C0">
            <w:pPr>
              <w:jc w:val="center"/>
            </w:pPr>
            <w:r>
              <w:rPr>
                <w:color w:val="000000"/>
                <w:sz w:val="24"/>
                <w:szCs w:val="24"/>
              </w:rPr>
              <w:t>9</w:t>
            </w:r>
          </w:p>
        </w:tc>
        <w:tc>
          <w:tcPr>
            <w:tcW w:w="1334" w:type="dxa"/>
            <w:vAlign w:val="center"/>
          </w:tcPr>
          <w:p w:rsidR="00441607" w:rsidRDefault="00BD29C0">
            <w:pPr>
              <w:jc w:val="center"/>
            </w:pPr>
            <w:r>
              <w:rPr>
                <w:color w:val="000000"/>
                <w:sz w:val="24"/>
                <w:szCs w:val="24"/>
              </w:rPr>
              <w:t>300262</w:t>
            </w:r>
          </w:p>
        </w:tc>
        <w:tc>
          <w:tcPr>
            <w:tcW w:w="1777" w:type="dxa"/>
            <w:vAlign w:val="center"/>
          </w:tcPr>
          <w:p w:rsidR="00441607" w:rsidRDefault="00BD29C0">
            <w:pPr>
              <w:jc w:val="center"/>
            </w:pPr>
            <w:r>
              <w:rPr>
                <w:color w:val="000000"/>
                <w:sz w:val="24"/>
                <w:szCs w:val="24"/>
              </w:rPr>
              <w:t>巴安水务</w:t>
            </w:r>
          </w:p>
        </w:tc>
        <w:tc>
          <w:tcPr>
            <w:tcW w:w="1334" w:type="dxa"/>
            <w:vAlign w:val="center"/>
          </w:tcPr>
          <w:p w:rsidR="00441607" w:rsidRDefault="00BD29C0">
            <w:pPr>
              <w:jc w:val="right"/>
            </w:pPr>
            <w:r>
              <w:rPr>
                <w:color w:val="000000"/>
                <w:sz w:val="24"/>
                <w:szCs w:val="24"/>
              </w:rPr>
              <w:t>6,322,507</w:t>
            </w:r>
          </w:p>
        </w:tc>
        <w:tc>
          <w:tcPr>
            <w:tcW w:w="1924" w:type="dxa"/>
            <w:vAlign w:val="center"/>
          </w:tcPr>
          <w:p w:rsidR="00441607" w:rsidRDefault="00BD29C0">
            <w:pPr>
              <w:jc w:val="right"/>
            </w:pPr>
            <w:r>
              <w:rPr>
                <w:color w:val="000000"/>
                <w:sz w:val="24"/>
                <w:szCs w:val="24"/>
              </w:rPr>
              <w:t>117,408,954.99</w:t>
            </w:r>
          </w:p>
        </w:tc>
        <w:tc>
          <w:tcPr>
            <w:tcW w:w="1644" w:type="dxa"/>
            <w:vAlign w:val="center"/>
          </w:tcPr>
          <w:p w:rsidR="00441607" w:rsidRDefault="00BD29C0">
            <w:pPr>
              <w:jc w:val="right"/>
            </w:pPr>
            <w:r>
              <w:rPr>
                <w:color w:val="000000"/>
                <w:sz w:val="24"/>
                <w:szCs w:val="24"/>
              </w:rPr>
              <w:t>4.15</w:t>
            </w:r>
          </w:p>
        </w:tc>
      </w:tr>
      <w:tr w:rsidR="00441607">
        <w:trPr>
          <w:jc w:val="center"/>
        </w:trPr>
        <w:tc>
          <w:tcPr>
            <w:tcW w:w="855" w:type="dxa"/>
            <w:vAlign w:val="center"/>
          </w:tcPr>
          <w:p w:rsidR="00441607" w:rsidRDefault="00BD29C0">
            <w:pPr>
              <w:jc w:val="center"/>
            </w:pPr>
            <w:r>
              <w:rPr>
                <w:color w:val="000000"/>
                <w:sz w:val="24"/>
                <w:szCs w:val="24"/>
              </w:rPr>
              <w:t>10</w:t>
            </w:r>
          </w:p>
        </w:tc>
        <w:tc>
          <w:tcPr>
            <w:tcW w:w="1334" w:type="dxa"/>
            <w:vAlign w:val="center"/>
          </w:tcPr>
          <w:p w:rsidR="00441607" w:rsidRDefault="00BD29C0">
            <w:pPr>
              <w:jc w:val="center"/>
            </w:pPr>
            <w:r>
              <w:rPr>
                <w:color w:val="000000"/>
                <w:sz w:val="24"/>
                <w:szCs w:val="24"/>
              </w:rPr>
              <w:t>002390</w:t>
            </w:r>
          </w:p>
        </w:tc>
        <w:tc>
          <w:tcPr>
            <w:tcW w:w="1777" w:type="dxa"/>
            <w:vAlign w:val="center"/>
          </w:tcPr>
          <w:p w:rsidR="00441607" w:rsidRDefault="00BD29C0">
            <w:pPr>
              <w:jc w:val="center"/>
            </w:pPr>
            <w:r>
              <w:rPr>
                <w:color w:val="000000"/>
                <w:sz w:val="24"/>
                <w:szCs w:val="24"/>
              </w:rPr>
              <w:t>信邦制药</w:t>
            </w:r>
          </w:p>
        </w:tc>
        <w:tc>
          <w:tcPr>
            <w:tcW w:w="1334" w:type="dxa"/>
            <w:vAlign w:val="center"/>
          </w:tcPr>
          <w:p w:rsidR="00441607" w:rsidRDefault="00BD29C0">
            <w:pPr>
              <w:jc w:val="right"/>
            </w:pPr>
            <w:r>
              <w:rPr>
                <w:color w:val="000000"/>
                <w:sz w:val="24"/>
                <w:szCs w:val="24"/>
              </w:rPr>
              <w:t>8,134,160</w:t>
            </w:r>
          </w:p>
        </w:tc>
        <w:tc>
          <w:tcPr>
            <w:tcW w:w="1924" w:type="dxa"/>
            <w:vAlign w:val="center"/>
          </w:tcPr>
          <w:p w:rsidR="00441607" w:rsidRDefault="00BD29C0">
            <w:pPr>
              <w:jc w:val="right"/>
            </w:pPr>
            <w:r>
              <w:rPr>
                <w:color w:val="000000"/>
                <w:sz w:val="24"/>
                <w:szCs w:val="24"/>
              </w:rPr>
              <w:t>116,725,196.00</w:t>
            </w:r>
          </w:p>
        </w:tc>
        <w:tc>
          <w:tcPr>
            <w:tcW w:w="1644" w:type="dxa"/>
            <w:vAlign w:val="center"/>
          </w:tcPr>
          <w:p w:rsidR="00441607" w:rsidRDefault="00BD29C0">
            <w:pPr>
              <w:jc w:val="right"/>
            </w:pPr>
            <w:r>
              <w:rPr>
                <w:color w:val="000000"/>
                <w:sz w:val="24"/>
                <w:szCs w:val="24"/>
              </w:rPr>
              <w:t>4.12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2,089,894.01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45,287.48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12,463,958.18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14,599,139.67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027940" w:rsidRPr="00414345" w:rsidTr="00445492">
        <w:trPr>
          <w:jc w:val="center"/>
        </w:trPr>
        <w:tc>
          <w:tcPr>
            <w:tcW w:w="1083" w:type="dxa"/>
            <w:vAlign w:val="center"/>
          </w:tcPr>
          <w:p w:rsidR="00027940" w:rsidRPr="00027940" w:rsidRDefault="00027940" w:rsidP="00445492">
            <w:pPr>
              <w:spacing w:before="29" w:line="288" w:lineRule="auto"/>
              <w:ind w:left="17"/>
              <w:jc w:val="center"/>
              <w:rPr>
                <w:color w:val="000000"/>
                <w:sz w:val="24"/>
                <w:szCs w:val="24"/>
              </w:rPr>
            </w:pPr>
            <w:r w:rsidRPr="00027940">
              <w:rPr>
                <w:color w:val="000000"/>
                <w:sz w:val="24"/>
                <w:szCs w:val="24"/>
              </w:rPr>
              <w:t>序号</w:t>
            </w:r>
          </w:p>
        </w:tc>
        <w:tc>
          <w:tcPr>
            <w:tcW w:w="1302" w:type="dxa"/>
            <w:vAlign w:val="center"/>
          </w:tcPr>
          <w:p w:rsidR="00027940" w:rsidRPr="00027940" w:rsidRDefault="00027940" w:rsidP="00445492">
            <w:pPr>
              <w:spacing w:before="29" w:line="288" w:lineRule="auto"/>
              <w:ind w:left="17"/>
              <w:jc w:val="center"/>
              <w:rPr>
                <w:color w:val="000000"/>
                <w:sz w:val="24"/>
                <w:szCs w:val="24"/>
              </w:rPr>
            </w:pPr>
            <w:r w:rsidRPr="00027940">
              <w:rPr>
                <w:color w:val="000000"/>
                <w:sz w:val="24"/>
                <w:szCs w:val="24"/>
              </w:rPr>
              <w:t>股票代码</w:t>
            </w:r>
          </w:p>
        </w:tc>
        <w:tc>
          <w:tcPr>
            <w:tcW w:w="1301" w:type="dxa"/>
            <w:vAlign w:val="center"/>
          </w:tcPr>
          <w:p w:rsidR="00027940" w:rsidRPr="00027940" w:rsidRDefault="00027940" w:rsidP="00445492">
            <w:pPr>
              <w:spacing w:before="29" w:line="288" w:lineRule="auto"/>
              <w:ind w:left="17"/>
              <w:jc w:val="center"/>
              <w:rPr>
                <w:color w:val="000000"/>
                <w:sz w:val="24"/>
                <w:szCs w:val="24"/>
              </w:rPr>
            </w:pPr>
            <w:r w:rsidRPr="00027940">
              <w:rPr>
                <w:color w:val="000000"/>
                <w:sz w:val="24"/>
                <w:szCs w:val="24"/>
              </w:rPr>
              <w:t>股票名称</w:t>
            </w:r>
          </w:p>
        </w:tc>
        <w:tc>
          <w:tcPr>
            <w:tcW w:w="1805" w:type="dxa"/>
            <w:vAlign w:val="center"/>
          </w:tcPr>
          <w:p w:rsidR="00027940" w:rsidRPr="00027940" w:rsidRDefault="00027940" w:rsidP="00445492">
            <w:pPr>
              <w:spacing w:before="29" w:line="288" w:lineRule="auto"/>
              <w:ind w:left="17"/>
              <w:jc w:val="center"/>
              <w:rPr>
                <w:color w:val="000000"/>
                <w:sz w:val="24"/>
                <w:szCs w:val="24"/>
              </w:rPr>
            </w:pPr>
            <w:r w:rsidRPr="00027940">
              <w:rPr>
                <w:color w:val="000000"/>
                <w:sz w:val="24"/>
                <w:szCs w:val="24"/>
              </w:rPr>
              <w:t>流通受限部分的公允价值</w:t>
            </w:r>
            <w:r w:rsidRPr="00027940">
              <w:rPr>
                <w:color w:val="000000"/>
                <w:sz w:val="24"/>
                <w:szCs w:val="24"/>
              </w:rPr>
              <w:t>(</w:t>
            </w:r>
            <w:r w:rsidRPr="00027940">
              <w:rPr>
                <w:color w:val="000000"/>
                <w:sz w:val="24"/>
                <w:szCs w:val="24"/>
              </w:rPr>
              <w:t>元</w:t>
            </w:r>
            <w:r w:rsidRPr="00027940">
              <w:rPr>
                <w:color w:val="000000"/>
                <w:sz w:val="24"/>
                <w:szCs w:val="24"/>
              </w:rPr>
              <w:t>)</w:t>
            </w:r>
          </w:p>
        </w:tc>
        <w:tc>
          <w:tcPr>
            <w:tcW w:w="1655" w:type="dxa"/>
            <w:vAlign w:val="center"/>
          </w:tcPr>
          <w:p w:rsidR="00027940" w:rsidRPr="00027940" w:rsidRDefault="00027940" w:rsidP="00445492">
            <w:pPr>
              <w:spacing w:before="29" w:line="288" w:lineRule="auto"/>
              <w:ind w:left="17"/>
              <w:jc w:val="center"/>
              <w:rPr>
                <w:color w:val="000000"/>
                <w:sz w:val="24"/>
                <w:szCs w:val="24"/>
              </w:rPr>
            </w:pPr>
            <w:r w:rsidRPr="00027940">
              <w:rPr>
                <w:color w:val="000000"/>
                <w:sz w:val="24"/>
                <w:szCs w:val="24"/>
              </w:rPr>
              <w:t>占基金资产净值比例</w:t>
            </w:r>
            <w:r w:rsidRPr="00027940">
              <w:rPr>
                <w:color w:val="000000"/>
                <w:sz w:val="24"/>
                <w:szCs w:val="24"/>
              </w:rPr>
              <w:t>(</w:t>
            </w:r>
            <w:r w:rsidRPr="00027940">
              <w:rPr>
                <w:color w:val="000000"/>
                <w:sz w:val="24"/>
                <w:szCs w:val="24"/>
              </w:rPr>
              <w:t>％</w:t>
            </w:r>
            <w:r w:rsidRPr="00027940">
              <w:rPr>
                <w:color w:val="000000"/>
                <w:sz w:val="24"/>
                <w:szCs w:val="24"/>
              </w:rPr>
              <w:t>)</w:t>
            </w:r>
          </w:p>
        </w:tc>
        <w:tc>
          <w:tcPr>
            <w:tcW w:w="1367" w:type="dxa"/>
            <w:vAlign w:val="center"/>
          </w:tcPr>
          <w:p w:rsidR="00027940" w:rsidRPr="00027940" w:rsidRDefault="00027940" w:rsidP="00445492">
            <w:pPr>
              <w:spacing w:before="29" w:line="288" w:lineRule="auto"/>
              <w:ind w:left="17"/>
              <w:jc w:val="center"/>
              <w:rPr>
                <w:color w:val="000000"/>
                <w:sz w:val="24"/>
                <w:szCs w:val="24"/>
              </w:rPr>
            </w:pPr>
            <w:r w:rsidRPr="00027940">
              <w:rPr>
                <w:color w:val="000000"/>
                <w:sz w:val="24"/>
                <w:szCs w:val="24"/>
              </w:rPr>
              <w:t>流通受限情况说明</w:t>
            </w:r>
          </w:p>
        </w:tc>
      </w:tr>
      <w:tr w:rsidR="00027940" w:rsidTr="00445492">
        <w:trPr>
          <w:jc w:val="center"/>
        </w:trPr>
        <w:tc>
          <w:tcPr>
            <w:tcW w:w="1129" w:type="dxa"/>
            <w:vAlign w:val="center"/>
          </w:tcPr>
          <w:p w:rsidR="00027940" w:rsidRPr="00027940" w:rsidRDefault="00027940" w:rsidP="00445492">
            <w:pPr>
              <w:jc w:val="center"/>
            </w:pPr>
            <w:r w:rsidRPr="00027940">
              <w:rPr>
                <w:color w:val="000000"/>
                <w:sz w:val="24"/>
                <w:szCs w:val="24"/>
              </w:rPr>
              <w:t>1</w:t>
            </w:r>
          </w:p>
        </w:tc>
        <w:tc>
          <w:tcPr>
            <w:tcW w:w="1356" w:type="dxa"/>
            <w:vAlign w:val="center"/>
          </w:tcPr>
          <w:p w:rsidR="00027940" w:rsidRPr="00027940" w:rsidRDefault="00027940" w:rsidP="00445492">
            <w:pPr>
              <w:jc w:val="center"/>
            </w:pPr>
            <w:r w:rsidRPr="00027940">
              <w:rPr>
                <w:color w:val="000000"/>
                <w:sz w:val="24"/>
                <w:szCs w:val="24"/>
              </w:rPr>
              <w:t>300365</w:t>
            </w:r>
          </w:p>
        </w:tc>
        <w:tc>
          <w:tcPr>
            <w:tcW w:w="1355" w:type="dxa"/>
            <w:vAlign w:val="center"/>
          </w:tcPr>
          <w:p w:rsidR="00027940" w:rsidRPr="00027940" w:rsidRDefault="00027940" w:rsidP="00445492">
            <w:pPr>
              <w:jc w:val="center"/>
            </w:pPr>
            <w:r w:rsidRPr="00027940">
              <w:rPr>
                <w:color w:val="000000"/>
                <w:sz w:val="24"/>
                <w:szCs w:val="24"/>
              </w:rPr>
              <w:t>恒华科技</w:t>
            </w:r>
          </w:p>
        </w:tc>
        <w:tc>
          <w:tcPr>
            <w:tcW w:w="1880" w:type="dxa"/>
            <w:vAlign w:val="center"/>
          </w:tcPr>
          <w:p w:rsidR="00027940" w:rsidRPr="00027940" w:rsidRDefault="00027940" w:rsidP="00445492">
            <w:pPr>
              <w:jc w:val="right"/>
            </w:pPr>
            <w:r w:rsidRPr="00027940">
              <w:rPr>
                <w:color w:val="000000"/>
                <w:sz w:val="24"/>
                <w:szCs w:val="24"/>
              </w:rPr>
              <w:t>264,403,458.10</w:t>
            </w:r>
          </w:p>
        </w:tc>
        <w:tc>
          <w:tcPr>
            <w:tcW w:w="1724" w:type="dxa"/>
            <w:vAlign w:val="center"/>
          </w:tcPr>
          <w:p w:rsidR="00027940" w:rsidRPr="00027940" w:rsidRDefault="00027940" w:rsidP="00445492">
            <w:pPr>
              <w:jc w:val="right"/>
            </w:pPr>
            <w:r w:rsidRPr="00027940">
              <w:rPr>
                <w:color w:val="000000"/>
                <w:sz w:val="24"/>
                <w:szCs w:val="24"/>
              </w:rPr>
              <w:t>9.34</w:t>
            </w:r>
          </w:p>
        </w:tc>
        <w:tc>
          <w:tcPr>
            <w:tcW w:w="1424" w:type="dxa"/>
            <w:vAlign w:val="center"/>
          </w:tcPr>
          <w:p w:rsidR="00027940" w:rsidRPr="00027940" w:rsidRDefault="00027940" w:rsidP="00445492">
            <w:pPr>
              <w:jc w:val="right"/>
            </w:pPr>
            <w:r w:rsidRPr="00027940">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1,296,259,783.23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593,678,403.65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576,302,472.48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1,313,635,714.40</w:t>
            </w:r>
          </w:p>
        </w:tc>
      </w:tr>
    </w:tbl>
    <w:p w:rsidR="00441607" w:rsidRDefault="00BD29C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鉴于交银施罗德先锋混合型证券投资基金的业绩比较基准的指数停止计算编制，本基金管理人根据基金合同的相关约定，经与基金托管人协商一致，并报中国证监会备案，决定自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日起将交银施罗德先锋混合型证券投资基金的业绩比较基准由原</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41607" w:rsidRDefault="00BD29C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441607" w:rsidRDefault="00BD29C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441607" w:rsidRDefault="00BD29C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441607" w:rsidRDefault="00BD29C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441607" w:rsidRDefault="00BD29C0">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441607" w:rsidRDefault="00BD29C0">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441607" w:rsidRDefault="00BD29C0">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41607" w:rsidRDefault="00BD29C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FD59C8">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FD59C8">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27940"/>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1607"/>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29C0"/>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9C8"/>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E3B72D5F-2942-4B63-B2CD-BBBEF234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44EB-ACAA-45BB-AAB5-4B174A51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11</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563</cp:revision>
  <dcterms:created xsi:type="dcterms:W3CDTF">2012-10-16T06:07:00Z</dcterms:created>
  <dcterms:modified xsi:type="dcterms:W3CDTF">2016-01-18T06:13:00Z</dcterms:modified>
</cp:coreProperties>
</file>