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B4ACB" w:rsidRDefault="002E6BD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B4ACB" w:rsidRDefault="002E6BD4">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B4ACB" w:rsidRDefault="002E6BD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FB4ACB" w:rsidRDefault="002E6BD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B4ACB" w:rsidRDefault="002E6BD4">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109,825,066.69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r w:rsidRPr="00414345">
        <w:rPr>
          <w:color w:val="000000"/>
          <w:sz w:val="24"/>
          <w:szCs w:val="24"/>
        </w:rPr>
        <w:t xml:space="preserve"> </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E6BD4" w:rsidRPr="00414345" w:rsidTr="002E6BD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2E6BD4" w:rsidRPr="00414345" w:rsidTr="002E6BD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51,573,520.71</w:t>
            </w:r>
          </w:p>
        </w:tc>
      </w:tr>
      <w:tr w:rsidR="002E6BD4" w:rsidRPr="00414345" w:rsidTr="002E6BD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71,669,046.95</w:t>
            </w:r>
          </w:p>
        </w:tc>
      </w:tr>
      <w:tr w:rsidR="002E6BD4" w:rsidRPr="00414345" w:rsidTr="002E6BD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0.6809</w:t>
            </w:r>
          </w:p>
        </w:tc>
      </w:tr>
      <w:tr w:rsidR="002E6BD4" w:rsidRPr="00414345" w:rsidTr="002E6BD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297,483,129.15</w:t>
            </w:r>
          </w:p>
        </w:tc>
      </w:tr>
      <w:tr w:rsidR="002E6BD4" w:rsidRPr="00414345" w:rsidTr="002E6BD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2.709</w:t>
            </w:r>
          </w:p>
        </w:tc>
      </w:tr>
    </w:tbl>
    <w:p w:rsidR="00FB4ACB" w:rsidRDefault="002E6BD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B4ACB">
        <w:trPr>
          <w:jc w:val="center"/>
        </w:trPr>
        <w:tc>
          <w:tcPr>
            <w:tcW w:w="1701" w:type="dxa"/>
            <w:vAlign w:val="center"/>
          </w:tcPr>
          <w:p w:rsidR="00FB4ACB" w:rsidRDefault="002E6BD4">
            <w:pPr>
              <w:jc w:val="left"/>
            </w:pPr>
            <w:r>
              <w:rPr>
                <w:color w:val="000000"/>
                <w:sz w:val="24"/>
                <w:szCs w:val="24"/>
              </w:rPr>
              <w:t>过去三个月</w:t>
            </w:r>
          </w:p>
        </w:tc>
        <w:tc>
          <w:tcPr>
            <w:tcW w:w="1045" w:type="dxa"/>
            <w:vAlign w:val="center"/>
          </w:tcPr>
          <w:p w:rsidR="00FB4ACB" w:rsidRDefault="002E6BD4">
            <w:pPr>
              <w:jc w:val="center"/>
            </w:pPr>
            <w:r>
              <w:rPr>
                <w:color w:val="000000"/>
                <w:sz w:val="24"/>
                <w:szCs w:val="24"/>
              </w:rPr>
              <w:t>34.18%</w:t>
            </w:r>
          </w:p>
        </w:tc>
        <w:tc>
          <w:tcPr>
            <w:tcW w:w="1344" w:type="dxa"/>
            <w:vAlign w:val="center"/>
          </w:tcPr>
          <w:p w:rsidR="00FB4ACB" w:rsidRDefault="002E6BD4">
            <w:pPr>
              <w:jc w:val="center"/>
            </w:pPr>
            <w:r>
              <w:rPr>
                <w:color w:val="000000"/>
                <w:sz w:val="24"/>
                <w:szCs w:val="24"/>
              </w:rPr>
              <w:t>1.67%</w:t>
            </w:r>
          </w:p>
        </w:tc>
        <w:tc>
          <w:tcPr>
            <w:tcW w:w="1194" w:type="dxa"/>
            <w:vAlign w:val="center"/>
          </w:tcPr>
          <w:p w:rsidR="00FB4ACB" w:rsidRDefault="002E6BD4">
            <w:pPr>
              <w:jc w:val="center"/>
            </w:pPr>
            <w:r>
              <w:rPr>
                <w:color w:val="000000"/>
                <w:sz w:val="24"/>
                <w:szCs w:val="24"/>
              </w:rPr>
              <w:t>10.87%</w:t>
            </w:r>
          </w:p>
        </w:tc>
        <w:tc>
          <w:tcPr>
            <w:tcW w:w="1492" w:type="dxa"/>
            <w:vAlign w:val="center"/>
          </w:tcPr>
          <w:p w:rsidR="00FB4ACB" w:rsidRDefault="002E6BD4">
            <w:pPr>
              <w:jc w:val="center"/>
            </w:pPr>
            <w:r>
              <w:rPr>
                <w:color w:val="000000"/>
                <w:sz w:val="24"/>
                <w:szCs w:val="24"/>
              </w:rPr>
              <w:t>1.00%</w:t>
            </w:r>
          </w:p>
        </w:tc>
        <w:tc>
          <w:tcPr>
            <w:tcW w:w="1194" w:type="dxa"/>
            <w:vAlign w:val="center"/>
          </w:tcPr>
          <w:p w:rsidR="00FB4ACB" w:rsidRDefault="002E6BD4">
            <w:pPr>
              <w:jc w:val="center"/>
            </w:pPr>
            <w:r>
              <w:rPr>
                <w:color w:val="000000"/>
                <w:sz w:val="24"/>
                <w:szCs w:val="24"/>
              </w:rPr>
              <w:t>23.31%</w:t>
            </w:r>
          </w:p>
        </w:tc>
        <w:tc>
          <w:tcPr>
            <w:tcW w:w="898" w:type="dxa"/>
            <w:vAlign w:val="center"/>
          </w:tcPr>
          <w:p w:rsidR="00FB4ACB" w:rsidRDefault="002E6BD4">
            <w:pPr>
              <w:jc w:val="center"/>
            </w:pPr>
            <w:r>
              <w:rPr>
                <w:color w:val="000000"/>
                <w:sz w:val="24"/>
                <w:szCs w:val="24"/>
              </w:rPr>
              <w:t>0.67%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w:t>
      </w:r>
      <w:r w:rsidR="002E6BD4">
        <w:rPr>
          <w:rFonts w:ascii="Times New Roman" w:hAnsi="Times New Roman" w:cs="Times New Roman"/>
          <w:sz w:val="24"/>
          <w:szCs w:val="24"/>
        </w:rPr>
        <w:t>12</w:t>
      </w:r>
      <w:r w:rsidR="0042009D" w:rsidRPr="00414345">
        <w:rPr>
          <w:rFonts w:ascii="Times New Roman" w:hAnsi="Times New Roman" w:cs="Times New Roman"/>
          <w:sz w:val="24"/>
          <w:szCs w:val="24"/>
        </w:rPr>
        <w:t>年</w:t>
      </w:r>
      <w:r w:rsidR="002E6BD4">
        <w:rPr>
          <w:rFonts w:ascii="Times New Roman" w:hAnsi="Times New Roman" w:cs="Times New Roman"/>
          <w:sz w:val="24"/>
          <w:szCs w:val="24"/>
        </w:rPr>
        <w:t>2</w:t>
      </w:r>
      <w:r w:rsidR="0042009D" w:rsidRPr="00414345">
        <w:rPr>
          <w:rFonts w:ascii="Times New Roman" w:hAnsi="Times New Roman" w:cs="Times New Roman"/>
          <w:sz w:val="24"/>
          <w:szCs w:val="24"/>
        </w:rPr>
        <w:t>月</w:t>
      </w:r>
      <w:r w:rsidR="002E6BD4">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注：交银施罗德优势行业灵活配置混合型证券投资基金由交银施罗德保本混合型证券投资基金转型而来。基金转型日为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日。交银施罗德优势行业灵活配置混合型证券投资基金的投资转型期为交银施罗德保本混合型证券投资基金保本周期到期选择期截止日次日（即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个月。截至投资转型期结束，交银施罗德优势行业灵活配置混合型证券投资基金各项资产配置比例符合基金合同及招募说明书有关投资比例的约定。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B4ACB">
        <w:trPr>
          <w:jc w:val="center"/>
        </w:trPr>
        <w:tc>
          <w:tcPr>
            <w:tcW w:w="846" w:type="dxa"/>
            <w:vAlign w:val="center"/>
          </w:tcPr>
          <w:p w:rsidR="00FB4ACB" w:rsidRDefault="002E6BD4">
            <w:pPr>
              <w:jc w:val="center"/>
            </w:pPr>
            <w:r>
              <w:rPr>
                <w:color w:val="000000"/>
                <w:sz w:val="24"/>
                <w:szCs w:val="24"/>
              </w:rPr>
              <w:t>何帅</w:t>
            </w:r>
          </w:p>
        </w:tc>
        <w:tc>
          <w:tcPr>
            <w:tcW w:w="845" w:type="dxa"/>
            <w:vAlign w:val="center"/>
          </w:tcPr>
          <w:p w:rsidR="00FB4ACB" w:rsidRDefault="002E6BD4">
            <w:pPr>
              <w:jc w:val="center"/>
            </w:pPr>
            <w:r>
              <w:rPr>
                <w:color w:val="000000"/>
                <w:sz w:val="24"/>
                <w:szCs w:val="24"/>
              </w:rPr>
              <w:t>交银优势行业混合、交银阿尔法核心混合的基金经理</w:t>
            </w:r>
          </w:p>
        </w:tc>
        <w:tc>
          <w:tcPr>
            <w:tcW w:w="1549" w:type="dxa"/>
            <w:vAlign w:val="center"/>
          </w:tcPr>
          <w:p w:rsidR="00FB4ACB" w:rsidRDefault="002E6BD4">
            <w:pPr>
              <w:jc w:val="center"/>
            </w:pPr>
            <w:r>
              <w:rPr>
                <w:color w:val="000000"/>
                <w:sz w:val="24"/>
                <w:szCs w:val="24"/>
              </w:rPr>
              <w:t>2015-07-09</w:t>
            </w:r>
          </w:p>
        </w:tc>
        <w:tc>
          <w:tcPr>
            <w:tcW w:w="1548" w:type="dxa"/>
            <w:vAlign w:val="center"/>
          </w:tcPr>
          <w:p w:rsidR="00FB4ACB" w:rsidRDefault="002E6BD4">
            <w:pPr>
              <w:jc w:val="center"/>
            </w:pPr>
            <w:r>
              <w:rPr>
                <w:color w:val="000000"/>
                <w:sz w:val="24"/>
                <w:szCs w:val="24"/>
              </w:rPr>
              <w:t>-</w:t>
            </w:r>
          </w:p>
        </w:tc>
        <w:tc>
          <w:tcPr>
            <w:tcW w:w="1407" w:type="dxa"/>
            <w:vAlign w:val="center"/>
          </w:tcPr>
          <w:p w:rsidR="00FB4ACB" w:rsidRDefault="002E6BD4">
            <w:pPr>
              <w:jc w:val="center"/>
            </w:pPr>
            <w:r>
              <w:rPr>
                <w:color w:val="000000"/>
                <w:sz w:val="24"/>
                <w:szCs w:val="24"/>
              </w:rPr>
              <w:t>5</w:t>
            </w:r>
            <w:r>
              <w:rPr>
                <w:color w:val="000000"/>
                <w:sz w:val="24"/>
                <w:szCs w:val="24"/>
              </w:rPr>
              <w:t>年</w:t>
            </w:r>
          </w:p>
        </w:tc>
        <w:tc>
          <w:tcPr>
            <w:tcW w:w="2673" w:type="dxa"/>
            <w:vAlign w:val="center"/>
          </w:tcPr>
          <w:p w:rsidR="00FB4ACB" w:rsidRDefault="002E6BD4">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B4ACB" w:rsidRDefault="002E6BD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B4ACB" w:rsidRDefault="002E6BD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B4ACB" w:rsidRDefault="002E6BD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B4ACB" w:rsidRDefault="002E6BD4">
      <w:pPr>
        <w:spacing w:before="29" w:line="288" w:lineRule="auto"/>
        <w:ind w:firstLineChars="200" w:firstLine="480"/>
        <w:rPr>
          <w:color w:val="000000"/>
          <w:sz w:val="24"/>
          <w:szCs w:val="24"/>
        </w:rPr>
      </w:pPr>
      <w:r>
        <w:rPr>
          <w:color w:val="000000"/>
          <w:sz w:val="24"/>
          <w:szCs w:val="24"/>
        </w:rPr>
        <w:t>2015</w:t>
      </w:r>
      <w:r>
        <w:rPr>
          <w:color w:val="000000"/>
          <w:sz w:val="24"/>
          <w:szCs w:val="24"/>
        </w:rPr>
        <w:t>年四季度，季度初市场由于美联储加息延后等事件催化，风险偏好明显上升，各类热点快速轮动。如</w:t>
      </w:r>
      <w:r>
        <w:rPr>
          <w:color w:val="000000"/>
          <w:sz w:val="24"/>
          <w:szCs w:val="24"/>
        </w:rPr>
        <w:t>10</w:t>
      </w:r>
      <w:r>
        <w:rPr>
          <w:color w:val="000000"/>
          <w:sz w:val="24"/>
          <w:szCs w:val="24"/>
        </w:rPr>
        <w:t>月份主要以</w:t>
      </w:r>
      <w:r>
        <w:rPr>
          <w:color w:val="000000"/>
          <w:sz w:val="24"/>
          <w:szCs w:val="24"/>
        </w:rPr>
        <w:t>IP</w:t>
      </w:r>
      <w:r>
        <w:rPr>
          <w:color w:val="000000"/>
          <w:sz w:val="24"/>
          <w:szCs w:val="24"/>
        </w:rPr>
        <w:t>资源为主的传媒行业表现出众，</w:t>
      </w:r>
      <w:r>
        <w:rPr>
          <w:color w:val="000000"/>
          <w:sz w:val="24"/>
          <w:szCs w:val="24"/>
        </w:rPr>
        <w:t>11</w:t>
      </w:r>
      <w:r>
        <w:rPr>
          <w:color w:val="000000"/>
          <w:sz w:val="24"/>
          <w:szCs w:val="24"/>
        </w:rPr>
        <w:t>月份虚拟现实、人工智能较为火热，而</w:t>
      </w:r>
      <w:r>
        <w:rPr>
          <w:color w:val="000000"/>
          <w:sz w:val="24"/>
          <w:szCs w:val="24"/>
        </w:rPr>
        <w:t>12</w:t>
      </w:r>
      <w:r>
        <w:rPr>
          <w:color w:val="000000"/>
          <w:sz w:val="24"/>
          <w:szCs w:val="24"/>
        </w:rPr>
        <w:t>月份云计算应用成为主题，民营保险机构也在年末对地产、商业零售等领域加大持股，</w:t>
      </w:r>
      <w:r>
        <w:rPr>
          <w:color w:val="000000"/>
          <w:sz w:val="24"/>
          <w:szCs w:val="24"/>
        </w:rPr>
        <w:t>“</w:t>
      </w:r>
      <w:r>
        <w:rPr>
          <w:color w:val="000000"/>
          <w:sz w:val="24"/>
          <w:szCs w:val="24"/>
        </w:rPr>
        <w:t>举牌概念</w:t>
      </w:r>
      <w:r>
        <w:rPr>
          <w:color w:val="000000"/>
          <w:sz w:val="24"/>
          <w:szCs w:val="24"/>
        </w:rPr>
        <w:t>”</w:t>
      </w:r>
      <w:r>
        <w:rPr>
          <w:color w:val="000000"/>
          <w:sz w:val="24"/>
          <w:szCs w:val="24"/>
        </w:rPr>
        <w:t>一度成为市场的热点。四季度上证指数上涨</w:t>
      </w:r>
      <w:r>
        <w:rPr>
          <w:color w:val="000000"/>
          <w:sz w:val="24"/>
          <w:szCs w:val="24"/>
        </w:rPr>
        <w:t>15.93%</w:t>
      </w:r>
      <w:r>
        <w:rPr>
          <w:color w:val="000000"/>
          <w:sz w:val="24"/>
          <w:szCs w:val="24"/>
        </w:rPr>
        <w:t>，创业板指上涨</w:t>
      </w:r>
      <w:r>
        <w:rPr>
          <w:color w:val="000000"/>
          <w:sz w:val="24"/>
          <w:szCs w:val="24"/>
        </w:rPr>
        <w:t>30.32%</w:t>
      </w:r>
      <w:r>
        <w:rPr>
          <w:color w:val="000000"/>
          <w:sz w:val="24"/>
          <w:szCs w:val="24"/>
        </w:rPr>
        <w:t>，整体而言仍以中小盘风格为主。</w:t>
      </w:r>
    </w:p>
    <w:p w:rsidR="00FB4ACB" w:rsidRDefault="002E6BD4">
      <w:pPr>
        <w:spacing w:before="29" w:line="288" w:lineRule="auto"/>
        <w:ind w:firstLineChars="200" w:firstLine="480"/>
        <w:rPr>
          <w:color w:val="000000"/>
          <w:sz w:val="24"/>
          <w:szCs w:val="24"/>
        </w:rPr>
      </w:pPr>
      <w:r>
        <w:rPr>
          <w:color w:val="000000"/>
          <w:sz w:val="24"/>
          <w:szCs w:val="24"/>
        </w:rPr>
        <w:t>本基金在四季度也加大了换手率，在</w:t>
      </w:r>
      <w:r>
        <w:rPr>
          <w:color w:val="000000"/>
          <w:sz w:val="24"/>
          <w:szCs w:val="24"/>
        </w:rPr>
        <w:t>10</w:t>
      </w:r>
      <w:r>
        <w:rPr>
          <w:color w:val="000000"/>
          <w:sz w:val="24"/>
          <w:szCs w:val="24"/>
        </w:rPr>
        <w:t>月初大幅提升了仓位，其中超配了以网络剧、</w:t>
      </w:r>
      <w:r>
        <w:rPr>
          <w:color w:val="000000"/>
          <w:sz w:val="24"/>
          <w:szCs w:val="24"/>
        </w:rPr>
        <w:t>IP</w:t>
      </w:r>
      <w:r>
        <w:rPr>
          <w:color w:val="000000"/>
          <w:sz w:val="24"/>
          <w:szCs w:val="24"/>
        </w:rPr>
        <w:t>资源为主的传媒行业，同时在</w:t>
      </w:r>
      <w:r>
        <w:rPr>
          <w:color w:val="000000"/>
          <w:sz w:val="24"/>
          <w:szCs w:val="24"/>
        </w:rPr>
        <w:t>12</w:t>
      </w:r>
      <w:r>
        <w:rPr>
          <w:color w:val="000000"/>
          <w:sz w:val="24"/>
          <w:szCs w:val="24"/>
        </w:rPr>
        <w:t>月份超配企业级互联网相关的计算机行业，使得本基金在四季度明显跑赢了业绩比较基准。</w:t>
      </w:r>
    </w:p>
    <w:p w:rsidR="00FB4ACB" w:rsidRDefault="002E6BD4">
      <w:pPr>
        <w:spacing w:before="29" w:line="288" w:lineRule="auto"/>
        <w:ind w:firstLineChars="200" w:firstLine="480"/>
        <w:rPr>
          <w:color w:val="000000"/>
          <w:sz w:val="24"/>
          <w:szCs w:val="24"/>
        </w:rPr>
      </w:pPr>
      <w:r>
        <w:rPr>
          <w:color w:val="000000"/>
          <w:sz w:val="24"/>
          <w:szCs w:val="24"/>
        </w:rPr>
        <w:t>展望</w:t>
      </w:r>
      <w:r>
        <w:rPr>
          <w:color w:val="000000"/>
          <w:sz w:val="24"/>
          <w:szCs w:val="24"/>
        </w:rPr>
        <w:t>2016</w:t>
      </w:r>
      <w:r>
        <w:rPr>
          <w:color w:val="000000"/>
          <w:sz w:val="24"/>
          <w:szCs w:val="24"/>
        </w:rPr>
        <w:t>年一季度，市场存在较大的不确定性。由于经济潜在增长率下降，经济增速下行的趋势并未改变。但政府基建投资在</w:t>
      </w:r>
      <w:r>
        <w:rPr>
          <w:color w:val="000000"/>
          <w:sz w:val="24"/>
          <w:szCs w:val="24"/>
        </w:rPr>
        <w:t>2015</w:t>
      </w:r>
      <w:r>
        <w:rPr>
          <w:color w:val="000000"/>
          <w:sz w:val="24"/>
          <w:szCs w:val="24"/>
        </w:rPr>
        <w:t>年四季度明显加快，同时房地产投资可能在</w:t>
      </w:r>
      <w:r>
        <w:rPr>
          <w:color w:val="000000"/>
          <w:sz w:val="24"/>
          <w:szCs w:val="24"/>
        </w:rPr>
        <w:t>“</w:t>
      </w:r>
      <w:r>
        <w:rPr>
          <w:color w:val="000000"/>
          <w:sz w:val="24"/>
          <w:szCs w:val="24"/>
        </w:rPr>
        <w:t>去库存</w:t>
      </w:r>
      <w:r>
        <w:rPr>
          <w:color w:val="000000"/>
          <w:sz w:val="24"/>
          <w:szCs w:val="24"/>
        </w:rPr>
        <w:t>”</w:t>
      </w:r>
      <w:r>
        <w:rPr>
          <w:color w:val="000000"/>
          <w:sz w:val="24"/>
          <w:szCs w:val="24"/>
        </w:rPr>
        <w:t>的带动下短期企稳。流动性层面，货币大幅宽松的可能性不大，同时汇率风险仍是我们所需关注的重点。在资本市场层面，监管层对于资本市场加杠杆非常谨慎，加之</w:t>
      </w:r>
      <w:r>
        <w:rPr>
          <w:color w:val="000000"/>
          <w:sz w:val="24"/>
          <w:szCs w:val="24"/>
        </w:rPr>
        <w:t>2016</w:t>
      </w:r>
      <w:r>
        <w:rPr>
          <w:color w:val="000000"/>
          <w:sz w:val="24"/>
          <w:szCs w:val="24"/>
        </w:rPr>
        <w:t>年</w:t>
      </w:r>
      <w:r>
        <w:rPr>
          <w:color w:val="000000"/>
          <w:sz w:val="24"/>
          <w:szCs w:val="24"/>
        </w:rPr>
        <w:t>1</w:t>
      </w:r>
      <w:r>
        <w:rPr>
          <w:color w:val="000000"/>
          <w:sz w:val="24"/>
          <w:szCs w:val="24"/>
        </w:rPr>
        <w:t>月份后大股东开始集中解禁，我们预计资本市场流动性同比去年较难有大幅上升。市场预计较难重遇</w:t>
      </w:r>
      <w:r>
        <w:rPr>
          <w:color w:val="000000"/>
          <w:sz w:val="24"/>
          <w:szCs w:val="24"/>
        </w:rPr>
        <w:t>2015</w:t>
      </w:r>
      <w:r>
        <w:rPr>
          <w:color w:val="000000"/>
          <w:sz w:val="24"/>
          <w:szCs w:val="24"/>
        </w:rPr>
        <w:t>年一季度快速上升的机会。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w:t>
      </w:r>
      <w:r w:rsidRPr="00414345">
        <w:rPr>
          <w:color w:val="000000"/>
          <w:sz w:val="24"/>
          <w:szCs w:val="24"/>
        </w:rPr>
        <w:t>2016</w:t>
      </w:r>
      <w:r w:rsidRPr="00414345">
        <w:rPr>
          <w:color w:val="000000"/>
          <w:sz w:val="24"/>
          <w:szCs w:val="24"/>
        </w:rPr>
        <w:t>年一季度，计划仍将聚焦优选新兴成长行业，发掘未来</w:t>
      </w:r>
      <w:r w:rsidRPr="00414345">
        <w:rPr>
          <w:color w:val="000000"/>
          <w:sz w:val="24"/>
          <w:szCs w:val="24"/>
        </w:rPr>
        <w:t>2-3</w:t>
      </w:r>
      <w:r w:rsidRPr="00414345">
        <w:rPr>
          <w:color w:val="000000"/>
          <w:sz w:val="24"/>
          <w:szCs w:val="24"/>
        </w:rPr>
        <w:t>年有实质性成长空间和潜力的细分行业，并集中配置。同时关注经济回暖预期是否实现，关注大小盘风格切换的可能，关注大宗商品价格波动。</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2.709</w:t>
      </w:r>
      <w:r w:rsidRPr="00414345">
        <w:rPr>
          <w:color w:val="000000"/>
          <w:sz w:val="24"/>
          <w:szCs w:val="24"/>
        </w:rPr>
        <w:t>元，本报告期份额净值增长率为</w:t>
      </w:r>
      <w:r w:rsidRPr="00414345">
        <w:rPr>
          <w:color w:val="000000"/>
          <w:sz w:val="24"/>
          <w:szCs w:val="24"/>
        </w:rPr>
        <w:t>34.18%</w:t>
      </w:r>
      <w:r w:rsidRPr="00414345">
        <w:rPr>
          <w:color w:val="000000"/>
          <w:sz w:val="24"/>
          <w:szCs w:val="24"/>
        </w:rPr>
        <w:t>，同期业绩比较基准增长率为</w:t>
      </w:r>
      <w:r w:rsidRPr="00414345">
        <w:rPr>
          <w:color w:val="000000"/>
          <w:sz w:val="24"/>
          <w:szCs w:val="24"/>
        </w:rPr>
        <w:t>10.87%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F51D26" w:rsidRDefault="00F51D26" w:rsidP="00421CD2">
      <w:pPr>
        <w:spacing w:before="29" w:line="288" w:lineRule="auto"/>
        <w:ind w:firstLineChars="200" w:firstLine="480"/>
        <w:rPr>
          <w:color w:val="000000"/>
          <w:sz w:val="24"/>
        </w:rPr>
      </w:pPr>
      <w:bookmarkStart w:id="0" w:name="_GoBack"/>
      <w:bookmarkEnd w:id="0"/>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234,099,335.62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74.92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234,099,335.62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74.92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10,029,000.00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3.21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10,029,000.00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3.21</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67,046,784.20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21.46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1,276,101.50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0.41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312,451,221.32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141,210,659.10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7,412,605.47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6,928,012.00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7,129,883.52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43,748,012.85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27,670,162.68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234,099,335.62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78.69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B4ACB">
        <w:trPr>
          <w:jc w:val="center"/>
        </w:trPr>
        <w:tc>
          <w:tcPr>
            <w:tcW w:w="855" w:type="dxa"/>
            <w:vAlign w:val="center"/>
          </w:tcPr>
          <w:p w:rsidR="00FB4ACB" w:rsidRDefault="002E6BD4">
            <w:pPr>
              <w:jc w:val="center"/>
            </w:pPr>
            <w:r>
              <w:rPr>
                <w:color w:val="000000"/>
                <w:sz w:val="24"/>
                <w:szCs w:val="24"/>
              </w:rPr>
              <w:t>1</w:t>
            </w:r>
          </w:p>
        </w:tc>
        <w:tc>
          <w:tcPr>
            <w:tcW w:w="1334" w:type="dxa"/>
            <w:vAlign w:val="center"/>
          </w:tcPr>
          <w:p w:rsidR="00FB4ACB" w:rsidRDefault="002E6BD4">
            <w:pPr>
              <w:jc w:val="center"/>
            </w:pPr>
            <w:r>
              <w:rPr>
                <w:color w:val="000000"/>
                <w:sz w:val="24"/>
                <w:szCs w:val="24"/>
              </w:rPr>
              <w:t>600054</w:t>
            </w:r>
          </w:p>
        </w:tc>
        <w:tc>
          <w:tcPr>
            <w:tcW w:w="1777" w:type="dxa"/>
            <w:vAlign w:val="center"/>
          </w:tcPr>
          <w:p w:rsidR="00FB4ACB" w:rsidRDefault="002E6BD4">
            <w:pPr>
              <w:jc w:val="center"/>
            </w:pPr>
            <w:r>
              <w:rPr>
                <w:color w:val="000000"/>
                <w:sz w:val="24"/>
                <w:szCs w:val="24"/>
              </w:rPr>
              <w:t>黄山旅游</w:t>
            </w:r>
          </w:p>
        </w:tc>
        <w:tc>
          <w:tcPr>
            <w:tcW w:w="1334" w:type="dxa"/>
            <w:vAlign w:val="center"/>
          </w:tcPr>
          <w:p w:rsidR="00FB4ACB" w:rsidRDefault="002E6BD4">
            <w:pPr>
              <w:jc w:val="right"/>
            </w:pPr>
            <w:r>
              <w:rPr>
                <w:color w:val="000000"/>
                <w:sz w:val="24"/>
                <w:szCs w:val="24"/>
              </w:rPr>
              <w:t>1,149,473</w:t>
            </w:r>
          </w:p>
        </w:tc>
        <w:tc>
          <w:tcPr>
            <w:tcW w:w="1924" w:type="dxa"/>
            <w:vAlign w:val="center"/>
          </w:tcPr>
          <w:p w:rsidR="00FB4ACB" w:rsidRDefault="002E6BD4">
            <w:pPr>
              <w:jc w:val="right"/>
            </w:pPr>
            <w:r>
              <w:rPr>
                <w:color w:val="000000"/>
                <w:sz w:val="24"/>
                <w:szCs w:val="24"/>
              </w:rPr>
              <w:t>27,139,057.53</w:t>
            </w:r>
          </w:p>
        </w:tc>
        <w:tc>
          <w:tcPr>
            <w:tcW w:w="1644" w:type="dxa"/>
            <w:vAlign w:val="center"/>
          </w:tcPr>
          <w:p w:rsidR="00FB4ACB" w:rsidRDefault="002E6BD4">
            <w:pPr>
              <w:jc w:val="right"/>
            </w:pPr>
            <w:r>
              <w:rPr>
                <w:color w:val="000000"/>
                <w:sz w:val="24"/>
                <w:szCs w:val="24"/>
              </w:rPr>
              <w:t>9.12</w:t>
            </w:r>
          </w:p>
        </w:tc>
      </w:tr>
      <w:tr w:rsidR="00FB4ACB">
        <w:trPr>
          <w:jc w:val="center"/>
        </w:trPr>
        <w:tc>
          <w:tcPr>
            <w:tcW w:w="855" w:type="dxa"/>
            <w:vAlign w:val="center"/>
          </w:tcPr>
          <w:p w:rsidR="00FB4ACB" w:rsidRDefault="002E6BD4">
            <w:pPr>
              <w:jc w:val="center"/>
            </w:pPr>
            <w:r>
              <w:rPr>
                <w:color w:val="000000"/>
                <w:sz w:val="24"/>
                <w:szCs w:val="24"/>
              </w:rPr>
              <w:t>2</w:t>
            </w:r>
          </w:p>
        </w:tc>
        <w:tc>
          <w:tcPr>
            <w:tcW w:w="1334" w:type="dxa"/>
            <w:vAlign w:val="center"/>
          </w:tcPr>
          <w:p w:rsidR="00FB4ACB" w:rsidRDefault="002E6BD4">
            <w:pPr>
              <w:jc w:val="center"/>
            </w:pPr>
            <w:r>
              <w:rPr>
                <w:color w:val="000000"/>
                <w:sz w:val="24"/>
                <w:szCs w:val="24"/>
              </w:rPr>
              <w:t>300171</w:t>
            </w:r>
          </w:p>
        </w:tc>
        <w:tc>
          <w:tcPr>
            <w:tcW w:w="1777" w:type="dxa"/>
            <w:vAlign w:val="center"/>
          </w:tcPr>
          <w:p w:rsidR="00FB4ACB" w:rsidRDefault="002E6BD4">
            <w:pPr>
              <w:jc w:val="center"/>
            </w:pPr>
            <w:r>
              <w:rPr>
                <w:color w:val="000000"/>
                <w:sz w:val="24"/>
                <w:szCs w:val="24"/>
              </w:rPr>
              <w:t>东富龙</w:t>
            </w:r>
          </w:p>
        </w:tc>
        <w:tc>
          <w:tcPr>
            <w:tcW w:w="1334" w:type="dxa"/>
            <w:vAlign w:val="center"/>
          </w:tcPr>
          <w:p w:rsidR="00FB4ACB" w:rsidRDefault="002E6BD4">
            <w:pPr>
              <w:jc w:val="right"/>
            </w:pPr>
            <w:r>
              <w:rPr>
                <w:color w:val="000000"/>
                <w:sz w:val="24"/>
                <w:szCs w:val="24"/>
              </w:rPr>
              <w:t>516,738</w:t>
            </w:r>
          </w:p>
        </w:tc>
        <w:tc>
          <w:tcPr>
            <w:tcW w:w="1924" w:type="dxa"/>
            <w:vAlign w:val="center"/>
          </w:tcPr>
          <w:p w:rsidR="00FB4ACB" w:rsidRDefault="002E6BD4">
            <w:pPr>
              <w:jc w:val="right"/>
            </w:pPr>
            <w:r>
              <w:rPr>
                <w:color w:val="000000"/>
                <w:sz w:val="24"/>
                <w:szCs w:val="24"/>
              </w:rPr>
              <w:t>15,491,805.24</w:t>
            </w:r>
          </w:p>
        </w:tc>
        <w:tc>
          <w:tcPr>
            <w:tcW w:w="1644" w:type="dxa"/>
            <w:vAlign w:val="center"/>
          </w:tcPr>
          <w:p w:rsidR="00FB4ACB" w:rsidRDefault="002E6BD4">
            <w:pPr>
              <w:jc w:val="right"/>
            </w:pPr>
            <w:r>
              <w:rPr>
                <w:color w:val="000000"/>
                <w:sz w:val="24"/>
                <w:szCs w:val="24"/>
              </w:rPr>
              <w:t>5.21</w:t>
            </w:r>
          </w:p>
        </w:tc>
      </w:tr>
      <w:tr w:rsidR="00FB4ACB">
        <w:trPr>
          <w:jc w:val="center"/>
        </w:trPr>
        <w:tc>
          <w:tcPr>
            <w:tcW w:w="855" w:type="dxa"/>
            <w:vAlign w:val="center"/>
          </w:tcPr>
          <w:p w:rsidR="00FB4ACB" w:rsidRDefault="002E6BD4">
            <w:pPr>
              <w:jc w:val="center"/>
            </w:pPr>
            <w:r>
              <w:rPr>
                <w:color w:val="000000"/>
                <w:sz w:val="24"/>
                <w:szCs w:val="24"/>
              </w:rPr>
              <w:t>3</w:t>
            </w:r>
          </w:p>
        </w:tc>
        <w:tc>
          <w:tcPr>
            <w:tcW w:w="1334" w:type="dxa"/>
            <w:vAlign w:val="center"/>
          </w:tcPr>
          <w:p w:rsidR="00FB4ACB" w:rsidRDefault="002E6BD4">
            <w:pPr>
              <w:jc w:val="center"/>
            </w:pPr>
            <w:r>
              <w:rPr>
                <w:color w:val="000000"/>
                <w:sz w:val="24"/>
                <w:szCs w:val="24"/>
              </w:rPr>
              <w:t>300161</w:t>
            </w:r>
          </w:p>
        </w:tc>
        <w:tc>
          <w:tcPr>
            <w:tcW w:w="1777" w:type="dxa"/>
            <w:vAlign w:val="center"/>
          </w:tcPr>
          <w:p w:rsidR="00FB4ACB" w:rsidRDefault="002E6BD4">
            <w:pPr>
              <w:jc w:val="center"/>
            </w:pPr>
            <w:r>
              <w:rPr>
                <w:color w:val="000000"/>
                <w:sz w:val="24"/>
                <w:szCs w:val="24"/>
              </w:rPr>
              <w:t>华中数控</w:t>
            </w:r>
          </w:p>
        </w:tc>
        <w:tc>
          <w:tcPr>
            <w:tcW w:w="1334" w:type="dxa"/>
            <w:vAlign w:val="center"/>
          </w:tcPr>
          <w:p w:rsidR="00FB4ACB" w:rsidRDefault="002E6BD4">
            <w:pPr>
              <w:jc w:val="right"/>
            </w:pPr>
            <w:r>
              <w:rPr>
                <w:color w:val="000000"/>
                <w:sz w:val="24"/>
                <w:szCs w:val="24"/>
              </w:rPr>
              <w:t>331,564</w:t>
            </w:r>
          </w:p>
        </w:tc>
        <w:tc>
          <w:tcPr>
            <w:tcW w:w="1924" w:type="dxa"/>
            <w:vAlign w:val="center"/>
          </w:tcPr>
          <w:p w:rsidR="00FB4ACB" w:rsidRDefault="002E6BD4">
            <w:pPr>
              <w:jc w:val="right"/>
            </w:pPr>
            <w:r>
              <w:rPr>
                <w:color w:val="000000"/>
                <w:sz w:val="24"/>
                <w:szCs w:val="24"/>
              </w:rPr>
              <w:t>12,175,030.08</w:t>
            </w:r>
          </w:p>
        </w:tc>
        <w:tc>
          <w:tcPr>
            <w:tcW w:w="1644" w:type="dxa"/>
            <w:vAlign w:val="center"/>
          </w:tcPr>
          <w:p w:rsidR="00FB4ACB" w:rsidRDefault="002E6BD4">
            <w:pPr>
              <w:jc w:val="right"/>
            </w:pPr>
            <w:r>
              <w:rPr>
                <w:color w:val="000000"/>
                <w:sz w:val="24"/>
                <w:szCs w:val="24"/>
              </w:rPr>
              <w:t>4.09</w:t>
            </w:r>
          </w:p>
        </w:tc>
      </w:tr>
      <w:tr w:rsidR="00FB4ACB">
        <w:trPr>
          <w:jc w:val="center"/>
        </w:trPr>
        <w:tc>
          <w:tcPr>
            <w:tcW w:w="855" w:type="dxa"/>
            <w:vAlign w:val="center"/>
          </w:tcPr>
          <w:p w:rsidR="00FB4ACB" w:rsidRDefault="002E6BD4">
            <w:pPr>
              <w:jc w:val="center"/>
            </w:pPr>
            <w:r>
              <w:rPr>
                <w:color w:val="000000"/>
                <w:sz w:val="24"/>
                <w:szCs w:val="24"/>
              </w:rPr>
              <w:t>4</w:t>
            </w:r>
          </w:p>
        </w:tc>
        <w:tc>
          <w:tcPr>
            <w:tcW w:w="1334" w:type="dxa"/>
            <w:vAlign w:val="center"/>
          </w:tcPr>
          <w:p w:rsidR="00FB4ACB" w:rsidRDefault="002E6BD4">
            <w:pPr>
              <w:jc w:val="center"/>
            </w:pPr>
            <w:r>
              <w:rPr>
                <w:color w:val="000000"/>
                <w:sz w:val="24"/>
                <w:szCs w:val="24"/>
              </w:rPr>
              <w:t>300352</w:t>
            </w:r>
          </w:p>
        </w:tc>
        <w:tc>
          <w:tcPr>
            <w:tcW w:w="1777" w:type="dxa"/>
            <w:vAlign w:val="center"/>
          </w:tcPr>
          <w:p w:rsidR="00FB4ACB" w:rsidRDefault="002E6BD4">
            <w:pPr>
              <w:jc w:val="center"/>
            </w:pPr>
            <w:r>
              <w:rPr>
                <w:color w:val="000000"/>
                <w:sz w:val="24"/>
                <w:szCs w:val="24"/>
              </w:rPr>
              <w:t>北信源</w:t>
            </w:r>
          </w:p>
        </w:tc>
        <w:tc>
          <w:tcPr>
            <w:tcW w:w="1334" w:type="dxa"/>
            <w:vAlign w:val="center"/>
          </w:tcPr>
          <w:p w:rsidR="00FB4ACB" w:rsidRDefault="002E6BD4">
            <w:pPr>
              <w:jc w:val="right"/>
            </w:pPr>
            <w:r>
              <w:rPr>
                <w:color w:val="000000"/>
                <w:sz w:val="24"/>
                <w:szCs w:val="24"/>
              </w:rPr>
              <w:t>194,809</w:t>
            </w:r>
          </w:p>
        </w:tc>
        <w:tc>
          <w:tcPr>
            <w:tcW w:w="1924" w:type="dxa"/>
            <w:vAlign w:val="center"/>
          </w:tcPr>
          <w:p w:rsidR="00FB4ACB" w:rsidRDefault="002E6BD4">
            <w:pPr>
              <w:jc w:val="right"/>
            </w:pPr>
            <w:r>
              <w:rPr>
                <w:color w:val="000000"/>
                <w:sz w:val="24"/>
                <w:szCs w:val="24"/>
              </w:rPr>
              <w:t>12,156,081.60</w:t>
            </w:r>
          </w:p>
        </w:tc>
        <w:tc>
          <w:tcPr>
            <w:tcW w:w="1644" w:type="dxa"/>
            <w:vAlign w:val="center"/>
          </w:tcPr>
          <w:p w:rsidR="00FB4ACB" w:rsidRDefault="002E6BD4">
            <w:pPr>
              <w:jc w:val="right"/>
            </w:pPr>
            <w:r>
              <w:rPr>
                <w:color w:val="000000"/>
                <w:sz w:val="24"/>
                <w:szCs w:val="24"/>
              </w:rPr>
              <w:t>4.09</w:t>
            </w:r>
          </w:p>
        </w:tc>
      </w:tr>
      <w:tr w:rsidR="00FB4ACB">
        <w:trPr>
          <w:jc w:val="center"/>
        </w:trPr>
        <w:tc>
          <w:tcPr>
            <w:tcW w:w="855" w:type="dxa"/>
            <w:vAlign w:val="center"/>
          </w:tcPr>
          <w:p w:rsidR="00FB4ACB" w:rsidRDefault="002E6BD4">
            <w:pPr>
              <w:jc w:val="center"/>
            </w:pPr>
            <w:r>
              <w:rPr>
                <w:color w:val="000000"/>
                <w:sz w:val="24"/>
                <w:szCs w:val="24"/>
              </w:rPr>
              <w:t>5</w:t>
            </w:r>
          </w:p>
        </w:tc>
        <w:tc>
          <w:tcPr>
            <w:tcW w:w="1334" w:type="dxa"/>
            <w:vAlign w:val="center"/>
          </w:tcPr>
          <w:p w:rsidR="00FB4ACB" w:rsidRDefault="002E6BD4">
            <w:pPr>
              <w:jc w:val="center"/>
            </w:pPr>
            <w:r>
              <w:rPr>
                <w:color w:val="000000"/>
                <w:sz w:val="24"/>
                <w:szCs w:val="24"/>
              </w:rPr>
              <w:t>002095</w:t>
            </w:r>
          </w:p>
        </w:tc>
        <w:tc>
          <w:tcPr>
            <w:tcW w:w="1777" w:type="dxa"/>
            <w:vAlign w:val="center"/>
          </w:tcPr>
          <w:p w:rsidR="00FB4ACB" w:rsidRDefault="002E6BD4">
            <w:pPr>
              <w:jc w:val="center"/>
            </w:pPr>
            <w:r>
              <w:rPr>
                <w:color w:val="000000"/>
                <w:sz w:val="24"/>
                <w:szCs w:val="24"/>
              </w:rPr>
              <w:t>生</w:t>
            </w:r>
            <w:r>
              <w:rPr>
                <w:color w:val="000000"/>
                <w:sz w:val="24"/>
                <w:szCs w:val="24"/>
              </w:rPr>
              <w:t xml:space="preserve"> </w:t>
            </w:r>
            <w:r>
              <w:rPr>
                <w:color w:val="000000"/>
                <w:sz w:val="24"/>
                <w:szCs w:val="24"/>
              </w:rPr>
              <w:t>意</w:t>
            </w:r>
            <w:r>
              <w:rPr>
                <w:color w:val="000000"/>
                <w:sz w:val="24"/>
                <w:szCs w:val="24"/>
              </w:rPr>
              <w:t xml:space="preserve"> </w:t>
            </w:r>
            <w:r>
              <w:rPr>
                <w:color w:val="000000"/>
                <w:sz w:val="24"/>
                <w:szCs w:val="24"/>
              </w:rPr>
              <w:t>宝</w:t>
            </w:r>
          </w:p>
        </w:tc>
        <w:tc>
          <w:tcPr>
            <w:tcW w:w="1334" w:type="dxa"/>
            <w:vAlign w:val="center"/>
          </w:tcPr>
          <w:p w:rsidR="00FB4ACB" w:rsidRDefault="002E6BD4">
            <w:pPr>
              <w:jc w:val="right"/>
            </w:pPr>
            <w:r>
              <w:rPr>
                <w:color w:val="000000"/>
                <w:sz w:val="24"/>
                <w:szCs w:val="24"/>
              </w:rPr>
              <w:t>145,908</w:t>
            </w:r>
          </w:p>
        </w:tc>
        <w:tc>
          <w:tcPr>
            <w:tcW w:w="1924" w:type="dxa"/>
            <w:vAlign w:val="center"/>
          </w:tcPr>
          <w:p w:rsidR="00FB4ACB" w:rsidRDefault="002E6BD4">
            <w:pPr>
              <w:jc w:val="right"/>
            </w:pPr>
            <w:r>
              <w:rPr>
                <w:color w:val="000000"/>
                <w:sz w:val="24"/>
                <w:szCs w:val="24"/>
              </w:rPr>
              <w:t>10,737,369.72</w:t>
            </w:r>
          </w:p>
        </w:tc>
        <w:tc>
          <w:tcPr>
            <w:tcW w:w="1644" w:type="dxa"/>
            <w:vAlign w:val="center"/>
          </w:tcPr>
          <w:p w:rsidR="00FB4ACB" w:rsidRDefault="002E6BD4">
            <w:pPr>
              <w:jc w:val="right"/>
            </w:pPr>
            <w:r>
              <w:rPr>
                <w:color w:val="000000"/>
                <w:sz w:val="24"/>
                <w:szCs w:val="24"/>
              </w:rPr>
              <w:t>3.61</w:t>
            </w:r>
          </w:p>
        </w:tc>
      </w:tr>
      <w:tr w:rsidR="00FB4ACB">
        <w:trPr>
          <w:jc w:val="center"/>
        </w:trPr>
        <w:tc>
          <w:tcPr>
            <w:tcW w:w="855" w:type="dxa"/>
            <w:vAlign w:val="center"/>
          </w:tcPr>
          <w:p w:rsidR="00FB4ACB" w:rsidRDefault="002E6BD4">
            <w:pPr>
              <w:jc w:val="center"/>
            </w:pPr>
            <w:r>
              <w:rPr>
                <w:color w:val="000000"/>
                <w:sz w:val="24"/>
                <w:szCs w:val="24"/>
              </w:rPr>
              <w:t>6</w:t>
            </w:r>
          </w:p>
        </w:tc>
        <w:tc>
          <w:tcPr>
            <w:tcW w:w="1334" w:type="dxa"/>
            <w:vAlign w:val="center"/>
          </w:tcPr>
          <w:p w:rsidR="00FB4ACB" w:rsidRDefault="002E6BD4">
            <w:pPr>
              <w:jc w:val="center"/>
            </w:pPr>
            <w:r>
              <w:rPr>
                <w:color w:val="000000"/>
                <w:sz w:val="24"/>
                <w:szCs w:val="24"/>
              </w:rPr>
              <w:t>002094</w:t>
            </w:r>
          </w:p>
        </w:tc>
        <w:tc>
          <w:tcPr>
            <w:tcW w:w="1777" w:type="dxa"/>
            <w:vAlign w:val="center"/>
          </w:tcPr>
          <w:p w:rsidR="00FB4ACB" w:rsidRDefault="002E6BD4">
            <w:pPr>
              <w:jc w:val="center"/>
            </w:pPr>
            <w:r>
              <w:rPr>
                <w:color w:val="000000"/>
                <w:sz w:val="24"/>
                <w:szCs w:val="24"/>
              </w:rPr>
              <w:t>青岛金王</w:t>
            </w:r>
          </w:p>
        </w:tc>
        <w:tc>
          <w:tcPr>
            <w:tcW w:w="1334" w:type="dxa"/>
            <w:vAlign w:val="center"/>
          </w:tcPr>
          <w:p w:rsidR="00FB4ACB" w:rsidRDefault="002E6BD4">
            <w:pPr>
              <w:jc w:val="right"/>
            </w:pPr>
            <w:r>
              <w:rPr>
                <w:color w:val="000000"/>
                <w:sz w:val="24"/>
                <w:szCs w:val="24"/>
              </w:rPr>
              <w:t>302,500</w:t>
            </w:r>
          </w:p>
        </w:tc>
        <w:tc>
          <w:tcPr>
            <w:tcW w:w="1924" w:type="dxa"/>
            <w:vAlign w:val="center"/>
          </w:tcPr>
          <w:p w:rsidR="00FB4ACB" w:rsidRDefault="002E6BD4">
            <w:pPr>
              <w:jc w:val="right"/>
            </w:pPr>
            <w:r>
              <w:rPr>
                <w:color w:val="000000"/>
                <w:sz w:val="24"/>
                <w:szCs w:val="24"/>
              </w:rPr>
              <w:t>9,422,875.00</w:t>
            </w:r>
          </w:p>
        </w:tc>
        <w:tc>
          <w:tcPr>
            <w:tcW w:w="1644" w:type="dxa"/>
            <w:vAlign w:val="center"/>
          </w:tcPr>
          <w:p w:rsidR="00FB4ACB" w:rsidRDefault="002E6BD4">
            <w:pPr>
              <w:jc w:val="right"/>
            </w:pPr>
            <w:r>
              <w:rPr>
                <w:color w:val="000000"/>
                <w:sz w:val="24"/>
                <w:szCs w:val="24"/>
              </w:rPr>
              <w:t>3.17</w:t>
            </w:r>
          </w:p>
        </w:tc>
      </w:tr>
      <w:tr w:rsidR="00FB4ACB">
        <w:trPr>
          <w:jc w:val="center"/>
        </w:trPr>
        <w:tc>
          <w:tcPr>
            <w:tcW w:w="855" w:type="dxa"/>
            <w:vAlign w:val="center"/>
          </w:tcPr>
          <w:p w:rsidR="00FB4ACB" w:rsidRDefault="002E6BD4">
            <w:pPr>
              <w:jc w:val="center"/>
            </w:pPr>
            <w:r>
              <w:rPr>
                <w:color w:val="000000"/>
                <w:sz w:val="24"/>
                <w:szCs w:val="24"/>
              </w:rPr>
              <w:t>7</w:t>
            </w:r>
          </w:p>
        </w:tc>
        <w:tc>
          <w:tcPr>
            <w:tcW w:w="1334" w:type="dxa"/>
            <w:vAlign w:val="center"/>
          </w:tcPr>
          <w:p w:rsidR="00FB4ACB" w:rsidRDefault="002E6BD4">
            <w:pPr>
              <w:jc w:val="center"/>
            </w:pPr>
            <w:r>
              <w:rPr>
                <w:color w:val="000000"/>
                <w:sz w:val="24"/>
                <w:szCs w:val="24"/>
              </w:rPr>
              <w:t>002667</w:t>
            </w:r>
          </w:p>
        </w:tc>
        <w:tc>
          <w:tcPr>
            <w:tcW w:w="1777" w:type="dxa"/>
            <w:vAlign w:val="center"/>
          </w:tcPr>
          <w:p w:rsidR="00FB4ACB" w:rsidRDefault="002E6BD4">
            <w:pPr>
              <w:jc w:val="center"/>
            </w:pPr>
            <w:r>
              <w:rPr>
                <w:color w:val="000000"/>
                <w:sz w:val="24"/>
                <w:szCs w:val="24"/>
              </w:rPr>
              <w:t>鞍重股份</w:t>
            </w:r>
          </w:p>
        </w:tc>
        <w:tc>
          <w:tcPr>
            <w:tcW w:w="1334" w:type="dxa"/>
            <w:vAlign w:val="center"/>
          </w:tcPr>
          <w:p w:rsidR="00FB4ACB" w:rsidRDefault="002E6BD4">
            <w:pPr>
              <w:jc w:val="right"/>
            </w:pPr>
            <w:r>
              <w:rPr>
                <w:color w:val="000000"/>
                <w:sz w:val="24"/>
                <w:szCs w:val="24"/>
              </w:rPr>
              <w:t>123,700</w:t>
            </w:r>
          </w:p>
        </w:tc>
        <w:tc>
          <w:tcPr>
            <w:tcW w:w="1924" w:type="dxa"/>
            <w:vAlign w:val="center"/>
          </w:tcPr>
          <w:p w:rsidR="00FB4ACB" w:rsidRDefault="002E6BD4">
            <w:pPr>
              <w:jc w:val="right"/>
            </w:pPr>
            <w:r>
              <w:rPr>
                <w:color w:val="000000"/>
                <w:sz w:val="24"/>
                <w:szCs w:val="24"/>
              </w:rPr>
              <w:t>9,252,760.00</w:t>
            </w:r>
          </w:p>
        </w:tc>
        <w:tc>
          <w:tcPr>
            <w:tcW w:w="1644" w:type="dxa"/>
            <w:vAlign w:val="center"/>
          </w:tcPr>
          <w:p w:rsidR="00FB4ACB" w:rsidRDefault="002E6BD4">
            <w:pPr>
              <w:jc w:val="right"/>
            </w:pPr>
            <w:r>
              <w:rPr>
                <w:color w:val="000000"/>
                <w:sz w:val="24"/>
                <w:szCs w:val="24"/>
              </w:rPr>
              <w:t>3.11</w:t>
            </w:r>
          </w:p>
        </w:tc>
      </w:tr>
      <w:tr w:rsidR="00FB4ACB">
        <w:trPr>
          <w:jc w:val="center"/>
        </w:trPr>
        <w:tc>
          <w:tcPr>
            <w:tcW w:w="855" w:type="dxa"/>
            <w:vAlign w:val="center"/>
          </w:tcPr>
          <w:p w:rsidR="00FB4ACB" w:rsidRDefault="002E6BD4">
            <w:pPr>
              <w:jc w:val="center"/>
            </w:pPr>
            <w:r>
              <w:rPr>
                <w:color w:val="000000"/>
                <w:sz w:val="24"/>
                <w:szCs w:val="24"/>
              </w:rPr>
              <w:t>8</w:t>
            </w:r>
          </w:p>
        </w:tc>
        <w:tc>
          <w:tcPr>
            <w:tcW w:w="1334" w:type="dxa"/>
            <w:vAlign w:val="center"/>
          </w:tcPr>
          <w:p w:rsidR="00FB4ACB" w:rsidRDefault="002E6BD4">
            <w:pPr>
              <w:jc w:val="center"/>
            </w:pPr>
            <w:r>
              <w:rPr>
                <w:color w:val="000000"/>
                <w:sz w:val="24"/>
                <w:szCs w:val="24"/>
              </w:rPr>
              <w:t>002390</w:t>
            </w:r>
          </w:p>
        </w:tc>
        <w:tc>
          <w:tcPr>
            <w:tcW w:w="1777" w:type="dxa"/>
            <w:vAlign w:val="center"/>
          </w:tcPr>
          <w:p w:rsidR="00FB4ACB" w:rsidRDefault="002E6BD4">
            <w:pPr>
              <w:jc w:val="center"/>
            </w:pPr>
            <w:r>
              <w:rPr>
                <w:color w:val="000000"/>
                <w:sz w:val="24"/>
                <w:szCs w:val="24"/>
              </w:rPr>
              <w:t>信邦制药</w:t>
            </w:r>
          </w:p>
        </w:tc>
        <w:tc>
          <w:tcPr>
            <w:tcW w:w="1334" w:type="dxa"/>
            <w:vAlign w:val="center"/>
          </w:tcPr>
          <w:p w:rsidR="00FB4ACB" w:rsidRDefault="002E6BD4">
            <w:pPr>
              <w:jc w:val="right"/>
            </w:pPr>
            <w:r>
              <w:rPr>
                <w:color w:val="000000"/>
                <w:sz w:val="24"/>
                <w:szCs w:val="24"/>
              </w:rPr>
              <w:t>643,800</w:t>
            </w:r>
          </w:p>
        </w:tc>
        <w:tc>
          <w:tcPr>
            <w:tcW w:w="1924" w:type="dxa"/>
            <w:vAlign w:val="center"/>
          </w:tcPr>
          <w:p w:rsidR="00FB4ACB" w:rsidRDefault="002E6BD4">
            <w:pPr>
              <w:jc w:val="right"/>
            </w:pPr>
            <w:r>
              <w:rPr>
                <w:color w:val="000000"/>
                <w:sz w:val="24"/>
                <w:szCs w:val="24"/>
              </w:rPr>
              <w:t>9,238,530.00</w:t>
            </w:r>
          </w:p>
        </w:tc>
        <w:tc>
          <w:tcPr>
            <w:tcW w:w="1644" w:type="dxa"/>
            <w:vAlign w:val="center"/>
          </w:tcPr>
          <w:p w:rsidR="00FB4ACB" w:rsidRDefault="002E6BD4">
            <w:pPr>
              <w:jc w:val="right"/>
            </w:pPr>
            <w:r>
              <w:rPr>
                <w:color w:val="000000"/>
                <w:sz w:val="24"/>
                <w:szCs w:val="24"/>
              </w:rPr>
              <w:t>3.11</w:t>
            </w:r>
          </w:p>
        </w:tc>
      </w:tr>
      <w:tr w:rsidR="00FB4ACB">
        <w:trPr>
          <w:jc w:val="center"/>
        </w:trPr>
        <w:tc>
          <w:tcPr>
            <w:tcW w:w="855" w:type="dxa"/>
            <w:vAlign w:val="center"/>
          </w:tcPr>
          <w:p w:rsidR="00FB4ACB" w:rsidRDefault="002E6BD4">
            <w:pPr>
              <w:jc w:val="center"/>
            </w:pPr>
            <w:r>
              <w:rPr>
                <w:color w:val="000000"/>
                <w:sz w:val="24"/>
                <w:szCs w:val="24"/>
              </w:rPr>
              <w:t>9</w:t>
            </w:r>
          </w:p>
        </w:tc>
        <w:tc>
          <w:tcPr>
            <w:tcW w:w="1334" w:type="dxa"/>
            <w:vAlign w:val="center"/>
          </w:tcPr>
          <w:p w:rsidR="00FB4ACB" w:rsidRDefault="002E6BD4">
            <w:pPr>
              <w:jc w:val="center"/>
            </w:pPr>
            <w:r>
              <w:rPr>
                <w:color w:val="000000"/>
                <w:sz w:val="24"/>
                <w:szCs w:val="24"/>
              </w:rPr>
              <w:t>300137</w:t>
            </w:r>
          </w:p>
        </w:tc>
        <w:tc>
          <w:tcPr>
            <w:tcW w:w="1777" w:type="dxa"/>
            <w:vAlign w:val="center"/>
          </w:tcPr>
          <w:p w:rsidR="00FB4ACB" w:rsidRDefault="002E6BD4">
            <w:pPr>
              <w:jc w:val="center"/>
            </w:pPr>
            <w:r>
              <w:rPr>
                <w:color w:val="000000"/>
                <w:sz w:val="24"/>
                <w:szCs w:val="24"/>
              </w:rPr>
              <w:t>先河环保</w:t>
            </w:r>
          </w:p>
        </w:tc>
        <w:tc>
          <w:tcPr>
            <w:tcW w:w="1334" w:type="dxa"/>
            <w:vAlign w:val="center"/>
          </w:tcPr>
          <w:p w:rsidR="00FB4ACB" w:rsidRDefault="002E6BD4">
            <w:pPr>
              <w:jc w:val="right"/>
            </w:pPr>
            <w:r>
              <w:rPr>
                <w:color w:val="000000"/>
                <w:sz w:val="24"/>
                <w:szCs w:val="24"/>
              </w:rPr>
              <w:t>423,900</w:t>
            </w:r>
          </w:p>
        </w:tc>
        <w:tc>
          <w:tcPr>
            <w:tcW w:w="1924" w:type="dxa"/>
            <w:vAlign w:val="center"/>
          </w:tcPr>
          <w:p w:rsidR="00FB4ACB" w:rsidRDefault="002E6BD4">
            <w:pPr>
              <w:jc w:val="right"/>
            </w:pPr>
            <w:r>
              <w:rPr>
                <w:color w:val="000000"/>
                <w:sz w:val="24"/>
                <w:szCs w:val="24"/>
              </w:rPr>
              <w:t>8,880,705.00</w:t>
            </w:r>
          </w:p>
        </w:tc>
        <w:tc>
          <w:tcPr>
            <w:tcW w:w="1644" w:type="dxa"/>
            <w:vAlign w:val="center"/>
          </w:tcPr>
          <w:p w:rsidR="00FB4ACB" w:rsidRDefault="002E6BD4">
            <w:pPr>
              <w:jc w:val="right"/>
            </w:pPr>
            <w:r>
              <w:rPr>
                <w:color w:val="000000"/>
                <w:sz w:val="24"/>
                <w:szCs w:val="24"/>
              </w:rPr>
              <w:t>2.99</w:t>
            </w:r>
          </w:p>
        </w:tc>
      </w:tr>
      <w:tr w:rsidR="00FB4ACB">
        <w:trPr>
          <w:jc w:val="center"/>
        </w:trPr>
        <w:tc>
          <w:tcPr>
            <w:tcW w:w="855" w:type="dxa"/>
            <w:vAlign w:val="center"/>
          </w:tcPr>
          <w:p w:rsidR="00FB4ACB" w:rsidRDefault="002E6BD4">
            <w:pPr>
              <w:jc w:val="center"/>
            </w:pPr>
            <w:r>
              <w:rPr>
                <w:color w:val="000000"/>
                <w:sz w:val="24"/>
                <w:szCs w:val="24"/>
              </w:rPr>
              <w:t>10</w:t>
            </w:r>
          </w:p>
        </w:tc>
        <w:tc>
          <w:tcPr>
            <w:tcW w:w="1334" w:type="dxa"/>
            <w:vAlign w:val="center"/>
          </w:tcPr>
          <w:p w:rsidR="00FB4ACB" w:rsidRDefault="002E6BD4">
            <w:pPr>
              <w:jc w:val="center"/>
            </w:pPr>
            <w:r>
              <w:rPr>
                <w:color w:val="000000"/>
                <w:sz w:val="24"/>
                <w:szCs w:val="24"/>
              </w:rPr>
              <w:t>600720</w:t>
            </w:r>
          </w:p>
        </w:tc>
        <w:tc>
          <w:tcPr>
            <w:tcW w:w="1777" w:type="dxa"/>
            <w:vAlign w:val="center"/>
          </w:tcPr>
          <w:p w:rsidR="00FB4ACB" w:rsidRDefault="002E6BD4">
            <w:pPr>
              <w:jc w:val="center"/>
            </w:pPr>
            <w:r>
              <w:rPr>
                <w:color w:val="000000"/>
                <w:sz w:val="24"/>
                <w:szCs w:val="24"/>
              </w:rPr>
              <w:t>祁连山</w:t>
            </w:r>
          </w:p>
        </w:tc>
        <w:tc>
          <w:tcPr>
            <w:tcW w:w="1334" w:type="dxa"/>
            <w:vAlign w:val="center"/>
          </w:tcPr>
          <w:p w:rsidR="00FB4ACB" w:rsidRDefault="002E6BD4">
            <w:pPr>
              <w:jc w:val="right"/>
            </w:pPr>
            <w:r>
              <w:rPr>
                <w:color w:val="000000"/>
                <w:sz w:val="24"/>
                <w:szCs w:val="24"/>
              </w:rPr>
              <w:t>986,700</w:t>
            </w:r>
          </w:p>
        </w:tc>
        <w:tc>
          <w:tcPr>
            <w:tcW w:w="1924" w:type="dxa"/>
            <w:vAlign w:val="center"/>
          </w:tcPr>
          <w:p w:rsidR="00FB4ACB" w:rsidRDefault="002E6BD4">
            <w:pPr>
              <w:jc w:val="right"/>
            </w:pPr>
            <w:r>
              <w:rPr>
                <w:color w:val="000000"/>
                <w:sz w:val="24"/>
                <w:szCs w:val="24"/>
              </w:rPr>
              <w:t>8,712,561.00</w:t>
            </w:r>
          </w:p>
        </w:tc>
        <w:tc>
          <w:tcPr>
            <w:tcW w:w="1644" w:type="dxa"/>
            <w:vAlign w:val="center"/>
          </w:tcPr>
          <w:p w:rsidR="00FB4ACB" w:rsidRDefault="002E6BD4">
            <w:pPr>
              <w:jc w:val="right"/>
            </w:pPr>
            <w:r>
              <w:rPr>
                <w:color w:val="000000"/>
                <w:sz w:val="24"/>
                <w:szCs w:val="24"/>
              </w:rPr>
              <w:t>2.93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B4ACB">
        <w:trPr>
          <w:jc w:val="center"/>
        </w:trPr>
        <w:tc>
          <w:tcPr>
            <w:tcW w:w="850" w:type="dxa"/>
            <w:vAlign w:val="center"/>
          </w:tcPr>
          <w:p w:rsidR="00FB4ACB" w:rsidRDefault="002E6BD4">
            <w:pPr>
              <w:jc w:val="center"/>
            </w:pPr>
            <w:r>
              <w:rPr>
                <w:color w:val="000000"/>
                <w:sz w:val="24"/>
                <w:szCs w:val="24"/>
              </w:rPr>
              <w:t>1</w:t>
            </w:r>
          </w:p>
        </w:tc>
        <w:tc>
          <w:tcPr>
            <w:tcW w:w="1475" w:type="dxa"/>
            <w:vAlign w:val="center"/>
          </w:tcPr>
          <w:p w:rsidR="00FB4ACB" w:rsidRDefault="002E6BD4">
            <w:pPr>
              <w:jc w:val="center"/>
            </w:pPr>
            <w:r>
              <w:rPr>
                <w:color w:val="000000"/>
                <w:sz w:val="24"/>
                <w:szCs w:val="24"/>
              </w:rPr>
              <w:t>150211</w:t>
            </w:r>
          </w:p>
        </w:tc>
        <w:tc>
          <w:tcPr>
            <w:tcW w:w="1769" w:type="dxa"/>
            <w:vAlign w:val="center"/>
          </w:tcPr>
          <w:p w:rsidR="00FB4ACB" w:rsidRDefault="002E6BD4">
            <w:pPr>
              <w:jc w:val="center"/>
            </w:pPr>
            <w:r>
              <w:rPr>
                <w:color w:val="000000"/>
                <w:sz w:val="24"/>
                <w:szCs w:val="24"/>
              </w:rPr>
              <w:t>15</w:t>
            </w:r>
            <w:r>
              <w:rPr>
                <w:color w:val="000000"/>
                <w:sz w:val="24"/>
                <w:szCs w:val="24"/>
              </w:rPr>
              <w:t>国开</w:t>
            </w:r>
            <w:r>
              <w:rPr>
                <w:color w:val="000000"/>
                <w:sz w:val="24"/>
                <w:szCs w:val="24"/>
              </w:rPr>
              <w:t>11</w:t>
            </w:r>
          </w:p>
        </w:tc>
        <w:tc>
          <w:tcPr>
            <w:tcW w:w="1387" w:type="dxa"/>
            <w:vAlign w:val="center"/>
          </w:tcPr>
          <w:p w:rsidR="00FB4ACB" w:rsidRDefault="002E6BD4">
            <w:pPr>
              <w:jc w:val="right"/>
            </w:pPr>
            <w:r>
              <w:rPr>
                <w:color w:val="000000"/>
                <w:sz w:val="24"/>
                <w:szCs w:val="24"/>
              </w:rPr>
              <w:t>100,000</w:t>
            </w:r>
          </w:p>
        </w:tc>
        <w:tc>
          <w:tcPr>
            <w:tcW w:w="2150" w:type="dxa"/>
            <w:vAlign w:val="center"/>
          </w:tcPr>
          <w:p w:rsidR="00FB4ACB" w:rsidRDefault="002E6BD4">
            <w:pPr>
              <w:jc w:val="right"/>
            </w:pPr>
            <w:r>
              <w:rPr>
                <w:color w:val="000000"/>
                <w:sz w:val="24"/>
                <w:szCs w:val="24"/>
              </w:rPr>
              <w:t>10,029,000.00</w:t>
            </w:r>
          </w:p>
        </w:tc>
        <w:tc>
          <w:tcPr>
            <w:tcW w:w="1237" w:type="dxa"/>
            <w:vAlign w:val="center"/>
          </w:tcPr>
          <w:p w:rsidR="00FB4ACB" w:rsidRDefault="002E6BD4">
            <w:pPr>
              <w:jc w:val="right"/>
            </w:pPr>
            <w:r>
              <w:rPr>
                <w:color w:val="000000"/>
                <w:sz w:val="24"/>
                <w:szCs w:val="24"/>
              </w:rPr>
              <w:t>3.37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398,568.07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219,512.68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658,020.75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1,276,101.50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102,826,579.89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20,098,081.73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13,099,594.93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109,825,066.69</w:t>
            </w:r>
          </w:p>
        </w:tc>
      </w:tr>
    </w:tbl>
    <w:p w:rsidR="00FB4ACB" w:rsidRDefault="002E6BD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鉴于交银施罗德优势行业灵活配置混合型证券投资基金的业绩比较基准的指数停止计算编制，本基金管理人根据基金合同的相关约定，经与基金托管人协商一致，并报中国证监会备案，决定自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日起将交银施罗德优势行业灵活配置混合型证券投资基金的业绩比较基准由原</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，并相应修改基金合同的有关内容。详情请见本基金管理人于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FB4ACB" w:rsidRDefault="002E6BD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FB4ACB" w:rsidRDefault="002E6BD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FB4ACB" w:rsidRDefault="002E6BD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FB4ACB" w:rsidRDefault="002E6BD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FB4ACB" w:rsidRDefault="002E6BD4">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FB4ACB" w:rsidRDefault="002E6BD4">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FB4ACB" w:rsidRDefault="002E6BD4">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FB4ACB" w:rsidRDefault="002E6BD4">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FB4ACB" w:rsidRDefault="002E6BD4">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FB4ACB" w:rsidRDefault="002E6BD4">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FB4ACB" w:rsidRDefault="002E6BD4">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FB4ACB" w:rsidRDefault="002E6BD4">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FB4ACB" w:rsidRDefault="002E6BD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07" w:rsidRDefault="001B5607" w:rsidP="00876D65">
      <w:r>
        <w:separator/>
      </w:r>
    </w:p>
  </w:endnote>
  <w:endnote w:type="continuationSeparator" w:id="0">
    <w:p w:rsidR="001B5607" w:rsidRDefault="001B560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F51D26">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F51D26">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07" w:rsidRDefault="001B5607" w:rsidP="00876D65">
      <w:r>
        <w:separator/>
      </w:r>
    </w:p>
  </w:footnote>
  <w:footnote w:type="continuationSeparator" w:id="0">
    <w:p w:rsidR="001B5607" w:rsidRDefault="001B560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22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2E6BD4"/>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D26"/>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ACB"/>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5:docId w15:val="{9A87F3C1-AD12-4A4B-8EF0-F81E14AB9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C75294-C148-41F6-97CA-E7297070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12</Pages>
  <Words>1134</Words>
  <Characters>6468</Characters>
  <Application>Microsoft Office Word</Application>
  <DocSecurity>0</DocSecurity>
  <Lines>53</Lines>
  <Paragraphs>15</Paragraphs>
  <ScaleCrop>false</ScaleCrop>
  <Company/>
  <LinksUpToDate>false</LinksUpToDate>
  <CharactersWithSpaces>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562</cp:revision>
  <dcterms:created xsi:type="dcterms:W3CDTF">2012-10-16T06:07:00Z</dcterms:created>
  <dcterms:modified xsi:type="dcterms:W3CDTF">2016-01-18T06:12:00Z</dcterms:modified>
</cp:coreProperties>
</file>