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二〇一六年一月二十一日</w:t>
      </w:r>
    </w:p>
    <w:p w:rsidR="009238DB" w:rsidRPr="007F52FA" w:rsidRDefault="009238DB" w:rsidP="00BA5FF3">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9060D" w:rsidRDefault="00BA5FF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9060D" w:rsidRDefault="00BA5FF3">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9060D" w:rsidRDefault="00BA5FF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9060D" w:rsidRDefault="00BA5FF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9060D" w:rsidRDefault="00BA5FF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A5FF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1,290,823,779.03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950,297,029.20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340,526,749.83</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A5FF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10</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14,399,340.93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3,565,165.35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23,795,043.59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6,832,779.49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0.0215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0.0218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996,213,367.30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356,087,946.82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1.0483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1.0457</w:t>
            </w:r>
          </w:p>
        </w:tc>
      </w:tr>
    </w:tbl>
    <w:p w:rsidR="00A9060D" w:rsidRDefault="00BA5FF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9060D">
        <w:trPr>
          <w:jc w:val="center"/>
        </w:trPr>
        <w:tc>
          <w:tcPr>
            <w:tcW w:w="1266" w:type="dxa"/>
            <w:vAlign w:val="center"/>
          </w:tcPr>
          <w:p w:rsidR="00A9060D" w:rsidRDefault="00BA5FF3">
            <w:pPr>
              <w:jc w:val="left"/>
            </w:pPr>
            <w:r>
              <w:rPr>
                <w:color w:val="000000"/>
                <w:sz w:val="24"/>
              </w:rPr>
              <w:lastRenderedPageBreak/>
              <w:t>过去三个月</w:t>
            </w:r>
          </w:p>
        </w:tc>
        <w:tc>
          <w:tcPr>
            <w:tcW w:w="1267" w:type="dxa"/>
            <w:vAlign w:val="center"/>
          </w:tcPr>
          <w:p w:rsidR="00A9060D" w:rsidRDefault="00BA5FF3">
            <w:pPr>
              <w:jc w:val="center"/>
            </w:pPr>
            <w:r>
              <w:rPr>
                <w:color w:val="000000"/>
                <w:sz w:val="24"/>
              </w:rPr>
              <w:t>2.17%</w:t>
            </w:r>
          </w:p>
        </w:tc>
        <w:tc>
          <w:tcPr>
            <w:tcW w:w="1267" w:type="dxa"/>
            <w:vAlign w:val="center"/>
          </w:tcPr>
          <w:p w:rsidR="00A9060D" w:rsidRDefault="00BA5FF3">
            <w:pPr>
              <w:jc w:val="center"/>
            </w:pPr>
            <w:r>
              <w:rPr>
                <w:color w:val="000000"/>
                <w:sz w:val="24"/>
              </w:rPr>
              <w:t>0.08%</w:t>
            </w:r>
          </w:p>
        </w:tc>
        <w:tc>
          <w:tcPr>
            <w:tcW w:w="1267" w:type="dxa"/>
            <w:vAlign w:val="center"/>
          </w:tcPr>
          <w:p w:rsidR="00A9060D" w:rsidRDefault="00BA5FF3">
            <w:pPr>
              <w:jc w:val="center"/>
            </w:pPr>
            <w:r>
              <w:rPr>
                <w:color w:val="000000"/>
                <w:sz w:val="24"/>
              </w:rPr>
              <w:t>0.44%</w:t>
            </w:r>
          </w:p>
        </w:tc>
        <w:tc>
          <w:tcPr>
            <w:tcW w:w="1267" w:type="dxa"/>
            <w:vAlign w:val="center"/>
          </w:tcPr>
          <w:p w:rsidR="00A9060D" w:rsidRDefault="00BA5FF3">
            <w:pPr>
              <w:jc w:val="center"/>
            </w:pPr>
            <w:r>
              <w:rPr>
                <w:color w:val="000000"/>
                <w:sz w:val="24"/>
              </w:rPr>
              <w:t>0.08%</w:t>
            </w:r>
          </w:p>
        </w:tc>
        <w:tc>
          <w:tcPr>
            <w:tcW w:w="1267" w:type="dxa"/>
            <w:vAlign w:val="center"/>
          </w:tcPr>
          <w:p w:rsidR="00A9060D" w:rsidRDefault="00BA5FF3">
            <w:pPr>
              <w:jc w:val="center"/>
            </w:pPr>
            <w:r>
              <w:rPr>
                <w:color w:val="000000"/>
                <w:sz w:val="24"/>
              </w:rPr>
              <w:t>1.73%</w:t>
            </w:r>
          </w:p>
        </w:tc>
        <w:tc>
          <w:tcPr>
            <w:tcW w:w="1267" w:type="dxa"/>
            <w:vAlign w:val="center"/>
          </w:tcPr>
          <w:p w:rsidR="00A9060D" w:rsidRDefault="00BA5FF3">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9060D">
        <w:trPr>
          <w:jc w:val="center"/>
        </w:trPr>
        <w:tc>
          <w:tcPr>
            <w:tcW w:w="1266" w:type="dxa"/>
            <w:vAlign w:val="center"/>
          </w:tcPr>
          <w:p w:rsidR="00A9060D" w:rsidRDefault="00BA5FF3">
            <w:pPr>
              <w:jc w:val="left"/>
            </w:pPr>
            <w:r>
              <w:rPr>
                <w:color w:val="000000"/>
                <w:sz w:val="24"/>
              </w:rPr>
              <w:t>过去三个月</w:t>
            </w:r>
          </w:p>
        </w:tc>
        <w:tc>
          <w:tcPr>
            <w:tcW w:w="1267" w:type="dxa"/>
            <w:vAlign w:val="center"/>
          </w:tcPr>
          <w:p w:rsidR="00A9060D" w:rsidRDefault="00BA5FF3">
            <w:pPr>
              <w:jc w:val="center"/>
            </w:pPr>
            <w:r>
              <w:rPr>
                <w:color w:val="000000"/>
                <w:sz w:val="24"/>
              </w:rPr>
              <w:t>2.07%</w:t>
            </w:r>
          </w:p>
        </w:tc>
        <w:tc>
          <w:tcPr>
            <w:tcW w:w="1267" w:type="dxa"/>
            <w:vAlign w:val="center"/>
          </w:tcPr>
          <w:p w:rsidR="00A9060D" w:rsidRDefault="00BA5FF3">
            <w:pPr>
              <w:jc w:val="center"/>
            </w:pPr>
            <w:r>
              <w:rPr>
                <w:color w:val="000000"/>
                <w:sz w:val="24"/>
              </w:rPr>
              <w:t>0.08%</w:t>
            </w:r>
          </w:p>
        </w:tc>
        <w:tc>
          <w:tcPr>
            <w:tcW w:w="1267" w:type="dxa"/>
            <w:vAlign w:val="center"/>
          </w:tcPr>
          <w:p w:rsidR="00A9060D" w:rsidRDefault="00BA5FF3">
            <w:pPr>
              <w:jc w:val="center"/>
            </w:pPr>
            <w:r>
              <w:rPr>
                <w:color w:val="000000"/>
                <w:sz w:val="24"/>
              </w:rPr>
              <w:t>0.44%</w:t>
            </w:r>
          </w:p>
        </w:tc>
        <w:tc>
          <w:tcPr>
            <w:tcW w:w="1267" w:type="dxa"/>
            <w:vAlign w:val="center"/>
          </w:tcPr>
          <w:p w:rsidR="00A9060D" w:rsidRDefault="00BA5FF3">
            <w:pPr>
              <w:jc w:val="center"/>
            </w:pPr>
            <w:r>
              <w:rPr>
                <w:color w:val="000000"/>
                <w:sz w:val="24"/>
              </w:rPr>
              <w:t>0.08%</w:t>
            </w:r>
          </w:p>
        </w:tc>
        <w:tc>
          <w:tcPr>
            <w:tcW w:w="1267" w:type="dxa"/>
            <w:vAlign w:val="center"/>
          </w:tcPr>
          <w:p w:rsidR="00A9060D" w:rsidRDefault="00BA5FF3">
            <w:pPr>
              <w:jc w:val="center"/>
            </w:pPr>
            <w:r>
              <w:rPr>
                <w:color w:val="000000"/>
                <w:sz w:val="24"/>
              </w:rPr>
              <w:t>1.63%</w:t>
            </w:r>
          </w:p>
        </w:tc>
        <w:tc>
          <w:tcPr>
            <w:tcW w:w="1267" w:type="dxa"/>
            <w:vAlign w:val="center"/>
          </w:tcPr>
          <w:p w:rsidR="00A9060D" w:rsidRDefault="00BA5FF3">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A5FF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9060D">
        <w:trPr>
          <w:jc w:val="center"/>
        </w:trPr>
        <w:tc>
          <w:tcPr>
            <w:tcW w:w="946" w:type="dxa"/>
            <w:vAlign w:val="center"/>
          </w:tcPr>
          <w:p w:rsidR="00A9060D" w:rsidRDefault="00BA5FF3">
            <w:pPr>
              <w:jc w:val="center"/>
            </w:pPr>
            <w:r>
              <w:rPr>
                <w:color w:val="000000"/>
                <w:sz w:val="24"/>
              </w:rPr>
              <w:t>孙超</w:t>
            </w:r>
          </w:p>
        </w:tc>
        <w:tc>
          <w:tcPr>
            <w:tcW w:w="924" w:type="dxa"/>
            <w:vAlign w:val="center"/>
          </w:tcPr>
          <w:p w:rsidR="00A9060D" w:rsidRDefault="00BA5FF3">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的基金经理</w:t>
            </w:r>
          </w:p>
        </w:tc>
        <w:tc>
          <w:tcPr>
            <w:tcW w:w="1202" w:type="dxa"/>
            <w:vAlign w:val="center"/>
          </w:tcPr>
          <w:p w:rsidR="00A9060D" w:rsidRDefault="00BA5FF3">
            <w:pPr>
              <w:jc w:val="center"/>
            </w:pPr>
            <w:r>
              <w:rPr>
                <w:color w:val="000000"/>
                <w:sz w:val="24"/>
              </w:rPr>
              <w:t>2015-07-18</w:t>
            </w:r>
          </w:p>
        </w:tc>
        <w:tc>
          <w:tcPr>
            <w:tcW w:w="1300" w:type="dxa"/>
            <w:vAlign w:val="center"/>
          </w:tcPr>
          <w:p w:rsidR="00A9060D" w:rsidRDefault="00BA5FF3">
            <w:pPr>
              <w:jc w:val="center"/>
            </w:pPr>
            <w:r>
              <w:rPr>
                <w:color w:val="000000"/>
                <w:sz w:val="24"/>
              </w:rPr>
              <w:t>-</w:t>
            </w:r>
          </w:p>
        </w:tc>
        <w:tc>
          <w:tcPr>
            <w:tcW w:w="1245" w:type="dxa"/>
            <w:vAlign w:val="center"/>
          </w:tcPr>
          <w:p w:rsidR="00A9060D" w:rsidRDefault="00BA5FF3">
            <w:pPr>
              <w:jc w:val="center"/>
            </w:pPr>
            <w:r>
              <w:rPr>
                <w:color w:val="000000"/>
                <w:sz w:val="24"/>
              </w:rPr>
              <w:t>4</w:t>
            </w:r>
            <w:r>
              <w:rPr>
                <w:color w:val="000000"/>
                <w:sz w:val="24"/>
              </w:rPr>
              <w:t>年</w:t>
            </w:r>
          </w:p>
        </w:tc>
        <w:tc>
          <w:tcPr>
            <w:tcW w:w="3251" w:type="dxa"/>
            <w:vAlign w:val="center"/>
          </w:tcPr>
          <w:p w:rsidR="00A9060D" w:rsidRDefault="00BA5FF3" w:rsidP="00A14740">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sidR="00A14740">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sidR="00A14740">
              <w:rPr>
                <w:color w:val="000000"/>
                <w:sz w:val="24"/>
              </w:rPr>
              <w:t>17</w:t>
            </w:r>
            <w:r>
              <w:rPr>
                <w:color w:val="000000"/>
                <w:sz w:val="24"/>
              </w:rPr>
              <w:t>日担任交银施罗德双轮动债券型证券投资基金基金经理。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A9060D" w:rsidRDefault="00BA5FF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9060D" w:rsidRDefault="00BA5FF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9060D" w:rsidRDefault="00BA5FF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A9060D" w:rsidRDefault="00BA5FF3">
      <w:pPr>
        <w:spacing w:before="29" w:line="288" w:lineRule="auto"/>
        <w:ind w:firstLineChars="200" w:firstLine="480"/>
        <w:rPr>
          <w:color w:val="000000"/>
          <w:sz w:val="24"/>
        </w:rPr>
      </w:pPr>
      <w:r>
        <w:rPr>
          <w:color w:val="000000"/>
          <w:sz w:val="24"/>
        </w:rPr>
        <w:t>2015</w:t>
      </w:r>
      <w:r>
        <w:rPr>
          <w:color w:val="000000"/>
          <w:sz w:val="24"/>
        </w:rPr>
        <w:t>年四季度债券市场呈震荡上行走势，经济基本面依然不容乐观，通缩压力依旧较大。</w:t>
      </w:r>
      <w:r>
        <w:rPr>
          <w:color w:val="000000"/>
          <w:sz w:val="24"/>
        </w:rPr>
        <w:t>10</w:t>
      </w:r>
      <w:r>
        <w:rPr>
          <w:color w:val="000000"/>
          <w:sz w:val="24"/>
        </w:rPr>
        <w:t>月底央行再次降准降息，金融体系流动性充裕，银行理财和保险资金的配置需求推动债券利率再下一城。</w:t>
      </w:r>
      <w:r>
        <w:rPr>
          <w:color w:val="000000"/>
          <w:sz w:val="24"/>
        </w:rPr>
        <w:t>11</w:t>
      </w:r>
      <w:r>
        <w:rPr>
          <w:color w:val="000000"/>
          <w:sz w:val="24"/>
        </w:rPr>
        <w:t>月份，新股</w:t>
      </w:r>
      <w:r>
        <w:rPr>
          <w:color w:val="000000"/>
          <w:sz w:val="24"/>
        </w:rPr>
        <w:t>IPO</w:t>
      </w:r>
      <w:r>
        <w:rPr>
          <w:color w:val="000000"/>
          <w:sz w:val="24"/>
        </w:rPr>
        <w:t>重启的消息发布后，债市经历了短暂的调整，但</w:t>
      </w:r>
      <w:r>
        <w:rPr>
          <w:color w:val="000000"/>
          <w:sz w:val="24"/>
        </w:rPr>
        <w:t>“</w:t>
      </w:r>
      <w:r>
        <w:rPr>
          <w:color w:val="000000"/>
          <w:sz w:val="24"/>
        </w:rPr>
        <w:t>资产荒</w:t>
      </w:r>
      <w:r>
        <w:rPr>
          <w:color w:val="000000"/>
          <w:sz w:val="24"/>
        </w:rPr>
        <w:t>”</w:t>
      </w:r>
      <w:r>
        <w:rPr>
          <w:color w:val="000000"/>
          <w:sz w:val="24"/>
        </w:rPr>
        <w:t>现象仍然存在，宽松的流动性促使债市继续走牛。</w:t>
      </w:r>
    </w:p>
    <w:p w:rsidR="00A9060D" w:rsidRDefault="00BA5FF3">
      <w:pPr>
        <w:spacing w:before="29" w:line="288" w:lineRule="auto"/>
        <w:ind w:firstLineChars="200" w:firstLine="480"/>
        <w:rPr>
          <w:color w:val="000000"/>
          <w:sz w:val="24"/>
        </w:rPr>
      </w:pPr>
      <w:r>
        <w:rPr>
          <w:color w:val="000000"/>
          <w:sz w:val="24"/>
        </w:rPr>
        <w:t>中债总全价（总值）指数在四季度上涨</w:t>
      </w:r>
      <w:r>
        <w:rPr>
          <w:color w:val="000000"/>
          <w:sz w:val="24"/>
        </w:rPr>
        <w:t>2.37%</w:t>
      </w:r>
      <w:r>
        <w:rPr>
          <w:color w:val="000000"/>
          <w:sz w:val="24"/>
        </w:rPr>
        <w:t>。本基金提高了中长久期利率债和高等级信用债的配置比例，继续分享债券牛市的成果。四季度本基金继续低配了转债和可交换债。</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展望后市，预计</w:t>
      </w:r>
      <w:r w:rsidRPr="007F52FA">
        <w:rPr>
          <w:color w:val="000000"/>
          <w:sz w:val="24"/>
        </w:rPr>
        <w:t>2016</w:t>
      </w:r>
      <w:r w:rsidRPr="007F52FA">
        <w:rPr>
          <w:color w:val="000000"/>
          <w:sz w:val="24"/>
        </w:rPr>
        <w:t>年房地产投资仍然难以大幅改善，通缩风险或将延续，经济基本面或许仍然支持债券牛市。为了对冲汇率市场波动引起的外汇流出，以及降低实体经济融资成本，央行预计还会保持适度宽松的货币政策。金融体系目前资金量充足，对债券仍有强烈的配置需求。当前期限利差极度扁平化，</w:t>
      </w:r>
      <w:r w:rsidRPr="007F52FA">
        <w:rPr>
          <w:color w:val="000000"/>
          <w:sz w:val="24"/>
        </w:rPr>
        <w:t>2016</w:t>
      </w:r>
      <w:r w:rsidRPr="007F52FA">
        <w:rPr>
          <w:color w:val="000000"/>
          <w:sz w:val="24"/>
        </w:rPr>
        <w:t>年在央行多种货币政策工具以及利率走廊的引导下，短端利率有望下行，并且波动性下降。然而货币政策边际影响将小于财政政策。后续财政方面的举措值得密切关注，财政政策一旦走向</w:t>
      </w:r>
      <w:r w:rsidRPr="007F52FA">
        <w:rPr>
          <w:color w:val="000000"/>
          <w:sz w:val="24"/>
        </w:rPr>
        <w:t>“</w:t>
      </w:r>
      <w:r w:rsidRPr="007F52FA">
        <w:rPr>
          <w:color w:val="000000"/>
          <w:sz w:val="24"/>
        </w:rPr>
        <w:t>实际积极</w:t>
      </w:r>
      <w:r w:rsidRPr="007F52FA">
        <w:rPr>
          <w:color w:val="000000"/>
          <w:sz w:val="24"/>
        </w:rPr>
        <w:t>”</w:t>
      </w:r>
      <w:r w:rsidRPr="007F52FA">
        <w:rPr>
          <w:color w:val="000000"/>
          <w:sz w:val="24"/>
        </w:rPr>
        <w:t>，将对债券市场产生明显影响。当前债券利率已经创下</w:t>
      </w:r>
      <w:r w:rsidRPr="007F52FA">
        <w:rPr>
          <w:color w:val="000000"/>
          <w:sz w:val="24"/>
        </w:rPr>
        <w:t>10</w:t>
      </w:r>
      <w:r w:rsidRPr="007F52FA">
        <w:rPr>
          <w:color w:val="000000"/>
          <w:sz w:val="24"/>
        </w:rPr>
        <w:t>年新低，投资者情绪较为脆弱，博弈所带来的波动将有所加大。从投资者结构来看，保险和银行理财的资产负债配置思路将面临重大挑战，打破刚兑步伐加快、信用风险逐渐暴露，保险和银行理财的风险偏好趋于下行。旨在转移流动性风险和信用风险的</w:t>
      </w:r>
      <w:r w:rsidRPr="007F52FA">
        <w:rPr>
          <w:color w:val="000000"/>
          <w:sz w:val="24"/>
        </w:rPr>
        <w:t>“</w:t>
      </w:r>
      <w:r w:rsidRPr="007F52FA">
        <w:rPr>
          <w:color w:val="000000"/>
          <w:sz w:val="24"/>
        </w:rPr>
        <w:t>委外</w:t>
      </w:r>
      <w:r w:rsidRPr="007F52FA">
        <w:rPr>
          <w:color w:val="000000"/>
          <w:sz w:val="24"/>
        </w:rPr>
        <w:t>”</w:t>
      </w:r>
      <w:r w:rsidRPr="007F52FA">
        <w:rPr>
          <w:color w:val="000000"/>
          <w:sz w:val="24"/>
        </w:rPr>
        <w:t>热潮预计将延续，但</w:t>
      </w:r>
      <w:r w:rsidRPr="007F52FA">
        <w:rPr>
          <w:color w:val="000000"/>
          <w:sz w:val="24"/>
        </w:rPr>
        <w:t>“</w:t>
      </w:r>
      <w:r w:rsidRPr="007F52FA">
        <w:rPr>
          <w:color w:val="000000"/>
          <w:sz w:val="24"/>
        </w:rPr>
        <w:t>委外</w:t>
      </w:r>
      <w:r w:rsidRPr="007F52FA">
        <w:rPr>
          <w:color w:val="000000"/>
          <w:sz w:val="24"/>
        </w:rPr>
        <w:t>”</w:t>
      </w:r>
      <w:r w:rsidRPr="007F52FA">
        <w:rPr>
          <w:color w:val="000000"/>
          <w:sz w:val="24"/>
        </w:rPr>
        <w:t>的道德风险爆发也许近在眼前。股债混合产品为机构带来增厚收益的希望的同时，也不可避免地加大了其投资回报的波动性。从金融体系来看，金融深化下各类金融机构的</w:t>
      </w:r>
      <w:r w:rsidRPr="007F52FA">
        <w:rPr>
          <w:color w:val="000000"/>
          <w:sz w:val="24"/>
        </w:rPr>
        <w:t>“</w:t>
      </w:r>
      <w:r w:rsidRPr="007F52FA">
        <w:rPr>
          <w:color w:val="000000"/>
          <w:sz w:val="24"/>
        </w:rPr>
        <w:t>影子银行</w:t>
      </w:r>
      <w:r w:rsidRPr="007F52FA">
        <w:rPr>
          <w:color w:val="000000"/>
          <w:sz w:val="24"/>
        </w:rPr>
        <w:t>”</w:t>
      </w:r>
      <w:r w:rsidRPr="007F52FA">
        <w:rPr>
          <w:color w:val="000000"/>
          <w:sz w:val="24"/>
        </w:rPr>
        <w:t>业务进一步复杂化，刚性兑付下市场的野蛮生长与管理层维持金融稳定的目标并不相容，博弈过程则难以预料。总体来看，市场波动风险将明显加大。本基金</w:t>
      </w:r>
      <w:r w:rsidRPr="007F52FA">
        <w:rPr>
          <w:color w:val="000000"/>
          <w:sz w:val="24"/>
        </w:rPr>
        <w:t>2016</w:t>
      </w:r>
      <w:r w:rsidRPr="007F52FA">
        <w:rPr>
          <w:color w:val="000000"/>
          <w:sz w:val="24"/>
        </w:rPr>
        <w:t>年一季度考虑视情况适当缩短久期，继续维持高等级信用债和利率债的主体仓位，以审慎的操作风格应对债券市场可能的波动。新转债和可交换债加速发行后，本基金或将择机、择券进行上述资产的波段操作。</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日，交银增利债券</w:t>
      </w:r>
      <w:r w:rsidRPr="007F52FA">
        <w:rPr>
          <w:color w:val="000000"/>
          <w:sz w:val="24"/>
        </w:rPr>
        <w:t>A/B</w:t>
      </w:r>
      <w:r w:rsidRPr="007F52FA">
        <w:rPr>
          <w:color w:val="000000"/>
          <w:sz w:val="24"/>
        </w:rPr>
        <w:t>份额净值为</w:t>
      </w:r>
      <w:r w:rsidRPr="007F52FA">
        <w:rPr>
          <w:color w:val="000000"/>
          <w:sz w:val="24"/>
        </w:rPr>
        <w:t>1.0483</w:t>
      </w:r>
      <w:r w:rsidRPr="007F52FA">
        <w:rPr>
          <w:color w:val="000000"/>
          <w:sz w:val="24"/>
        </w:rPr>
        <w:t>元，本报告期份额净值增长率为</w:t>
      </w:r>
      <w:r w:rsidRPr="007F52FA">
        <w:rPr>
          <w:color w:val="000000"/>
          <w:sz w:val="24"/>
        </w:rPr>
        <w:t>2.17%</w:t>
      </w:r>
      <w:r w:rsidRPr="007F52FA">
        <w:rPr>
          <w:color w:val="000000"/>
          <w:sz w:val="24"/>
        </w:rPr>
        <w:t>，同期业绩比较基准增长率为</w:t>
      </w:r>
      <w:r w:rsidRPr="007F52FA">
        <w:rPr>
          <w:color w:val="000000"/>
          <w:sz w:val="24"/>
        </w:rPr>
        <w:t>0.44%</w:t>
      </w:r>
      <w:r w:rsidRPr="007F52FA">
        <w:rPr>
          <w:color w:val="000000"/>
          <w:sz w:val="24"/>
        </w:rPr>
        <w:t>；交银增利债券</w:t>
      </w:r>
      <w:r w:rsidRPr="007F52FA">
        <w:rPr>
          <w:color w:val="000000"/>
          <w:sz w:val="24"/>
        </w:rPr>
        <w:t>C</w:t>
      </w:r>
      <w:r w:rsidRPr="007F52FA">
        <w:rPr>
          <w:color w:val="000000"/>
          <w:sz w:val="24"/>
        </w:rPr>
        <w:t>份额净值为</w:t>
      </w:r>
      <w:r w:rsidRPr="007F52FA">
        <w:rPr>
          <w:color w:val="000000"/>
          <w:sz w:val="24"/>
        </w:rPr>
        <w:t>1.0457</w:t>
      </w:r>
      <w:r w:rsidRPr="007F52FA">
        <w:rPr>
          <w:color w:val="000000"/>
          <w:sz w:val="24"/>
        </w:rPr>
        <w:t>元，本报告期份额净值增长率为</w:t>
      </w:r>
      <w:r w:rsidRPr="007F52FA">
        <w:rPr>
          <w:color w:val="000000"/>
          <w:sz w:val="24"/>
        </w:rPr>
        <w:t>2.07%</w:t>
      </w:r>
      <w:r w:rsidRPr="007F52FA">
        <w:rPr>
          <w:color w:val="000000"/>
          <w:sz w:val="24"/>
        </w:rPr>
        <w:t>，同期业绩比较基准增长率为</w:t>
      </w:r>
      <w:r w:rsidRPr="007F52FA">
        <w:rPr>
          <w:color w:val="000000"/>
          <w:sz w:val="24"/>
        </w:rPr>
        <w:t>0.44%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BA5FF3">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A5FF3">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1,788,283,705.91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87.65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1,671,243,705.91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81.92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117,040,000.00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5.74</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125,492,011.48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6.15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65,491,801.48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3.21</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101,458,852.79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4.97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24,921,040.89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1.22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2,040,155,611.07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216,114,000.00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15.98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121,850,000.00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9.01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121,850,000.00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9.01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856,702,290.20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63.35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95,368,000.00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346,415,000.00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25.62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34,794,415.71</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2.57</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1,671,243,705.91</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123.59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9060D">
        <w:trPr>
          <w:jc w:val="center"/>
        </w:trPr>
        <w:tc>
          <w:tcPr>
            <w:tcW w:w="1075" w:type="dxa"/>
            <w:vAlign w:val="center"/>
          </w:tcPr>
          <w:p w:rsidR="00A9060D" w:rsidRDefault="00BA5FF3">
            <w:pPr>
              <w:jc w:val="center"/>
            </w:pPr>
            <w:r>
              <w:rPr>
                <w:color w:val="000000"/>
                <w:sz w:val="24"/>
              </w:rPr>
              <w:t>1</w:t>
            </w:r>
          </w:p>
        </w:tc>
        <w:tc>
          <w:tcPr>
            <w:tcW w:w="1533" w:type="dxa"/>
            <w:vAlign w:val="center"/>
          </w:tcPr>
          <w:p w:rsidR="00A9060D" w:rsidRDefault="00BA5FF3">
            <w:pPr>
              <w:jc w:val="center"/>
            </w:pPr>
            <w:r>
              <w:rPr>
                <w:color w:val="000000"/>
                <w:sz w:val="24"/>
              </w:rPr>
              <w:t>150023</w:t>
            </w:r>
          </w:p>
        </w:tc>
        <w:tc>
          <w:tcPr>
            <w:tcW w:w="1533" w:type="dxa"/>
            <w:vAlign w:val="center"/>
          </w:tcPr>
          <w:p w:rsidR="00A9060D" w:rsidRDefault="00BA5FF3">
            <w:pPr>
              <w:jc w:val="center"/>
            </w:pPr>
            <w:r>
              <w:rPr>
                <w:color w:val="000000"/>
                <w:sz w:val="24"/>
              </w:rPr>
              <w:t>15</w:t>
            </w:r>
            <w:r>
              <w:rPr>
                <w:color w:val="000000"/>
                <w:sz w:val="24"/>
              </w:rPr>
              <w:t>附息国债</w:t>
            </w:r>
            <w:r>
              <w:rPr>
                <w:color w:val="000000"/>
                <w:sz w:val="24"/>
              </w:rPr>
              <w:t>23</w:t>
            </w:r>
          </w:p>
        </w:tc>
        <w:tc>
          <w:tcPr>
            <w:tcW w:w="1394" w:type="dxa"/>
            <w:vAlign w:val="center"/>
          </w:tcPr>
          <w:p w:rsidR="00A9060D" w:rsidRDefault="00BA5FF3">
            <w:pPr>
              <w:jc w:val="right"/>
            </w:pPr>
            <w:r>
              <w:rPr>
                <w:color w:val="000000"/>
                <w:sz w:val="24"/>
              </w:rPr>
              <w:t>1,000,000</w:t>
            </w:r>
          </w:p>
        </w:tc>
        <w:tc>
          <w:tcPr>
            <w:tcW w:w="1944" w:type="dxa"/>
            <w:vAlign w:val="center"/>
          </w:tcPr>
          <w:p w:rsidR="00A9060D" w:rsidRDefault="00BA5FF3">
            <w:pPr>
              <w:jc w:val="right"/>
            </w:pPr>
            <w:r>
              <w:rPr>
                <w:color w:val="000000"/>
                <w:sz w:val="24"/>
              </w:rPr>
              <w:t>101,440,000.00</w:t>
            </w:r>
          </w:p>
        </w:tc>
        <w:tc>
          <w:tcPr>
            <w:tcW w:w="1389" w:type="dxa"/>
            <w:vAlign w:val="center"/>
          </w:tcPr>
          <w:p w:rsidR="00A9060D" w:rsidRDefault="00BA5FF3">
            <w:pPr>
              <w:jc w:val="right"/>
            </w:pPr>
            <w:r>
              <w:rPr>
                <w:color w:val="000000"/>
                <w:sz w:val="24"/>
              </w:rPr>
              <w:t>7.50</w:t>
            </w:r>
          </w:p>
        </w:tc>
      </w:tr>
      <w:tr w:rsidR="00A9060D">
        <w:trPr>
          <w:jc w:val="center"/>
        </w:trPr>
        <w:tc>
          <w:tcPr>
            <w:tcW w:w="1075" w:type="dxa"/>
            <w:vAlign w:val="center"/>
          </w:tcPr>
          <w:p w:rsidR="00A9060D" w:rsidRDefault="00BA5FF3">
            <w:pPr>
              <w:jc w:val="center"/>
            </w:pPr>
            <w:r>
              <w:rPr>
                <w:color w:val="000000"/>
                <w:sz w:val="24"/>
              </w:rPr>
              <w:t>2</w:t>
            </w:r>
          </w:p>
        </w:tc>
        <w:tc>
          <w:tcPr>
            <w:tcW w:w="1533" w:type="dxa"/>
            <w:vAlign w:val="center"/>
          </w:tcPr>
          <w:p w:rsidR="00A9060D" w:rsidRDefault="00BA5FF3">
            <w:pPr>
              <w:jc w:val="center"/>
            </w:pPr>
            <w:r>
              <w:rPr>
                <w:color w:val="000000"/>
                <w:sz w:val="24"/>
              </w:rPr>
              <w:t>101551101</w:t>
            </w:r>
          </w:p>
        </w:tc>
        <w:tc>
          <w:tcPr>
            <w:tcW w:w="1533" w:type="dxa"/>
            <w:vAlign w:val="center"/>
          </w:tcPr>
          <w:p w:rsidR="00A9060D" w:rsidRDefault="00BA5FF3">
            <w:pPr>
              <w:jc w:val="center"/>
            </w:pPr>
            <w:r>
              <w:rPr>
                <w:color w:val="000000"/>
                <w:sz w:val="24"/>
              </w:rPr>
              <w:t>15</w:t>
            </w:r>
            <w:r>
              <w:rPr>
                <w:color w:val="000000"/>
                <w:sz w:val="24"/>
              </w:rPr>
              <w:t>深能源</w:t>
            </w:r>
            <w:r>
              <w:rPr>
                <w:color w:val="000000"/>
                <w:sz w:val="24"/>
              </w:rPr>
              <w:t>MTN001</w:t>
            </w:r>
          </w:p>
        </w:tc>
        <w:tc>
          <w:tcPr>
            <w:tcW w:w="1394" w:type="dxa"/>
            <w:vAlign w:val="center"/>
          </w:tcPr>
          <w:p w:rsidR="00A9060D" w:rsidRDefault="00BA5FF3">
            <w:pPr>
              <w:jc w:val="right"/>
            </w:pPr>
            <w:r>
              <w:rPr>
                <w:color w:val="000000"/>
                <w:sz w:val="24"/>
              </w:rPr>
              <w:t>800,000</w:t>
            </w:r>
          </w:p>
        </w:tc>
        <w:tc>
          <w:tcPr>
            <w:tcW w:w="1944" w:type="dxa"/>
            <w:vAlign w:val="center"/>
          </w:tcPr>
          <w:p w:rsidR="00A9060D" w:rsidRDefault="00BA5FF3">
            <w:pPr>
              <w:jc w:val="right"/>
            </w:pPr>
            <w:r>
              <w:rPr>
                <w:color w:val="000000"/>
                <w:sz w:val="24"/>
              </w:rPr>
              <w:t>81,616,000.00</w:t>
            </w:r>
          </w:p>
        </w:tc>
        <w:tc>
          <w:tcPr>
            <w:tcW w:w="1389" w:type="dxa"/>
            <w:vAlign w:val="center"/>
          </w:tcPr>
          <w:p w:rsidR="00A9060D" w:rsidRDefault="00BA5FF3">
            <w:pPr>
              <w:jc w:val="right"/>
            </w:pPr>
            <w:r>
              <w:rPr>
                <w:color w:val="000000"/>
                <w:sz w:val="24"/>
              </w:rPr>
              <w:t>6.04</w:t>
            </w:r>
          </w:p>
        </w:tc>
      </w:tr>
      <w:tr w:rsidR="00A9060D">
        <w:trPr>
          <w:jc w:val="center"/>
        </w:trPr>
        <w:tc>
          <w:tcPr>
            <w:tcW w:w="1075" w:type="dxa"/>
            <w:vAlign w:val="center"/>
          </w:tcPr>
          <w:p w:rsidR="00A9060D" w:rsidRDefault="00BA5FF3">
            <w:pPr>
              <w:jc w:val="center"/>
            </w:pPr>
            <w:r>
              <w:rPr>
                <w:color w:val="000000"/>
                <w:sz w:val="24"/>
              </w:rPr>
              <w:t>3</w:t>
            </w:r>
          </w:p>
        </w:tc>
        <w:tc>
          <w:tcPr>
            <w:tcW w:w="1533" w:type="dxa"/>
            <w:vAlign w:val="center"/>
          </w:tcPr>
          <w:p w:rsidR="00A9060D" w:rsidRDefault="00BA5FF3">
            <w:pPr>
              <w:jc w:val="center"/>
            </w:pPr>
            <w:r>
              <w:rPr>
                <w:color w:val="000000"/>
                <w:sz w:val="24"/>
              </w:rPr>
              <w:t>136014</w:t>
            </w:r>
          </w:p>
        </w:tc>
        <w:tc>
          <w:tcPr>
            <w:tcW w:w="1533" w:type="dxa"/>
            <w:vAlign w:val="center"/>
          </w:tcPr>
          <w:p w:rsidR="00A9060D" w:rsidRDefault="00BA5FF3">
            <w:pPr>
              <w:jc w:val="center"/>
            </w:pPr>
            <w:r>
              <w:rPr>
                <w:color w:val="000000"/>
                <w:sz w:val="24"/>
              </w:rPr>
              <w:t>15</w:t>
            </w:r>
            <w:r>
              <w:rPr>
                <w:color w:val="000000"/>
                <w:sz w:val="24"/>
              </w:rPr>
              <w:t>福投债</w:t>
            </w:r>
          </w:p>
        </w:tc>
        <w:tc>
          <w:tcPr>
            <w:tcW w:w="1394" w:type="dxa"/>
            <w:vAlign w:val="center"/>
          </w:tcPr>
          <w:p w:rsidR="00A9060D" w:rsidRDefault="00BA5FF3">
            <w:pPr>
              <w:jc w:val="right"/>
            </w:pPr>
            <w:r>
              <w:rPr>
                <w:color w:val="000000"/>
                <w:sz w:val="24"/>
              </w:rPr>
              <w:t>700,000</w:t>
            </w:r>
          </w:p>
        </w:tc>
        <w:tc>
          <w:tcPr>
            <w:tcW w:w="1944" w:type="dxa"/>
            <w:vAlign w:val="center"/>
          </w:tcPr>
          <w:p w:rsidR="00A9060D" w:rsidRDefault="00BA5FF3">
            <w:pPr>
              <w:jc w:val="right"/>
            </w:pPr>
            <w:r>
              <w:rPr>
                <w:color w:val="000000"/>
                <w:sz w:val="24"/>
              </w:rPr>
              <w:t>70,840,000.00</w:t>
            </w:r>
          </w:p>
        </w:tc>
        <w:tc>
          <w:tcPr>
            <w:tcW w:w="1389" w:type="dxa"/>
            <w:vAlign w:val="center"/>
          </w:tcPr>
          <w:p w:rsidR="00A9060D" w:rsidRDefault="00BA5FF3">
            <w:pPr>
              <w:jc w:val="right"/>
            </w:pPr>
            <w:r>
              <w:rPr>
                <w:color w:val="000000"/>
                <w:sz w:val="24"/>
              </w:rPr>
              <w:t>5.24</w:t>
            </w:r>
          </w:p>
        </w:tc>
      </w:tr>
      <w:tr w:rsidR="00A9060D">
        <w:trPr>
          <w:jc w:val="center"/>
        </w:trPr>
        <w:tc>
          <w:tcPr>
            <w:tcW w:w="1075" w:type="dxa"/>
            <w:vAlign w:val="center"/>
          </w:tcPr>
          <w:p w:rsidR="00A9060D" w:rsidRDefault="00BA5FF3">
            <w:pPr>
              <w:jc w:val="center"/>
            </w:pPr>
            <w:r>
              <w:rPr>
                <w:color w:val="000000"/>
                <w:sz w:val="24"/>
              </w:rPr>
              <w:t>4</w:t>
            </w:r>
          </w:p>
        </w:tc>
        <w:tc>
          <w:tcPr>
            <w:tcW w:w="1533" w:type="dxa"/>
            <w:vAlign w:val="center"/>
          </w:tcPr>
          <w:p w:rsidR="00A9060D" w:rsidRDefault="00BA5FF3">
            <w:pPr>
              <w:jc w:val="center"/>
            </w:pPr>
            <w:r>
              <w:rPr>
                <w:color w:val="000000"/>
                <w:sz w:val="24"/>
              </w:rPr>
              <w:t>1580306</w:t>
            </w:r>
          </w:p>
        </w:tc>
        <w:tc>
          <w:tcPr>
            <w:tcW w:w="1533" w:type="dxa"/>
            <w:vAlign w:val="center"/>
          </w:tcPr>
          <w:p w:rsidR="00A9060D" w:rsidRDefault="00BA5FF3">
            <w:pPr>
              <w:jc w:val="center"/>
            </w:pPr>
            <w:r>
              <w:rPr>
                <w:color w:val="000000"/>
                <w:sz w:val="24"/>
              </w:rPr>
              <w:t>15</w:t>
            </w:r>
            <w:r>
              <w:rPr>
                <w:color w:val="000000"/>
                <w:sz w:val="24"/>
              </w:rPr>
              <w:t>长沙轨道债</w:t>
            </w:r>
            <w:r>
              <w:rPr>
                <w:color w:val="000000"/>
                <w:sz w:val="24"/>
              </w:rPr>
              <w:t>03</w:t>
            </w:r>
          </w:p>
        </w:tc>
        <w:tc>
          <w:tcPr>
            <w:tcW w:w="1394" w:type="dxa"/>
            <w:vAlign w:val="center"/>
          </w:tcPr>
          <w:p w:rsidR="00A9060D" w:rsidRDefault="00BA5FF3">
            <w:pPr>
              <w:jc w:val="right"/>
            </w:pPr>
            <w:r>
              <w:rPr>
                <w:color w:val="000000"/>
                <w:sz w:val="24"/>
              </w:rPr>
              <w:t>700,000</w:t>
            </w:r>
          </w:p>
        </w:tc>
        <w:tc>
          <w:tcPr>
            <w:tcW w:w="1944" w:type="dxa"/>
            <w:vAlign w:val="center"/>
          </w:tcPr>
          <w:p w:rsidR="00A9060D" w:rsidRDefault="00BA5FF3">
            <w:pPr>
              <w:jc w:val="right"/>
            </w:pPr>
            <w:r>
              <w:rPr>
                <w:color w:val="000000"/>
                <w:sz w:val="24"/>
              </w:rPr>
              <w:t>69,846,000.00</w:t>
            </w:r>
          </w:p>
        </w:tc>
        <w:tc>
          <w:tcPr>
            <w:tcW w:w="1389" w:type="dxa"/>
            <w:vAlign w:val="center"/>
          </w:tcPr>
          <w:p w:rsidR="00A9060D" w:rsidRDefault="00BA5FF3">
            <w:pPr>
              <w:jc w:val="right"/>
            </w:pPr>
            <w:r>
              <w:rPr>
                <w:color w:val="000000"/>
                <w:sz w:val="24"/>
              </w:rPr>
              <w:t>5.16</w:t>
            </w:r>
          </w:p>
        </w:tc>
      </w:tr>
      <w:tr w:rsidR="00A9060D">
        <w:trPr>
          <w:jc w:val="center"/>
        </w:trPr>
        <w:tc>
          <w:tcPr>
            <w:tcW w:w="1075" w:type="dxa"/>
            <w:vAlign w:val="center"/>
          </w:tcPr>
          <w:p w:rsidR="00A9060D" w:rsidRDefault="00BA5FF3">
            <w:pPr>
              <w:jc w:val="center"/>
            </w:pPr>
            <w:r>
              <w:rPr>
                <w:color w:val="000000"/>
                <w:sz w:val="24"/>
              </w:rPr>
              <w:t>5</w:t>
            </w:r>
          </w:p>
        </w:tc>
        <w:tc>
          <w:tcPr>
            <w:tcW w:w="1533" w:type="dxa"/>
            <w:vAlign w:val="center"/>
          </w:tcPr>
          <w:p w:rsidR="00A9060D" w:rsidRDefault="00BA5FF3">
            <w:pPr>
              <w:jc w:val="center"/>
            </w:pPr>
            <w:r>
              <w:rPr>
                <w:color w:val="000000"/>
                <w:sz w:val="24"/>
              </w:rPr>
              <w:t>125872</w:t>
            </w:r>
          </w:p>
        </w:tc>
        <w:tc>
          <w:tcPr>
            <w:tcW w:w="1533" w:type="dxa"/>
            <w:vAlign w:val="center"/>
          </w:tcPr>
          <w:p w:rsidR="00A9060D" w:rsidRDefault="00BA5FF3">
            <w:pPr>
              <w:jc w:val="center"/>
            </w:pPr>
            <w:r>
              <w:rPr>
                <w:color w:val="000000"/>
                <w:sz w:val="24"/>
              </w:rPr>
              <w:t>15</w:t>
            </w:r>
            <w:r>
              <w:rPr>
                <w:color w:val="000000"/>
                <w:sz w:val="24"/>
              </w:rPr>
              <w:t>永安债</w:t>
            </w:r>
          </w:p>
        </w:tc>
        <w:tc>
          <w:tcPr>
            <w:tcW w:w="1394" w:type="dxa"/>
            <w:vAlign w:val="center"/>
          </w:tcPr>
          <w:p w:rsidR="00A9060D" w:rsidRDefault="00BA5FF3">
            <w:pPr>
              <w:jc w:val="right"/>
            </w:pPr>
            <w:r>
              <w:rPr>
                <w:color w:val="000000"/>
                <w:sz w:val="24"/>
              </w:rPr>
              <w:t>600,000</w:t>
            </w:r>
          </w:p>
        </w:tc>
        <w:tc>
          <w:tcPr>
            <w:tcW w:w="1944" w:type="dxa"/>
            <w:vAlign w:val="center"/>
          </w:tcPr>
          <w:p w:rsidR="00A9060D" w:rsidRDefault="00BA5FF3">
            <w:pPr>
              <w:jc w:val="right"/>
            </w:pPr>
            <w:r>
              <w:rPr>
                <w:color w:val="000000"/>
                <w:sz w:val="24"/>
              </w:rPr>
              <w:t>59,928,000.00</w:t>
            </w:r>
          </w:p>
        </w:tc>
        <w:tc>
          <w:tcPr>
            <w:tcW w:w="1389" w:type="dxa"/>
            <w:vAlign w:val="center"/>
          </w:tcPr>
          <w:p w:rsidR="00A9060D" w:rsidRDefault="00BA5FF3">
            <w:pPr>
              <w:jc w:val="right"/>
            </w:pPr>
            <w:r>
              <w:rPr>
                <w:color w:val="000000"/>
                <w:sz w:val="24"/>
              </w:rPr>
              <w:t>4.43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30"/>
        <w:gridCol w:w="1472"/>
        <w:gridCol w:w="1441"/>
        <w:gridCol w:w="1466"/>
        <w:gridCol w:w="1596"/>
        <w:gridCol w:w="1463"/>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A9060D">
        <w:trPr>
          <w:jc w:val="center"/>
        </w:trPr>
        <w:tc>
          <w:tcPr>
            <w:tcW w:w="0" w:type="auto"/>
            <w:vAlign w:val="center"/>
          </w:tcPr>
          <w:p w:rsidR="00A9060D" w:rsidRDefault="00BA5FF3">
            <w:pPr>
              <w:jc w:val="center"/>
            </w:pPr>
            <w:r>
              <w:rPr>
                <w:color w:val="000000"/>
                <w:sz w:val="24"/>
              </w:rPr>
              <w:t>1</w:t>
            </w:r>
          </w:p>
        </w:tc>
        <w:tc>
          <w:tcPr>
            <w:tcW w:w="0" w:type="auto"/>
            <w:vAlign w:val="center"/>
          </w:tcPr>
          <w:p w:rsidR="00A9060D" w:rsidRDefault="00BA5FF3">
            <w:pPr>
              <w:jc w:val="center"/>
            </w:pPr>
            <w:r>
              <w:rPr>
                <w:color w:val="000000"/>
                <w:sz w:val="24"/>
              </w:rPr>
              <w:t>1589213</w:t>
            </w:r>
          </w:p>
        </w:tc>
        <w:tc>
          <w:tcPr>
            <w:tcW w:w="0" w:type="auto"/>
            <w:vAlign w:val="center"/>
          </w:tcPr>
          <w:p w:rsidR="00A9060D" w:rsidRDefault="00BA5FF3">
            <w:pPr>
              <w:jc w:val="center"/>
            </w:pPr>
            <w:r>
              <w:rPr>
                <w:color w:val="000000"/>
                <w:sz w:val="24"/>
              </w:rPr>
              <w:t>15</w:t>
            </w:r>
            <w:r>
              <w:rPr>
                <w:color w:val="000000"/>
                <w:sz w:val="24"/>
              </w:rPr>
              <w:t>开元</w:t>
            </w:r>
            <w:r>
              <w:rPr>
                <w:color w:val="000000"/>
                <w:sz w:val="24"/>
              </w:rPr>
              <w:t>5A3</w:t>
            </w:r>
          </w:p>
        </w:tc>
        <w:tc>
          <w:tcPr>
            <w:tcW w:w="0" w:type="auto"/>
            <w:vAlign w:val="center"/>
          </w:tcPr>
          <w:p w:rsidR="00A9060D" w:rsidRDefault="00BA5FF3">
            <w:pPr>
              <w:jc w:val="right"/>
            </w:pPr>
            <w:r>
              <w:rPr>
                <w:color w:val="000000"/>
                <w:sz w:val="24"/>
              </w:rPr>
              <w:t>500,000</w:t>
            </w:r>
          </w:p>
        </w:tc>
        <w:tc>
          <w:tcPr>
            <w:tcW w:w="0" w:type="auto"/>
            <w:vAlign w:val="center"/>
          </w:tcPr>
          <w:p w:rsidR="00A9060D" w:rsidRDefault="00BA5FF3">
            <w:pPr>
              <w:jc w:val="right"/>
            </w:pPr>
            <w:r>
              <w:rPr>
                <w:color w:val="000000"/>
                <w:sz w:val="24"/>
              </w:rPr>
              <w:t>50,310,000.00</w:t>
            </w:r>
          </w:p>
        </w:tc>
        <w:tc>
          <w:tcPr>
            <w:tcW w:w="0" w:type="auto"/>
            <w:vAlign w:val="center"/>
          </w:tcPr>
          <w:p w:rsidR="00A9060D" w:rsidRDefault="00BA5FF3">
            <w:pPr>
              <w:jc w:val="right"/>
            </w:pPr>
            <w:r>
              <w:rPr>
                <w:color w:val="000000"/>
                <w:sz w:val="24"/>
              </w:rPr>
              <w:t>3.72</w:t>
            </w:r>
          </w:p>
        </w:tc>
      </w:tr>
      <w:tr w:rsidR="00A9060D">
        <w:trPr>
          <w:jc w:val="center"/>
        </w:trPr>
        <w:tc>
          <w:tcPr>
            <w:tcW w:w="0" w:type="auto"/>
            <w:vAlign w:val="center"/>
          </w:tcPr>
          <w:p w:rsidR="00A9060D" w:rsidRDefault="00BA5FF3">
            <w:pPr>
              <w:jc w:val="center"/>
            </w:pPr>
            <w:r>
              <w:rPr>
                <w:color w:val="000000"/>
                <w:sz w:val="24"/>
              </w:rPr>
              <w:t>2</w:t>
            </w:r>
          </w:p>
        </w:tc>
        <w:tc>
          <w:tcPr>
            <w:tcW w:w="0" w:type="auto"/>
            <w:vAlign w:val="center"/>
          </w:tcPr>
          <w:p w:rsidR="00A9060D" w:rsidRDefault="00BA5FF3">
            <w:pPr>
              <w:jc w:val="center"/>
            </w:pPr>
            <w:r>
              <w:rPr>
                <w:color w:val="000000"/>
                <w:sz w:val="24"/>
              </w:rPr>
              <w:t>1589212</w:t>
            </w:r>
          </w:p>
        </w:tc>
        <w:tc>
          <w:tcPr>
            <w:tcW w:w="0" w:type="auto"/>
            <w:vAlign w:val="center"/>
          </w:tcPr>
          <w:p w:rsidR="00A9060D" w:rsidRDefault="00BA5FF3">
            <w:pPr>
              <w:jc w:val="center"/>
            </w:pPr>
            <w:r>
              <w:rPr>
                <w:color w:val="000000"/>
                <w:sz w:val="24"/>
              </w:rPr>
              <w:t>15</w:t>
            </w:r>
            <w:r>
              <w:rPr>
                <w:color w:val="000000"/>
                <w:sz w:val="24"/>
              </w:rPr>
              <w:t>开元</w:t>
            </w:r>
            <w:r>
              <w:rPr>
                <w:color w:val="000000"/>
                <w:sz w:val="24"/>
              </w:rPr>
              <w:t>5A2</w:t>
            </w:r>
          </w:p>
        </w:tc>
        <w:tc>
          <w:tcPr>
            <w:tcW w:w="0" w:type="auto"/>
            <w:vAlign w:val="center"/>
          </w:tcPr>
          <w:p w:rsidR="00A9060D" w:rsidRDefault="00BA5FF3">
            <w:pPr>
              <w:jc w:val="right"/>
            </w:pPr>
            <w:r>
              <w:rPr>
                <w:color w:val="000000"/>
                <w:sz w:val="24"/>
              </w:rPr>
              <w:t>500,000</w:t>
            </w:r>
          </w:p>
        </w:tc>
        <w:tc>
          <w:tcPr>
            <w:tcW w:w="0" w:type="auto"/>
            <w:vAlign w:val="center"/>
          </w:tcPr>
          <w:p w:rsidR="00A9060D" w:rsidRDefault="00BA5FF3">
            <w:pPr>
              <w:jc w:val="right"/>
            </w:pPr>
            <w:r>
              <w:rPr>
                <w:color w:val="000000"/>
                <w:sz w:val="24"/>
              </w:rPr>
              <w:t>50,230,000.00</w:t>
            </w:r>
          </w:p>
        </w:tc>
        <w:tc>
          <w:tcPr>
            <w:tcW w:w="0" w:type="auto"/>
            <w:vAlign w:val="center"/>
          </w:tcPr>
          <w:p w:rsidR="00A9060D" w:rsidRDefault="00BA5FF3">
            <w:pPr>
              <w:jc w:val="right"/>
            </w:pPr>
            <w:r>
              <w:rPr>
                <w:color w:val="000000"/>
                <w:sz w:val="24"/>
              </w:rPr>
              <w:t>3.71</w:t>
            </w:r>
          </w:p>
        </w:tc>
      </w:tr>
      <w:tr w:rsidR="00A9060D">
        <w:trPr>
          <w:jc w:val="center"/>
        </w:trPr>
        <w:tc>
          <w:tcPr>
            <w:tcW w:w="0" w:type="auto"/>
            <w:vAlign w:val="center"/>
          </w:tcPr>
          <w:p w:rsidR="00A9060D" w:rsidRDefault="00BA5FF3">
            <w:pPr>
              <w:jc w:val="center"/>
            </w:pPr>
            <w:r>
              <w:rPr>
                <w:color w:val="000000"/>
                <w:sz w:val="24"/>
              </w:rPr>
              <w:t>3</w:t>
            </w:r>
          </w:p>
        </w:tc>
        <w:tc>
          <w:tcPr>
            <w:tcW w:w="0" w:type="auto"/>
            <w:vAlign w:val="center"/>
          </w:tcPr>
          <w:p w:rsidR="00A9060D" w:rsidRDefault="00BA5FF3">
            <w:pPr>
              <w:jc w:val="center"/>
            </w:pPr>
            <w:r>
              <w:rPr>
                <w:color w:val="000000"/>
                <w:sz w:val="24"/>
              </w:rPr>
              <w:t>119237</w:t>
            </w:r>
          </w:p>
        </w:tc>
        <w:tc>
          <w:tcPr>
            <w:tcW w:w="0" w:type="auto"/>
            <w:vAlign w:val="center"/>
          </w:tcPr>
          <w:p w:rsidR="00A9060D" w:rsidRDefault="00BA5FF3">
            <w:pPr>
              <w:jc w:val="center"/>
            </w:pPr>
            <w:r>
              <w:rPr>
                <w:color w:val="000000"/>
                <w:sz w:val="24"/>
              </w:rPr>
              <w:t>南方</w:t>
            </w:r>
            <w:r>
              <w:rPr>
                <w:color w:val="000000"/>
                <w:sz w:val="24"/>
              </w:rPr>
              <w:t>A1</w:t>
            </w:r>
          </w:p>
        </w:tc>
        <w:tc>
          <w:tcPr>
            <w:tcW w:w="0" w:type="auto"/>
            <w:vAlign w:val="center"/>
          </w:tcPr>
          <w:p w:rsidR="00A9060D" w:rsidRDefault="00BA5FF3">
            <w:pPr>
              <w:jc w:val="right"/>
            </w:pPr>
            <w:r>
              <w:rPr>
                <w:color w:val="000000"/>
                <w:sz w:val="24"/>
              </w:rPr>
              <w:t>50,000</w:t>
            </w:r>
          </w:p>
        </w:tc>
        <w:tc>
          <w:tcPr>
            <w:tcW w:w="0" w:type="auto"/>
            <w:vAlign w:val="center"/>
          </w:tcPr>
          <w:p w:rsidR="00A9060D" w:rsidRDefault="00BA5FF3">
            <w:pPr>
              <w:jc w:val="right"/>
            </w:pPr>
            <w:r>
              <w:rPr>
                <w:color w:val="000000"/>
                <w:sz w:val="24"/>
              </w:rPr>
              <w:t>5,000,000.00</w:t>
            </w:r>
          </w:p>
        </w:tc>
        <w:tc>
          <w:tcPr>
            <w:tcW w:w="0" w:type="auto"/>
            <w:vAlign w:val="center"/>
          </w:tcPr>
          <w:p w:rsidR="00A9060D" w:rsidRDefault="00BA5FF3">
            <w:pPr>
              <w:jc w:val="right"/>
            </w:pPr>
            <w:r>
              <w:rPr>
                <w:color w:val="000000"/>
                <w:sz w:val="24"/>
              </w:rPr>
              <w:t>0.37</w:t>
            </w:r>
          </w:p>
        </w:tc>
      </w:tr>
      <w:tr w:rsidR="00A9060D">
        <w:trPr>
          <w:jc w:val="center"/>
        </w:trPr>
        <w:tc>
          <w:tcPr>
            <w:tcW w:w="0" w:type="auto"/>
            <w:vAlign w:val="center"/>
          </w:tcPr>
          <w:p w:rsidR="00A9060D" w:rsidRDefault="00BA5FF3">
            <w:pPr>
              <w:jc w:val="center"/>
            </w:pPr>
            <w:r>
              <w:rPr>
                <w:color w:val="000000"/>
                <w:sz w:val="24"/>
              </w:rPr>
              <w:t>4</w:t>
            </w:r>
          </w:p>
        </w:tc>
        <w:tc>
          <w:tcPr>
            <w:tcW w:w="0" w:type="auto"/>
            <w:vAlign w:val="center"/>
          </w:tcPr>
          <w:p w:rsidR="00A9060D" w:rsidRDefault="00BA5FF3">
            <w:pPr>
              <w:jc w:val="center"/>
            </w:pPr>
            <w:r>
              <w:rPr>
                <w:color w:val="000000"/>
                <w:sz w:val="24"/>
              </w:rPr>
              <w:t>123934</w:t>
            </w:r>
          </w:p>
        </w:tc>
        <w:tc>
          <w:tcPr>
            <w:tcW w:w="0" w:type="auto"/>
            <w:vAlign w:val="center"/>
          </w:tcPr>
          <w:p w:rsidR="00A9060D" w:rsidRDefault="00BA5FF3">
            <w:pPr>
              <w:jc w:val="center"/>
            </w:pPr>
            <w:r>
              <w:rPr>
                <w:color w:val="000000"/>
                <w:sz w:val="24"/>
              </w:rPr>
              <w:t>15</w:t>
            </w:r>
            <w:r>
              <w:rPr>
                <w:color w:val="000000"/>
                <w:sz w:val="24"/>
              </w:rPr>
              <w:t>濮热</w:t>
            </w:r>
            <w:r>
              <w:rPr>
                <w:color w:val="000000"/>
                <w:sz w:val="24"/>
              </w:rPr>
              <w:t>02</w:t>
            </w:r>
          </w:p>
        </w:tc>
        <w:tc>
          <w:tcPr>
            <w:tcW w:w="0" w:type="auto"/>
            <w:vAlign w:val="center"/>
          </w:tcPr>
          <w:p w:rsidR="00A9060D" w:rsidRDefault="00BA5FF3">
            <w:pPr>
              <w:jc w:val="right"/>
            </w:pPr>
            <w:r>
              <w:rPr>
                <w:color w:val="000000"/>
                <w:sz w:val="24"/>
              </w:rPr>
              <w:t>40,000</w:t>
            </w:r>
          </w:p>
        </w:tc>
        <w:tc>
          <w:tcPr>
            <w:tcW w:w="0" w:type="auto"/>
            <w:vAlign w:val="center"/>
          </w:tcPr>
          <w:p w:rsidR="00A9060D" w:rsidRDefault="00BA5FF3">
            <w:pPr>
              <w:jc w:val="right"/>
            </w:pPr>
            <w:r>
              <w:rPr>
                <w:color w:val="000000"/>
                <w:sz w:val="24"/>
              </w:rPr>
              <w:t>4,000,000.00</w:t>
            </w:r>
          </w:p>
        </w:tc>
        <w:tc>
          <w:tcPr>
            <w:tcW w:w="0" w:type="auto"/>
            <w:vAlign w:val="center"/>
          </w:tcPr>
          <w:p w:rsidR="00A9060D" w:rsidRDefault="00BA5FF3">
            <w:pPr>
              <w:jc w:val="right"/>
            </w:pPr>
            <w:r>
              <w:rPr>
                <w:color w:val="000000"/>
                <w:sz w:val="24"/>
              </w:rPr>
              <w:t>0.30</w:t>
            </w:r>
          </w:p>
        </w:tc>
      </w:tr>
      <w:tr w:rsidR="00A9060D">
        <w:trPr>
          <w:jc w:val="center"/>
        </w:trPr>
        <w:tc>
          <w:tcPr>
            <w:tcW w:w="0" w:type="auto"/>
            <w:vAlign w:val="center"/>
          </w:tcPr>
          <w:p w:rsidR="00A9060D" w:rsidRDefault="00BA5FF3">
            <w:pPr>
              <w:jc w:val="center"/>
            </w:pPr>
            <w:r>
              <w:rPr>
                <w:color w:val="000000"/>
                <w:sz w:val="24"/>
              </w:rPr>
              <w:t>5</w:t>
            </w:r>
          </w:p>
        </w:tc>
        <w:tc>
          <w:tcPr>
            <w:tcW w:w="0" w:type="auto"/>
            <w:vAlign w:val="center"/>
          </w:tcPr>
          <w:p w:rsidR="00A9060D" w:rsidRDefault="00BA5FF3">
            <w:pPr>
              <w:jc w:val="center"/>
            </w:pPr>
            <w:r>
              <w:rPr>
                <w:color w:val="000000"/>
                <w:sz w:val="24"/>
              </w:rPr>
              <w:t>123935</w:t>
            </w:r>
          </w:p>
        </w:tc>
        <w:tc>
          <w:tcPr>
            <w:tcW w:w="0" w:type="auto"/>
            <w:vAlign w:val="center"/>
          </w:tcPr>
          <w:p w:rsidR="00A9060D" w:rsidRDefault="00BA5FF3">
            <w:pPr>
              <w:jc w:val="center"/>
            </w:pPr>
            <w:r>
              <w:rPr>
                <w:color w:val="000000"/>
                <w:sz w:val="24"/>
              </w:rPr>
              <w:t>15</w:t>
            </w:r>
            <w:r>
              <w:rPr>
                <w:color w:val="000000"/>
                <w:sz w:val="24"/>
              </w:rPr>
              <w:t>濮热</w:t>
            </w:r>
            <w:r>
              <w:rPr>
                <w:color w:val="000000"/>
                <w:sz w:val="24"/>
              </w:rPr>
              <w:t>03</w:t>
            </w:r>
          </w:p>
        </w:tc>
        <w:tc>
          <w:tcPr>
            <w:tcW w:w="0" w:type="auto"/>
            <w:vAlign w:val="center"/>
          </w:tcPr>
          <w:p w:rsidR="00A9060D" w:rsidRDefault="00BA5FF3">
            <w:pPr>
              <w:jc w:val="right"/>
            </w:pPr>
            <w:r>
              <w:rPr>
                <w:color w:val="000000"/>
                <w:sz w:val="24"/>
              </w:rPr>
              <w:t>40,000</w:t>
            </w:r>
          </w:p>
        </w:tc>
        <w:tc>
          <w:tcPr>
            <w:tcW w:w="0" w:type="auto"/>
            <w:vAlign w:val="center"/>
          </w:tcPr>
          <w:p w:rsidR="00A9060D" w:rsidRDefault="00BA5FF3">
            <w:pPr>
              <w:jc w:val="right"/>
            </w:pPr>
            <w:r>
              <w:rPr>
                <w:color w:val="000000"/>
                <w:sz w:val="24"/>
              </w:rPr>
              <w:t>4,000,000.00</w:t>
            </w:r>
          </w:p>
        </w:tc>
        <w:tc>
          <w:tcPr>
            <w:tcW w:w="0" w:type="auto"/>
            <w:vAlign w:val="center"/>
          </w:tcPr>
          <w:p w:rsidR="00A9060D" w:rsidRDefault="00BA5FF3">
            <w:pPr>
              <w:jc w:val="right"/>
            </w:pPr>
            <w:r>
              <w:rPr>
                <w:color w:val="000000"/>
                <w:sz w:val="24"/>
              </w:rPr>
              <w:t>0.30</w:t>
            </w:r>
          </w:p>
        </w:tc>
      </w:tr>
      <w:tr w:rsidR="00A9060D">
        <w:trPr>
          <w:jc w:val="center"/>
        </w:trPr>
        <w:tc>
          <w:tcPr>
            <w:tcW w:w="0" w:type="auto"/>
            <w:vAlign w:val="center"/>
          </w:tcPr>
          <w:p w:rsidR="00A9060D" w:rsidRDefault="00BA5FF3">
            <w:pPr>
              <w:jc w:val="center"/>
            </w:pPr>
            <w:r>
              <w:rPr>
                <w:color w:val="000000"/>
                <w:sz w:val="24"/>
              </w:rPr>
              <w:t>6</w:t>
            </w:r>
          </w:p>
        </w:tc>
        <w:tc>
          <w:tcPr>
            <w:tcW w:w="0" w:type="auto"/>
            <w:vAlign w:val="center"/>
          </w:tcPr>
          <w:p w:rsidR="00A9060D" w:rsidRDefault="00BA5FF3">
            <w:pPr>
              <w:jc w:val="center"/>
            </w:pPr>
            <w:r>
              <w:rPr>
                <w:color w:val="000000"/>
                <w:sz w:val="24"/>
              </w:rPr>
              <w:t>123933</w:t>
            </w:r>
          </w:p>
        </w:tc>
        <w:tc>
          <w:tcPr>
            <w:tcW w:w="0" w:type="auto"/>
            <w:vAlign w:val="center"/>
          </w:tcPr>
          <w:p w:rsidR="00A9060D" w:rsidRDefault="00BA5FF3">
            <w:pPr>
              <w:jc w:val="center"/>
            </w:pPr>
            <w:r>
              <w:rPr>
                <w:color w:val="000000"/>
                <w:sz w:val="24"/>
              </w:rPr>
              <w:t>15</w:t>
            </w:r>
            <w:r>
              <w:rPr>
                <w:color w:val="000000"/>
                <w:sz w:val="24"/>
              </w:rPr>
              <w:t>濮热</w:t>
            </w:r>
            <w:r>
              <w:rPr>
                <w:color w:val="000000"/>
                <w:sz w:val="24"/>
              </w:rPr>
              <w:t>01</w:t>
            </w:r>
          </w:p>
        </w:tc>
        <w:tc>
          <w:tcPr>
            <w:tcW w:w="0" w:type="auto"/>
            <w:vAlign w:val="center"/>
          </w:tcPr>
          <w:p w:rsidR="00A9060D" w:rsidRDefault="00BA5FF3">
            <w:pPr>
              <w:jc w:val="right"/>
            </w:pPr>
            <w:r>
              <w:rPr>
                <w:color w:val="000000"/>
                <w:sz w:val="24"/>
              </w:rPr>
              <w:t>35,000</w:t>
            </w:r>
          </w:p>
        </w:tc>
        <w:tc>
          <w:tcPr>
            <w:tcW w:w="0" w:type="auto"/>
            <w:vAlign w:val="center"/>
          </w:tcPr>
          <w:p w:rsidR="00A9060D" w:rsidRDefault="00BA5FF3">
            <w:pPr>
              <w:jc w:val="right"/>
            </w:pPr>
            <w:r>
              <w:rPr>
                <w:color w:val="000000"/>
                <w:sz w:val="24"/>
              </w:rPr>
              <w:t>3,500,000.00</w:t>
            </w:r>
          </w:p>
        </w:tc>
        <w:tc>
          <w:tcPr>
            <w:tcW w:w="0" w:type="auto"/>
            <w:vAlign w:val="center"/>
          </w:tcPr>
          <w:p w:rsidR="00A9060D" w:rsidRDefault="00BA5FF3">
            <w:pPr>
              <w:jc w:val="right"/>
            </w:pPr>
            <w:r>
              <w:rPr>
                <w:color w:val="000000"/>
                <w:sz w:val="24"/>
              </w:rPr>
              <w:t>0.26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36,958.40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24,079,333.13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804,749.36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24,921,040.89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A9060D">
        <w:trPr>
          <w:jc w:val="center"/>
        </w:trPr>
        <w:tc>
          <w:tcPr>
            <w:tcW w:w="0" w:type="auto"/>
            <w:vAlign w:val="center"/>
          </w:tcPr>
          <w:p w:rsidR="00A9060D" w:rsidRDefault="00BA5FF3">
            <w:pPr>
              <w:jc w:val="center"/>
            </w:pPr>
            <w:r>
              <w:rPr>
                <w:rFonts w:eastAsiaTheme="minorEastAsia"/>
                <w:color w:val="000000"/>
                <w:sz w:val="24"/>
              </w:rPr>
              <w:t>1</w:t>
            </w:r>
          </w:p>
        </w:tc>
        <w:tc>
          <w:tcPr>
            <w:tcW w:w="0" w:type="auto"/>
            <w:vAlign w:val="center"/>
          </w:tcPr>
          <w:p w:rsidR="00A9060D" w:rsidRDefault="00BA5FF3">
            <w:pPr>
              <w:jc w:val="center"/>
            </w:pPr>
            <w:r>
              <w:rPr>
                <w:rFonts w:eastAsiaTheme="minorEastAsia"/>
                <w:color w:val="000000"/>
                <w:sz w:val="24"/>
              </w:rPr>
              <w:t>128009</w:t>
            </w:r>
          </w:p>
        </w:tc>
        <w:tc>
          <w:tcPr>
            <w:tcW w:w="0" w:type="auto"/>
            <w:vAlign w:val="center"/>
          </w:tcPr>
          <w:p w:rsidR="00A9060D" w:rsidRDefault="00BA5FF3">
            <w:pPr>
              <w:jc w:val="center"/>
            </w:pPr>
            <w:r>
              <w:rPr>
                <w:rFonts w:eastAsiaTheme="minorEastAsia"/>
                <w:color w:val="000000"/>
                <w:sz w:val="24"/>
              </w:rPr>
              <w:t>歌尔转债</w:t>
            </w:r>
          </w:p>
        </w:tc>
        <w:tc>
          <w:tcPr>
            <w:tcW w:w="0" w:type="auto"/>
            <w:vAlign w:val="center"/>
          </w:tcPr>
          <w:p w:rsidR="00A9060D" w:rsidRDefault="00BA5FF3">
            <w:pPr>
              <w:jc w:val="right"/>
            </w:pPr>
            <w:r>
              <w:rPr>
                <w:rFonts w:eastAsiaTheme="minorEastAsia"/>
                <w:color w:val="000000"/>
                <w:sz w:val="24"/>
              </w:rPr>
              <w:t>30,972,651.71</w:t>
            </w:r>
          </w:p>
        </w:tc>
        <w:tc>
          <w:tcPr>
            <w:tcW w:w="0" w:type="auto"/>
            <w:vAlign w:val="center"/>
          </w:tcPr>
          <w:p w:rsidR="00A9060D" w:rsidRDefault="00BA5FF3">
            <w:pPr>
              <w:jc w:val="right"/>
            </w:pPr>
            <w:r>
              <w:rPr>
                <w:rFonts w:eastAsiaTheme="minorEastAsia"/>
                <w:color w:val="000000"/>
                <w:sz w:val="24"/>
              </w:rPr>
              <w:t>2.29</w:t>
            </w:r>
          </w:p>
        </w:tc>
      </w:tr>
      <w:tr w:rsidR="00A9060D">
        <w:trPr>
          <w:jc w:val="center"/>
        </w:trPr>
        <w:tc>
          <w:tcPr>
            <w:tcW w:w="0" w:type="auto"/>
            <w:vAlign w:val="center"/>
          </w:tcPr>
          <w:p w:rsidR="00A9060D" w:rsidRDefault="00BA5FF3">
            <w:pPr>
              <w:jc w:val="center"/>
            </w:pPr>
            <w:r>
              <w:rPr>
                <w:rFonts w:eastAsiaTheme="minorEastAsia"/>
                <w:color w:val="000000"/>
                <w:sz w:val="24"/>
              </w:rPr>
              <w:t>2</w:t>
            </w:r>
          </w:p>
        </w:tc>
        <w:tc>
          <w:tcPr>
            <w:tcW w:w="0" w:type="auto"/>
            <w:vAlign w:val="center"/>
          </w:tcPr>
          <w:p w:rsidR="00A9060D" w:rsidRDefault="00BA5FF3">
            <w:pPr>
              <w:jc w:val="center"/>
            </w:pPr>
            <w:r>
              <w:rPr>
                <w:rFonts w:eastAsiaTheme="minorEastAsia"/>
                <w:color w:val="000000"/>
                <w:sz w:val="24"/>
              </w:rPr>
              <w:t>113008</w:t>
            </w:r>
          </w:p>
        </w:tc>
        <w:tc>
          <w:tcPr>
            <w:tcW w:w="0" w:type="auto"/>
            <w:vAlign w:val="center"/>
          </w:tcPr>
          <w:p w:rsidR="00A9060D" w:rsidRDefault="00BA5FF3">
            <w:pPr>
              <w:jc w:val="center"/>
            </w:pPr>
            <w:r>
              <w:rPr>
                <w:rFonts w:eastAsiaTheme="minorEastAsia"/>
                <w:color w:val="000000"/>
                <w:sz w:val="24"/>
              </w:rPr>
              <w:t>电气转债</w:t>
            </w:r>
          </w:p>
        </w:tc>
        <w:tc>
          <w:tcPr>
            <w:tcW w:w="0" w:type="auto"/>
            <w:vAlign w:val="center"/>
          </w:tcPr>
          <w:p w:rsidR="00A9060D" w:rsidRDefault="00BA5FF3">
            <w:pPr>
              <w:jc w:val="right"/>
            </w:pPr>
            <w:r>
              <w:rPr>
                <w:rFonts w:eastAsiaTheme="minorEastAsia"/>
                <w:color w:val="000000"/>
                <w:sz w:val="24"/>
              </w:rPr>
              <w:t>1,376,700.00</w:t>
            </w:r>
          </w:p>
        </w:tc>
        <w:tc>
          <w:tcPr>
            <w:tcW w:w="0" w:type="auto"/>
            <w:vAlign w:val="center"/>
          </w:tcPr>
          <w:p w:rsidR="00A9060D" w:rsidRDefault="00BA5FF3">
            <w:pPr>
              <w:jc w:val="right"/>
            </w:pPr>
            <w:r>
              <w:rPr>
                <w:rFonts w:eastAsiaTheme="minorEastAsia"/>
                <w:color w:val="000000"/>
                <w:sz w:val="24"/>
              </w:rPr>
              <w:t>0.10</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A9060D" w:rsidRDefault="00BA5FF3">
      <w:pPr>
        <w:spacing w:before="29" w:line="288" w:lineRule="auto"/>
        <w:rPr>
          <w:rFonts w:eastAsiaTheme="minorEastAsia"/>
          <w:color w:val="000000"/>
          <w:sz w:val="24"/>
        </w:rPr>
      </w:pPr>
      <w:r>
        <w:rPr>
          <w:rFonts w:eastAsiaTheme="minorEastAsia"/>
          <w:color w:val="000000"/>
          <w:sz w:val="24"/>
        </w:rPr>
        <w:t>1</w:t>
      </w:r>
      <w:r>
        <w:rPr>
          <w:rFonts w:eastAsiaTheme="minorEastAsia"/>
          <w:color w:val="000000"/>
          <w:sz w:val="24"/>
        </w:rPr>
        <w:t>、本基金本报告期末未持有处于交换期的可交换债券。</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A5FF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1,269,017,013.37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442,360,057.43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148,080,917.55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295,183,170.76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466,800,901.72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397,016,478.36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950,297,029.20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340,526,749.83</w:t>
            </w:r>
          </w:p>
        </w:tc>
      </w:tr>
    </w:tbl>
    <w:p w:rsidR="00A9060D" w:rsidRDefault="00BA5FF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A5FF3">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A5FF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A9060D" w:rsidRDefault="00BA5FF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A9060D" w:rsidRDefault="00BA5FF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A9060D" w:rsidRDefault="00BA5FF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A9060D" w:rsidRDefault="00BA5FF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A9060D" w:rsidRDefault="00BA5FF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A9060D" w:rsidRDefault="00BA5FF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9060D" w:rsidRDefault="00BA5FF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A9060D" w:rsidRDefault="00BA5FF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0ED" w:rsidRDefault="002220ED">
      <w:r>
        <w:separator/>
      </w:r>
    </w:p>
  </w:endnote>
  <w:endnote w:type="continuationSeparator" w:id="0">
    <w:p w:rsidR="002220ED" w:rsidRDefault="0022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A9060D">
      <w:rPr>
        <w:kern w:val="0"/>
        <w:szCs w:val="21"/>
      </w:rPr>
      <w:fldChar w:fldCharType="begin"/>
    </w:r>
    <w:r>
      <w:rPr>
        <w:kern w:val="0"/>
        <w:szCs w:val="21"/>
      </w:rPr>
      <w:instrText xml:space="preserve"> PAGE </w:instrText>
    </w:r>
    <w:r w:rsidR="00A9060D">
      <w:rPr>
        <w:kern w:val="0"/>
        <w:szCs w:val="21"/>
      </w:rPr>
      <w:fldChar w:fldCharType="separate"/>
    </w:r>
    <w:r w:rsidR="0078444A">
      <w:rPr>
        <w:noProof/>
        <w:kern w:val="0"/>
        <w:szCs w:val="21"/>
      </w:rPr>
      <w:t>1</w:t>
    </w:r>
    <w:r w:rsidR="00A9060D">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A9060D">
      <w:rPr>
        <w:kern w:val="0"/>
        <w:szCs w:val="21"/>
      </w:rPr>
      <w:fldChar w:fldCharType="begin"/>
    </w:r>
    <w:r>
      <w:rPr>
        <w:kern w:val="0"/>
        <w:szCs w:val="21"/>
      </w:rPr>
      <w:instrText xml:space="preserve"> NUMPAGES </w:instrText>
    </w:r>
    <w:r w:rsidR="00A9060D">
      <w:rPr>
        <w:kern w:val="0"/>
        <w:szCs w:val="21"/>
      </w:rPr>
      <w:fldChar w:fldCharType="separate"/>
    </w:r>
    <w:r w:rsidR="0078444A">
      <w:rPr>
        <w:noProof/>
        <w:kern w:val="0"/>
        <w:szCs w:val="21"/>
      </w:rPr>
      <w:t>13</w:t>
    </w:r>
    <w:r w:rsidR="00A9060D">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A9060D">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0ED" w:rsidRDefault="002220ED">
      <w:r>
        <w:separator/>
      </w:r>
    </w:p>
  </w:footnote>
  <w:footnote w:type="continuationSeparator" w:id="0">
    <w:p w:rsidR="002220ED" w:rsidRDefault="00222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78444A"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0ED"/>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44A"/>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740"/>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060D"/>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5FF3"/>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301DAF14-DD40-4231-ADE4-92CEF07A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B887-9B24-4EDB-A698-4A2E41D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192</TotalTime>
  <Pages>13</Pages>
  <Words>1108</Words>
  <Characters>6320</Characters>
  <Application>Microsoft Office Word</Application>
  <DocSecurity>0</DocSecurity>
  <Lines>52</Lines>
  <Paragraphs>14</Paragraphs>
  <ScaleCrop>false</ScaleCrop>
  <Company>TRT. Ltd. Co.</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366</cp:revision>
  <cp:lastPrinted>2007-07-19T00:46:00Z</cp:lastPrinted>
  <dcterms:created xsi:type="dcterms:W3CDTF">2014-01-17T06:19:00Z</dcterms:created>
  <dcterms:modified xsi:type="dcterms:W3CDTF">2016-01-18T07:06:00Z</dcterms:modified>
</cp:coreProperties>
</file>