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7E07" w:rsidRDefault="00EB338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819,949,374.41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w:t>
            </w:r>
            <w:r w:rsidRPr="00414345">
              <w:rPr>
                <w:color w:val="000000"/>
                <w:kern w:val="0"/>
                <w:sz w:val="24"/>
                <w:szCs w:val="24"/>
              </w:rPr>
              <w:t>+25%×</w:t>
            </w:r>
            <w:r w:rsidRPr="00414345">
              <w:rPr>
                <w:color w:val="000000"/>
                <w:kern w:val="0"/>
                <w:sz w:val="24"/>
                <w:szCs w:val="24"/>
              </w:rPr>
              <w:t>富时中国国债指数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良好成长性的公司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B3385" w:rsidRPr="00414345" w:rsidTr="00EB338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B3385" w:rsidRPr="00414345" w:rsidTr="00EB33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124,900,293.47</w:t>
            </w:r>
          </w:p>
        </w:tc>
      </w:tr>
      <w:tr w:rsidR="00EB3385" w:rsidRPr="00414345" w:rsidTr="00EB33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770,909,965.93</w:t>
            </w:r>
          </w:p>
        </w:tc>
      </w:tr>
      <w:tr w:rsidR="00EB3385" w:rsidRPr="00414345" w:rsidTr="00EB33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0.9411</w:t>
            </w:r>
          </w:p>
        </w:tc>
      </w:tr>
      <w:tr w:rsidR="00EB3385" w:rsidRPr="00414345" w:rsidTr="00EB338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4,079,489,744.83</w:t>
            </w:r>
          </w:p>
        </w:tc>
      </w:tr>
      <w:tr w:rsidR="00EB3385" w:rsidRPr="00414345" w:rsidTr="00EB338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4.9753</w:t>
            </w:r>
          </w:p>
        </w:tc>
      </w:tr>
    </w:tbl>
    <w:p w:rsidR="009E7E07" w:rsidRDefault="00EB33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7E07">
        <w:trPr>
          <w:jc w:val="center"/>
        </w:trPr>
        <w:tc>
          <w:tcPr>
            <w:tcW w:w="1701" w:type="dxa"/>
            <w:vAlign w:val="center"/>
          </w:tcPr>
          <w:p w:rsidR="009E7E07" w:rsidRDefault="00EB3385">
            <w:pPr>
              <w:jc w:val="left"/>
            </w:pPr>
            <w:r>
              <w:rPr>
                <w:color w:val="000000"/>
                <w:sz w:val="24"/>
                <w:szCs w:val="24"/>
              </w:rPr>
              <w:t>过去三个月</w:t>
            </w:r>
          </w:p>
        </w:tc>
        <w:tc>
          <w:tcPr>
            <w:tcW w:w="1045" w:type="dxa"/>
            <w:vAlign w:val="center"/>
          </w:tcPr>
          <w:p w:rsidR="009E7E07" w:rsidRDefault="00EB3385">
            <w:pPr>
              <w:jc w:val="center"/>
            </w:pPr>
            <w:r>
              <w:rPr>
                <w:color w:val="000000"/>
                <w:sz w:val="24"/>
                <w:szCs w:val="24"/>
              </w:rPr>
              <w:t>23.16%</w:t>
            </w:r>
          </w:p>
        </w:tc>
        <w:tc>
          <w:tcPr>
            <w:tcW w:w="1344" w:type="dxa"/>
            <w:vAlign w:val="center"/>
          </w:tcPr>
          <w:p w:rsidR="009E7E07" w:rsidRDefault="00EB3385">
            <w:pPr>
              <w:jc w:val="center"/>
            </w:pPr>
            <w:r>
              <w:rPr>
                <w:color w:val="000000"/>
                <w:sz w:val="24"/>
                <w:szCs w:val="24"/>
              </w:rPr>
              <w:t>1.71%</w:t>
            </w:r>
          </w:p>
        </w:tc>
        <w:tc>
          <w:tcPr>
            <w:tcW w:w="1194" w:type="dxa"/>
            <w:vAlign w:val="center"/>
          </w:tcPr>
          <w:p w:rsidR="009E7E07" w:rsidRDefault="00EB3385">
            <w:pPr>
              <w:jc w:val="center"/>
            </w:pPr>
            <w:r>
              <w:rPr>
                <w:color w:val="000000"/>
                <w:sz w:val="24"/>
                <w:szCs w:val="24"/>
              </w:rPr>
              <w:t>15.74%</w:t>
            </w:r>
          </w:p>
        </w:tc>
        <w:tc>
          <w:tcPr>
            <w:tcW w:w="1492" w:type="dxa"/>
            <w:vAlign w:val="center"/>
          </w:tcPr>
          <w:p w:rsidR="009E7E07" w:rsidRDefault="00EB3385">
            <w:pPr>
              <w:jc w:val="center"/>
            </w:pPr>
            <w:r>
              <w:rPr>
                <w:color w:val="000000"/>
                <w:sz w:val="24"/>
                <w:szCs w:val="24"/>
              </w:rPr>
              <w:t>1.46%</w:t>
            </w:r>
          </w:p>
        </w:tc>
        <w:tc>
          <w:tcPr>
            <w:tcW w:w="1194" w:type="dxa"/>
            <w:vAlign w:val="center"/>
          </w:tcPr>
          <w:p w:rsidR="009E7E07" w:rsidRDefault="00EB3385">
            <w:pPr>
              <w:jc w:val="center"/>
            </w:pPr>
            <w:r>
              <w:rPr>
                <w:color w:val="000000"/>
                <w:sz w:val="24"/>
                <w:szCs w:val="24"/>
              </w:rPr>
              <w:t>7.42%</w:t>
            </w:r>
          </w:p>
        </w:tc>
        <w:tc>
          <w:tcPr>
            <w:tcW w:w="898" w:type="dxa"/>
            <w:vAlign w:val="center"/>
          </w:tcPr>
          <w:p w:rsidR="009E7E07" w:rsidRDefault="00EB3385">
            <w:pPr>
              <w:jc w:val="center"/>
            </w:pPr>
            <w:r>
              <w:rPr>
                <w:color w:val="000000"/>
                <w:sz w:val="24"/>
                <w:szCs w:val="24"/>
              </w:rPr>
              <w:t>0.25%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交银施罗德成长混合型证券投资基金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7E07">
        <w:trPr>
          <w:jc w:val="center"/>
        </w:trPr>
        <w:tc>
          <w:tcPr>
            <w:tcW w:w="846" w:type="dxa"/>
            <w:vAlign w:val="center"/>
          </w:tcPr>
          <w:p w:rsidR="009E7E07" w:rsidRDefault="00EB3385">
            <w:pPr>
              <w:jc w:val="center"/>
            </w:pPr>
            <w:r>
              <w:rPr>
                <w:color w:val="000000"/>
                <w:sz w:val="24"/>
                <w:szCs w:val="24"/>
              </w:rPr>
              <w:t>王少成</w:t>
            </w:r>
          </w:p>
        </w:tc>
        <w:tc>
          <w:tcPr>
            <w:tcW w:w="845" w:type="dxa"/>
            <w:vAlign w:val="center"/>
          </w:tcPr>
          <w:p w:rsidR="009E7E07" w:rsidRDefault="00EB3385">
            <w:pPr>
              <w:jc w:val="center"/>
            </w:pPr>
            <w:r>
              <w:rPr>
                <w:color w:val="000000"/>
                <w:sz w:val="24"/>
                <w:szCs w:val="24"/>
              </w:rPr>
              <w:t>交银成长混合、交银策略回报灵活配置混合、交银成长</w:t>
            </w:r>
            <w:r>
              <w:rPr>
                <w:color w:val="000000"/>
                <w:sz w:val="24"/>
                <w:szCs w:val="24"/>
              </w:rPr>
              <w:t>30</w:t>
            </w:r>
            <w:r>
              <w:rPr>
                <w:color w:val="000000"/>
                <w:sz w:val="24"/>
                <w:szCs w:val="24"/>
              </w:rPr>
              <w:t>混合、交银荣和保本混合的基金经理，公司权益投资总监</w:t>
            </w:r>
          </w:p>
        </w:tc>
        <w:tc>
          <w:tcPr>
            <w:tcW w:w="1549" w:type="dxa"/>
            <w:vAlign w:val="center"/>
          </w:tcPr>
          <w:p w:rsidR="009E7E07" w:rsidRDefault="00EB3385">
            <w:pPr>
              <w:jc w:val="center"/>
            </w:pPr>
            <w:r>
              <w:rPr>
                <w:color w:val="000000"/>
                <w:sz w:val="24"/>
                <w:szCs w:val="24"/>
              </w:rPr>
              <w:t>2015-03-24</w:t>
            </w:r>
          </w:p>
        </w:tc>
        <w:tc>
          <w:tcPr>
            <w:tcW w:w="1548" w:type="dxa"/>
            <w:vAlign w:val="center"/>
          </w:tcPr>
          <w:p w:rsidR="009E7E07" w:rsidRDefault="00EB3385">
            <w:pPr>
              <w:jc w:val="center"/>
            </w:pPr>
            <w:r>
              <w:rPr>
                <w:color w:val="000000"/>
                <w:sz w:val="24"/>
                <w:szCs w:val="24"/>
              </w:rPr>
              <w:t>-</w:t>
            </w:r>
          </w:p>
        </w:tc>
        <w:tc>
          <w:tcPr>
            <w:tcW w:w="1407" w:type="dxa"/>
            <w:vAlign w:val="center"/>
          </w:tcPr>
          <w:p w:rsidR="009E7E07" w:rsidRDefault="00EB3385">
            <w:pPr>
              <w:jc w:val="center"/>
            </w:pPr>
            <w:r>
              <w:rPr>
                <w:color w:val="000000"/>
                <w:sz w:val="24"/>
                <w:szCs w:val="24"/>
              </w:rPr>
              <w:t>11</w:t>
            </w:r>
            <w:r>
              <w:rPr>
                <w:color w:val="000000"/>
                <w:sz w:val="24"/>
                <w:szCs w:val="24"/>
              </w:rPr>
              <w:t>年</w:t>
            </w:r>
          </w:p>
        </w:tc>
        <w:tc>
          <w:tcPr>
            <w:tcW w:w="2673" w:type="dxa"/>
            <w:vAlign w:val="center"/>
          </w:tcPr>
          <w:p w:rsidR="009E7E07" w:rsidRDefault="00EB3385">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7E07" w:rsidRDefault="00EB338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9E7E07" w:rsidRDefault="00EB338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9E7E07" w:rsidRDefault="00EB338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7E07" w:rsidRDefault="00EB3385">
      <w:pPr>
        <w:spacing w:before="29" w:line="288" w:lineRule="auto"/>
        <w:ind w:firstLineChars="200" w:firstLine="480"/>
        <w:rPr>
          <w:color w:val="000000"/>
          <w:sz w:val="24"/>
          <w:szCs w:val="24"/>
        </w:rPr>
      </w:pPr>
      <w:r>
        <w:rPr>
          <w:color w:val="000000"/>
          <w:sz w:val="24"/>
          <w:szCs w:val="24"/>
        </w:rPr>
        <w:t>2015</w:t>
      </w:r>
      <w:r>
        <w:rPr>
          <w:color w:val="000000"/>
          <w:sz w:val="24"/>
          <w:szCs w:val="24"/>
        </w:rPr>
        <w:t>年四季度</w:t>
      </w:r>
      <w:r>
        <w:rPr>
          <w:color w:val="000000"/>
          <w:sz w:val="24"/>
          <w:szCs w:val="24"/>
        </w:rPr>
        <w:t>A</w:t>
      </w:r>
      <w:r>
        <w:rPr>
          <w:color w:val="000000"/>
          <w:sz w:val="24"/>
          <w:szCs w:val="24"/>
        </w:rPr>
        <w:t>股持续反弹。美联储加息预期逐步兑现。市场对美联储货币政策正常化的持续性存在分歧，市场的关注点从具体的加息时间点切换为对美联储资产负债表具体变化的观察。新兴市场出现一定程度的资金回流，受此影响</w:t>
      </w:r>
      <w:r>
        <w:rPr>
          <w:color w:val="000000"/>
          <w:sz w:val="24"/>
          <w:szCs w:val="24"/>
        </w:rPr>
        <w:t>A</w:t>
      </w:r>
      <w:r>
        <w:rPr>
          <w:color w:val="000000"/>
          <w:sz w:val="24"/>
          <w:szCs w:val="24"/>
        </w:rPr>
        <w:t>股的风险偏好持续上升，新奇特的主题性板块和转型个股表现抢眼。但风险依旧不容忽视，中国加入</w:t>
      </w:r>
      <w:r>
        <w:rPr>
          <w:color w:val="000000"/>
          <w:sz w:val="24"/>
          <w:szCs w:val="24"/>
        </w:rPr>
        <w:t>SDR</w:t>
      </w:r>
      <w:r>
        <w:rPr>
          <w:color w:val="000000"/>
          <w:sz w:val="24"/>
          <w:szCs w:val="24"/>
        </w:rPr>
        <w:t>后，人民币贬值的压力持续加大，货币政策宽松驱动了金融部门杠杆的快速提升，而实体的信贷依旧低迷甚至已经明显地进入债务紧缩需</w:t>
      </w:r>
      <w:r>
        <w:rPr>
          <w:color w:val="000000"/>
          <w:sz w:val="24"/>
          <w:szCs w:val="24"/>
        </w:rPr>
        <w:t>求恶性循环，保增长的压力很大，供给侧改革迫切。宏观政策的未来调整或会抑制当下金融加杠杆的态势，资本市场的流动性未来并不乐观。本基金适度地增加了仓位，配置较为均衡。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年一季度，预计</w:t>
      </w:r>
      <w:r w:rsidRPr="00414345">
        <w:rPr>
          <w:color w:val="000000"/>
          <w:sz w:val="24"/>
          <w:szCs w:val="24"/>
        </w:rPr>
        <w:t>A</w:t>
      </w:r>
      <w:r w:rsidRPr="00414345">
        <w:rPr>
          <w:color w:val="000000"/>
          <w:sz w:val="24"/>
          <w:szCs w:val="24"/>
        </w:rPr>
        <w:t>股的震荡将加剧。海外风险还在持续的暴露过程中，广谱的资产价格在持续下跌，整体的信用扩张态势维持越发困难。一旦供给侧改革驱动的刚兑被逐步打破，信用风险的暴露可能将进一步加剧流动性的收紧。资本市场目前杠杆驱动的相对泡沫化的定价水平也将受到影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4.9753</w:t>
      </w:r>
      <w:r w:rsidRPr="00414345">
        <w:rPr>
          <w:color w:val="000000"/>
          <w:sz w:val="24"/>
          <w:szCs w:val="24"/>
        </w:rPr>
        <w:t>元，本报告期份额净值增长率为</w:t>
      </w:r>
      <w:r w:rsidRPr="00414345">
        <w:rPr>
          <w:color w:val="000000"/>
          <w:sz w:val="24"/>
          <w:szCs w:val="24"/>
        </w:rPr>
        <w:t>23.16%</w:t>
      </w:r>
      <w:r w:rsidRPr="00414345">
        <w:rPr>
          <w:color w:val="000000"/>
          <w:sz w:val="24"/>
          <w:szCs w:val="24"/>
        </w:rPr>
        <w:t>，同期业绩比较基准增长率</w:t>
      </w:r>
      <w:r w:rsidRPr="00414345">
        <w:rPr>
          <w:color w:val="000000"/>
          <w:sz w:val="24"/>
          <w:szCs w:val="24"/>
        </w:rPr>
        <w:t>15.74%</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w:t>
      </w:r>
      <w:bookmarkStart w:id="0" w:name="_GoBack"/>
      <w:bookmarkEnd w:id="0"/>
      <w:r w:rsidRPr="002070B4">
        <w:rPr>
          <w:color w:val="000000"/>
          <w:sz w:val="24"/>
        </w:rPr>
        <w:t>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3,177,427,817.47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3,177,427,817.47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77.08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711,964,515.94</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17.27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229,589,217.61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5.57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3,486,807.73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4,122,468,358.75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6,998,051.42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0.17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2,199,580,856.89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16,162,240.00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205,936,659.00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197,594,830.12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241,609,226.88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34,253,438.06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22,086,333.60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46,120,993.17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160,490,401.56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46,594,786.77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3,177,427,817.47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77.89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7E07">
        <w:trPr>
          <w:jc w:val="center"/>
        </w:trPr>
        <w:tc>
          <w:tcPr>
            <w:tcW w:w="855" w:type="dxa"/>
            <w:vAlign w:val="center"/>
          </w:tcPr>
          <w:p w:rsidR="009E7E07" w:rsidRDefault="00EB3385">
            <w:pPr>
              <w:jc w:val="center"/>
            </w:pPr>
            <w:r>
              <w:rPr>
                <w:color w:val="000000"/>
                <w:sz w:val="24"/>
                <w:szCs w:val="24"/>
              </w:rPr>
              <w:t>1</w:t>
            </w:r>
          </w:p>
        </w:tc>
        <w:tc>
          <w:tcPr>
            <w:tcW w:w="1334" w:type="dxa"/>
            <w:vAlign w:val="center"/>
          </w:tcPr>
          <w:p w:rsidR="009E7E07" w:rsidRDefault="00EB3385">
            <w:pPr>
              <w:jc w:val="center"/>
            </w:pPr>
            <w:r>
              <w:rPr>
                <w:color w:val="000000"/>
                <w:sz w:val="24"/>
                <w:szCs w:val="24"/>
              </w:rPr>
              <w:t>600500</w:t>
            </w:r>
          </w:p>
        </w:tc>
        <w:tc>
          <w:tcPr>
            <w:tcW w:w="1777" w:type="dxa"/>
            <w:vAlign w:val="center"/>
          </w:tcPr>
          <w:p w:rsidR="009E7E07" w:rsidRDefault="00EB3385">
            <w:pPr>
              <w:jc w:val="center"/>
            </w:pPr>
            <w:r>
              <w:rPr>
                <w:color w:val="000000"/>
                <w:sz w:val="24"/>
                <w:szCs w:val="24"/>
              </w:rPr>
              <w:t>中化国际</w:t>
            </w:r>
          </w:p>
        </w:tc>
        <w:tc>
          <w:tcPr>
            <w:tcW w:w="1334" w:type="dxa"/>
            <w:vAlign w:val="center"/>
          </w:tcPr>
          <w:p w:rsidR="009E7E07" w:rsidRDefault="00EB3385">
            <w:pPr>
              <w:jc w:val="right"/>
            </w:pPr>
            <w:r>
              <w:rPr>
                <w:color w:val="000000"/>
                <w:sz w:val="24"/>
                <w:szCs w:val="24"/>
              </w:rPr>
              <w:t>29,622,524</w:t>
            </w:r>
          </w:p>
        </w:tc>
        <w:tc>
          <w:tcPr>
            <w:tcW w:w="1924" w:type="dxa"/>
            <w:vAlign w:val="center"/>
          </w:tcPr>
          <w:p w:rsidR="009E7E07" w:rsidRDefault="00EB3385">
            <w:pPr>
              <w:jc w:val="right"/>
            </w:pPr>
            <w:r>
              <w:rPr>
                <w:color w:val="000000"/>
                <w:sz w:val="24"/>
                <w:szCs w:val="24"/>
              </w:rPr>
              <w:t>379,464,532.44</w:t>
            </w:r>
          </w:p>
        </w:tc>
        <w:tc>
          <w:tcPr>
            <w:tcW w:w="1644" w:type="dxa"/>
            <w:vAlign w:val="center"/>
          </w:tcPr>
          <w:p w:rsidR="009E7E07" w:rsidRDefault="00EB3385">
            <w:pPr>
              <w:jc w:val="right"/>
            </w:pPr>
            <w:r>
              <w:rPr>
                <w:color w:val="000000"/>
                <w:sz w:val="24"/>
                <w:szCs w:val="24"/>
              </w:rPr>
              <w:t>9.30</w:t>
            </w:r>
          </w:p>
        </w:tc>
      </w:tr>
      <w:tr w:rsidR="009E7E07">
        <w:trPr>
          <w:jc w:val="center"/>
        </w:trPr>
        <w:tc>
          <w:tcPr>
            <w:tcW w:w="855" w:type="dxa"/>
            <w:vAlign w:val="center"/>
          </w:tcPr>
          <w:p w:rsidR="009E7E07" w:rsidRDefault="00EB3385">
            <w:pPr>
              <w:jc w:val="center"/>
            </w:pPr>
            <w:r>
              <w:rPr>
                <w:color w:val="000000"/>
                <w:sz w:val="24"/>
                <w:szCs w:val="24"/>
              </w:rPr>
              <w:t>2</w:t>
            </w:r>
          </w:p>
        </w:tc>
        <w:tc>
          <w:tcPr>
            <w:tcW w:w="1334" w:type="dxa"/>
            <w:vAlign w:val="center"/>
          </w:tcPr>
          <w:p w:rsidR="009E7E07" w:rsidRDefault="00EB3385">
            <w:pPr>
              <w:jc w:val="center"/>
            </w:pPr>
            <w:r>
              <w:rPr>
                <w:color w:val="000000"/>
                <w:sz w:val="24"/>
                <w:szCs w:val="24"/>
              </w:rPr>
              <w:t>002180</w:t>
            </w:r>
          </w:p>
        </w:tc>
        <w:tc>
          <w:tcPr>
            <w:tcW w:w="1777" w:type="dxa"/>
            <w:vAlign w:val="center"/>
          </w:tcPr>
          <w:p w:rsidR="009E7E07" w:rsidRDefault="00EB3385">
            <w:pPr>
              <w:jc w:val="center"/>
            </w:pPr>
            <w:r>
              <w:rPr>
                <w:color w:val="000000"/>
                <w:sz w:val="24"/>
                <w:szCs w:val="24"/>
              </w:rPr>
              <w:t>艾派克</w:t>
            </w:r>
          </w:p>
        </w:tc>
        <w:tc>
          <w:tcPr>
            <w:tcW w:w="1334" w:type="dxa"/>
            <w:vAlign w:val="center"/>
          </w:tcPr>
          <w:p w:rsidR="009E7E07" w:rsidRDefault="00EB3385">
            <w:pPr>
              <w:jc w:val="right"/>
            </w:pPr>
            <w:r>
              <w:rPr>
                <w:color w:val="000000"/>
                <w:sz w:val="24"/>
                <w:szCs w:val="24"/>
              </w:rPr>
              <w:t>7,855,693</w:t>
            </w:r>
          </w:p>
        </w:tc>
        <w:tc>
          <w:tcPr>
            <w:tcW w:w="1924" w:type="dxa"/>
            <w:vAlign w:val="center"/>
          </w:tcPr>
          <w:p w:rsidR="009E7E07" w:rsidRDefault="00EB3385">
            <w:pPr>
              <w:jc w:val="right"/>
            </w:pPr>
            <w:r>
              <w:rPr>
                <w:color w:val="000000"/>
                <w:sz w:val="24"/>
                <w:szCs w:val="24"/>
              </w:rPr>
              <w:t>362,540,231.95</w:t>
            </w:r>
          </w:p>
        </w:tc>
        <w:tc>
          <w:tcPr>
            <w:tcW w:w="1644" w:type="dxa"/>
            <w:vAlign w:val="center"/>
          </w:tcPr>
          <w:p w:rsidR="009E7E07" w:rsidRDefault="00EB3385">
            <w:pPr>
              <w:jc w:val="right"/>
            </w:pPr>
            <w:r>
              <w:rPr>
                <w:color w:val="000000"/>
                <w:sz w:val="24"/>
                <w:szCs w:val="24"/>
              </w:rPr>
              <w:t>8.89</w:t>
            </w:r>
          </w:p>
        </w:tc>
      </w:tr>
      <w:tr w:rsidR="009E7E07">
        <w:trPr>
          <w:jc w:val="center"/>
        </w:trPr>
        <w:tc>
          <w:tcPr>
            <w:tcW w:w="855" w:type="dxa"/>
            <w:vAlign w:val="center"/>
          </w:tcPr>
          <w:p w:rsidR="009E7E07" w:rsidRDefault="00EB3385">
            <w:pPr>
              <w:jc w:val="center"/>
            </w:pPr>
            <w:r>
              <w:rPr>
                <w:color w:val="000000"/>
                <w:sz w:val="24"/>
                <w:szCs w:val="24"/>
              </w:rPr>
              <w:t>3</w:t>
            </w:r>
          </w:p>
        </w:tc>
        <w:tc>
          <w:tcPr>
            <w:tcW w:w="1334" w:type="dxa"/>
            <w:vAlign w:val="center"/>
          </w:tcPr>
          <w:p w:rsidR="009E7E07" w:rsidRDefault="00EB3385">
            <w:pPr>
              <w:jc w:val="center"/>
            </w:pPr>
            <w:r>
              <w:rPr>
                <w:color w:val="000000"/>
                <w:sz w:val="24"/>
                <w:szCs w:val="24"/>
              </w:rPr>
              <w:t>600389</w:t>
            </w:r>
          </w:p>
        </w:tc>
        <w:tc>
          <w:tcPr>
            <w:tcW w:w="1777" w:type="dxa"/>
            <w:vAlign w:val="center"/>
          </w:tcPr>
          <w:p w:rsidR="009E7E07" w:rsidRDefault="00EB3385">
            <w:pPr>
              <w:jc w:val="center"/>
            </w:pPr>
            <w:r>
              <w:rPr>
                <w:color w:val="000000"/>
                <w:sz w:val="24"/>
                <w:szCs w:val="24"/>
              </w:rPr>
              <w:t>江山股份</w:t>
            </w:r>
          </w:p>
        </w:tc>
        <w:tc>
          <w:tcPr>
            <w:tcW w:w="1334" w:type="dxa"/>
            <w:vAlign w:val="center"/>
          </w:tcPr>
          <w:p w:rsidR="009E7E07" w:rsidRDefault="00EB3385">
            <w:pPr>
              <w:jc w:val="right"/>
            </w:pPr>
            <w:r>
              <w:rPr>
                <w:color w:val="000000"/>
                <w:sz w:val="24"/>
                <w:szCs w:val="24"/>
              </w:rPr>
              <w:t>9,681,297</w:t>
            </w:r>
          </w:p>
        </w:tc>
        <w:tc>
          <w:tcPr>
            <w:tcW w:w="1924" w:type="dxa"/>
            <w:vAlign w:val="center"/>
          </w:tcPr>
          <w:p w:rsidR="009E7E07" w:rsidRDefault="00EB3385">
            <w:pPr>
              <w:jc w:val="right"/>
            </w:pPr>
            <w:r>
              <w:rPr>
                <w:color w:val="000000"/>
                <w:sz w:val="24"/>
                <w:szCs w:val="24"/>
              </w:rPr>
              <w:t>256,457,557.53</w:t>
            </w:r>
          </w:p>
        </w:tc>
        <w:tc>
          <w:tcPr>
            <w:tcW w:w="1644" w:type="dxa"/>
            <w:vAlign w:val="center"/>
          </w:tcPr>
          <w:p w:rsidR="009E7E07" w:rsidRDefault="00EB3385">
            <w:pPr>
              <w:jc w:val="right"/>
            </w:pPr>
            <w:r>
              <w:rPr>
                <w:color w:val="000000"/>
                <w:sz w:val="24"/>
                <w:szCs w:val="24"/>
              </w:rPr>
              <w:t>6.29</w:t>
            </w:r>
          </w:p>
        </w:tc>
      </w:tr>
      <w:tr w:rsidR="009E7E07">
        <w:trPr>
          <w:jc w:val="center"/>
        </w:trPr>
        <w:tc>
          <w:tcPr>
            <w:tcW w:w="855" w:type="dxa"/>
            <w:vAlign w:val="center"/>
          </w:tcPr>
          <w:p w:rsidR="009E7E07" w:rsidRDefault="00EB3385">
            <w:pPr>
              <w:jc w:val="center"/>
            </w:pPr>
            <w:r>
              <w:rPr>
                <w:color w:val="000000"/>
                <w:sz w:val="24"/>
                <w:szCs w:val="24"/>
              </w:rPr>
              <w:t>4</w:t>
            </w:r>
          </w:p>
        </w:tc>
        <w:tc>
          <w:tcPr>
            <w:tcW w:w="1334" w:type="dxa"/>
            <w:vAlign w:val="center"/>
          </w:tcPr>
          <w:p w:rsidR="009E7E07" w:rsidRDefault="00EB3385">
            <w:pPr>
              <w:jc w:val="center"/>
            </w:pPr>
            <w:r>
              <w:rPr>
                <w:color w:val="000000"/>
                <w:sz w:val="24"/>
                <w:szCs w:val="24"/>
              </w:rPr>
              <w:t>002045</w:t>
            </w:r>
          </w:p>
        </w:tc>
        <w:tc>
          <w:tcPr>
            <w:tcW w:w="1777" w:type="dxa"/>
            <w:vAlign w:val="center"/>
          </w:tcPr>
          <w:p w:rsidR="009E7E07" w:rsidRDefault="00EB3385">
            <w:pPr>
              <w:jc w:val="center"/>
            </w:pPr>
            <w:r>
              <w:rPr>
                <w:color w:val="000000"/>
                <w:sz w:val="24"/>
                <w:szCs w:val="24"/>
              </w:rPr>
              <w:t>国光电器</w:t>
            </w:r>
          </w:p>
        </w:tc>
        <w:tc>
          <w:tcPr>
            <w:tcW w:w="1334" w:type="dxa"/>
            <w:vAlign w:val="center"/>
          </w:tcPr>
          <w:p w:rsidR="009E7E07" w:rsidRDefault="00EB3385">
            <w:pPr>
              <w:jc w:val="right"/>
            </w:pPr>
            <w:r>
              <w:rPr>
                <w:color w:val="000000"/>
                <w:sz w:val="24"/>
                <w:szCs w:val="24"/>
              </w:rPr>
              <w:t>9,350,225</w:t>
            </w:r>
          </w:p>
        </w:tc>
        <w:tc>
          <w:tcPr>
            <w:tcW w:w="1924" w:type="dxa"/>
            <w:vAlign w:val="center"/>
          </w:tcPr>
          <w:p w:rsidR="009E7E07" w:rsidRDefault="00EB3385">
            <w:pPr>
              <w:jc w:val="right"/>
            </w:pPr>
            <w:r>
              <w:rPr>
                <w:color w:val="000000"/>
                <w:sz w:val="24"/>
                <w:szCs w:val="24"/>
              </w:rPr>
              <w:t>176,719,252.50</w:t>
            </w:r>
          </w:p>
        </w:tc>
        <w:tc>
          <w:tcPr>
            <w:tcW w:w="1644" w:type="dxa"/>
            <w:vAlign w:val="center"/>
          </w:tcPr>
          <w:p w:rsidR="009E7E07" w:rsidRDefault="00EB3385">
            <w:pPr>
              <w:jc w:val="right"/>
            </w:pPr>
            <w:r>
              <w:rPr>
                <w:color w:val="000000"/>
                <w:sz w:val="24"/>
                <w:szCs w:val="24"/>
              </w:rPr>
              <w:t>4.33</w:t>
            </w:r>
          </w:p>
        </w:tc>
      </w:tr>
      <w:tr w:rsidR="009E7E07">
        <w:trPr>
          <w:jc w:val="center"/>
        </w:trPr>
        <w:tc>
          <w:tcPr>
            <w:tcW w:w="855" w:type="dxa"/>
            <w:vAlign w:val="center"/>
          </w:tcPr>
          <w:p w:rsidR="009E7E07" w:rsidRDefault="00EB3385">
            <w:pPr>
              <w:jc w:val="center"/>
            </w:pPr>
            <w:r>
              <w:rPr>
                <w:color w:val="000000"/>
                <w:sz w:val="24"/>
                <w:szCs w:val="24"/>
              </w:rPr>
              <w:t>5</w:t>
            </w:r>
          </w:p>
        </w:tc>
        <w:tc>
          <w:tcPr>
            <w:tcW w:w="1334" w:type="dxa"/>
            <w:vAlign w:val="center"/>
          </w:tcPr>
          <w:p w:rsidR="009E7E07" w:rsidRDefault="00EB3385">
            <w:pPr>
              <w:jc w:val="center"/>
            </w:pPr>
            <w:r>
              <w:rPr>
                <w:color w:val="000000"/>
                <w:sz w:val="24"/>
                <w:szCs w:val="24"/>
              </w:rPr>
              <w:t>002053</w:t>
            </w:r>
          </w:p>
        </w:tc>
        <w:tc>
          <w:tcPr>
            <w:tcW w:w="1777" w:type="dxa"/>
            <w:vAlign w:val="center"/>
          </w:tcPr>
          <w:p w:rsidR="009E7E07" w:rsidRDefault="00EB3385">
            <w:pPr>
              <w:jc w:val="center"/>
            </w:pPr>
            <w:r>
              <w:rPr>
                <w:color w:val="000000"/>
                <w:sz w:val="24"/>
                <w:szCs w:val="24"/>
              </w:rPr>
              <w:t>云南盐化</w:t>
            </w:r>
          </w:p>
        </w:tc>
        <w:tc>
          <w:tcPr>
            <w:tcW w:w="1334" w:type="dxa"/>
            <w:vAlign w:val="center"/>
          </w:tcPr>
          <w:p w:rsidR="009E7E07" w:rsidRDefault="00EB3385">
            <w:pPr>
              <w:jc w:val="right"/>
            </w:pPr>
            <w:r>
              <w:rPr>
                <w:color w:val="000000"/>
                <w:sz w:val="24"/>
                <w:szCs w:val="24"/>
              </w:rPr>
              <w:t>6,354,690</w:t>
            </w:r>
          </w:p>
        </w:tc>
        <w:tc>
          <w:tcPr>
            <w:tcW w:w="1924" w:type="dxa"/>
            <w:vAlign w:val="center"/>
          </w:tcPr>
          <w:p w:rsidR="009E7E07" w:rsidRDefault="00EB3385">
            <w:pPr>
              <w:jc w:val="right"/>
            </w:pPr>
            <w:r>
              <w:rPr>
                <w:color w:val="000000"/>
                <w:sz w:val="24"/>
                <w:szCs w:val="24"/>
              </w:rPr>
              <w:t>176,279,100.60</w:t>
            </w:r>
          </w:p>
        </w:tc>
        <w:tc>
          <w:tcPr>
            <w:tcW w:w="1644" w:type="dxa"/>
            <w:vAlign w:val="center"/>
          </w:tcPr>
          <w:p w:rsidR="009E7E07" w:rsidRDefault="00EB3385">
            <w:pPr>
              <w:jc w:val="right"/>
            </w:pPr>
            <w:r>
              <w:rPr>
                <w:color w:val="000000"/>
                <w:sz w:val="24"/>
                <w:szCs w:val="24"/>
              </w:rPr>
              <w:t>4.32</w:t>
            </w:r>
          </w:p>
        </w:tc>
      </w:tr>
      <w:tr w:rsidR="009E7E07">
        <w:trPr>
          <w:jc w:val="center"/>
        </w:trPr>
        <w:tc>
          <w:tcPr>
            <w:tcW w:w="855" w:type="dxa"/>
            <w:vAlign w:val="center"/>
          </w:tcPr>
          <w:p w:rsidR="009E7E07" w:rsidRDefault="00EB3385">
            <w:pPr>
              <w:jc w:val="center"/>
            </w:pPr>
            <w:r>
              <w:rPr>
                <w:color w:val="000000"/>
                <w:sz w:val="24"/>
                <w:szCs w:val="24"/>
              </w:rPr>
              <w:t>6</w:t>
            </w:r>
          </w:p>
        </w:tc>
        <w:tc>
          <w:tcPr>
            <w:tcW w:w="1334" w:type="dxa"/>
            <w:vAlign w:val="center"/>
          </w:tcPr>
          <w:p w:rsidR="009E7E07" w:rsidRDefault="00EB3385">
            <w:pPr>
              <w:jc w:val="center"/>
            </w:pPr>
            <w:r>
              <w:rPr>
                <w:color w:val="000000"/>
                <w:sz w:val="24"/>
                <w:szCs w:val="24"/>
              </w:rPr>
              <w:t>600763</w:t>
            </w:r>
          </w:p>
        </w:tc>
        <w:tc>
          <w:tcPr>
            <w:tcW w:w="1777" w:type="dxa"/>
            <w:vAlign w:val="center"/>
          </w:tcPr>
          <w:p w:rsidR="009E7E07" w:rsidRDefault="00EB3385">
            <w:pPr>
              <w:jc w:val="center"/>
            </w:pPr>
            <w:r>
              <w:rPr>
                <w:color w:val="000000"/>
                <w:sz w:val="24"/>
                <w:szCs w:val="24"/>
              </w:rPr>
              <w:t>通策医疗</w:t>
            </w:r>
          </w:p>
        </w:tc>
        <w:tc>
          <w:tcPr>
            <w:tcW w:w="1334" w:type="dxa"/>
            <w:vAlign w:val="center"/>
          </w:tcPr>
          <w:p w:rsidR="009E7E07" w:rsidRDefault="00EB3385">
            <w:pPr>
              <w:jc w:val="right"/>
            </w:pPr>
            <w:r>
              <w:rPr>
                <w:color w:val="000000"/>
                <w:sz w:val="24"/>
                <w:szCs w:val="24"/>
              </w:rPr>
              <w:t>3,273,978</w:t>
            </w:r>
          </w:p>
        </w:tc>
        <w:tc>
          <w:tcPr>
            <w:tcW w:w="1924" w:type="dxa"/>
            <w:vAlign w:val="center"/>
          </w:tcPr>
          <w:p w:rsidR="009E7E07" w:rsidRDefault="00EB3385">
            <w:pPr>
              <w:jc w:val="right"/>
            </w:pPr>
            <w:r>
              <w:rPr>
                <w:color w:val="000000"/>
                <w:sz w:val="24"/>
                <w:szCs w:val="24"/>
              </w:rPr>
              <w:t>160,490,401.56</w:t>
            </w:r>
          </w:p>
        </w:tc>
        <w:tc>
          <w:tcPr>
            <w:tcW w:w="1644" w:type="dxa"/>
            <w:vAlign w:val="center"/>
          </w:tcPr>
          <w:p w:rsidR="009E7E07" w:rsidRDefault="00EB3385">
            <w:pPr>
              <w:jc w:val="right"/>
            </w:pPr>
            <w:r>
              <w:rPr>
                <w:color w:val="000000"/>
                <w:sz w:val="24"/>
                <w:szCs w:val="24"/>
              </w:rPr>
              <w:t>3.93</w:t>
            </w:r>
          </w:p>
        </w:tc>
      </w:tr>
      <w:tr w:rsidR="009E7E07">
        <w:trPr>
          <w:jc w:val="center"/>
        </w:trPr>
        <w:tc>
          <w:tcPr>
            <w:tcW w:w="855" w:type="dxa"/>
            <w:vAlign w:val="center"/>
          </w:tcPr>
          <w:p w:rsidR="009E7E07" w:rsidRDefault="00EB3385">
            <w:pPr>
              <w:jc w:val="center"/>
            </w:pPr>
            <w:r>
              <w:rPr>
                <w:color w:val="000000"/>
                <w:sz w:val="24"/>
                <w:szCs w:val="24"/>
              </w:rPr>
              <w:t>7</w:t>
            </w:r>
          </w:p>
        </w:tc>
        <w:tc>
          <w:tcPr>
            <w:tcW w:w="1334" w:type="dxa"/>
            <w:vAlign w:val="center"/>
          </w:tcPr>
          <w:p w:rsidR="009E7E07" w:rsidRDefault="00EB3385">
            <w:pPr>
              <w:jc w:val="center"/>
            </w:pPr>
            <w:r>
              <w:rPr>
                <w:color w:val="000000"/>
                <w:sz w:val="24"/>
                <w:szCs w:val="24"/>
              </w:rPr>
              <w:t>002280</w:t>
            </w:r>
          </w:p>
        </w:tc>
        <w:tc>
          <w:tcPr>
            <w:tcW w:w="1777" w:type="dxa"/>
            <w:vAlign w:val="center"/>
          </w:tcPr>
          <w:p w:rsidR="009E7E07" w:rsidRDefault="00EB3385">
            <w:pPr>
              <w:jc w:val="center"/>
            </w:pPr>
            <w:r>
              <w:rPr>
                <w:color w:val="000000"/>
                <w:sz w:val="24"/>
                <w:szCs w:val="24"/>
              </w:rPr>
              <w:t>联络互动</w:t>
            </w:r>
          </w:p>
        </w:tc>
        <w:tc>
          <w:tcPr>
            <w:tcW w:w="1334" w:type="dxa"/>
            <w:vAlign w:val="center"/>
          </w:tcPr>
          <w:p w:rsidR="009E7E07" w:rsidRDefault="00EB3385">
            <w:pPr>
              <w:jc w:val="right"/>
            </w:pPr>
            <w:r>
              <w:rPr>
                <w:color w:val="000000"/>
                <w:sz w:val="24"/>
                <w:szCs w:val="24"/>
              </w:rPr>
              <w:t>2,138,323</w:t>
            </w:r>
          </w:p>
        </w:tc>
        <w:tc>
          <w:tcPr>
            <w:tcW w:w="1924" w:type="dxa"/>
            <w:vAlign w:val="center"/>
          </w:tcPr>
          <w:p w:rsidR="009E7E07" w:rsidRDefault="00EB3385">
            <w:pPr>
              <w:jc w:val="right"/>
            </w:pPr>
            <w:r>
              <w:rPr>
                <w:color w:val="000000"/>
                <w:sz w:val="24"/>
                <w:szCs w:val="24"/>
              </w:rPr>
              <w:t>131,293,032.20</w:t>
            </w:r>
          </w:p>
        </w:tc>
        <w:tc>
          <w:tcPr>
            <w:tcW w:w="1644" w:type="dxa"/>
            <w:vAlign w:val="center"/>
          </w:tcPr>
          <w:p w:rsidR="009E7E07" w:rsidRDefault="00EB3385">
            <w:pPr>
              <w:jc w:val="right"/>
            </w:pPr>
            <w:r>
              <w:rPr>
                <w:color w:val="000000"/>
                <w:sz w:val="24"/>
                <w:szCs w:val="24"/>
              </w:rPr>
              <w:t>3.22</w:t>
            </w:r>
          </w:p>
        </w:tc>
      </w:tr>
      <w:tr w:rsidR="009E7E07">
        <w:trPr>
          <w:jc w:val="center"/>
        </w:trPr>
        <w:tc>
          <w:tcPr>
            <w:tcW w:w="855" w:type="dxa"/>
            <w:vAlign w:val="center"/>
          </w:tcPr>
          <w:p w:rsidR="009E7E07" w:rsidRDefault="00EB3385">
            <w:pPr>
              <w:jc w:val="center"/>
            </w:pPr>
            <w:r>
              <w:rPr>
                <w:color w:val="000000"/>
                <w:sz w:val="24"/>
                <w:szCs w:val="24"/>
              </w:rPr>
              <w:t>8</w:t>
            </w:r>
          </w:p>
        </w:tc>
        <w:tc>
          <w:tcPr>
            <w:tcW w:w="1334" w:type="dxa"/>
            <w:vAlign w:val="center"/>
          </w:tcPr>
          <w:p w:rsidR="009E7E07" w:rsidRDefault="00EB3385">
            <w:pPr>
              <w:jc w:val="center"/>
            </w:pPr>
            <w:r>
              <w:rPr>
                <w:color w:val="000000"/>
                <w:sz w:val="24"/>
                <w:szCs w:val="24"/>
              </w:rPr>
              <w:t>600029</w:t>
            </w:r>
          </w:p>
        </w:tc>
        <w:tc>
          <w:tcPr>
            <w:tcW w:w="1777" w:type="dxa"/>
            <w:vAlign w:val="center"/>
          </w:tcPr>
          <w:p w:rsidR="009E7E07" w:rsidRDefault="00EB3385">
            <w:pPr>
              <w:jc w:val="center"/>
            </w:pPr>
            <w:r>
              <w:rPr>
                <w:color w:val="000000"/>
                <w:sz w:val="24"/>
                <w:szCs w:val="24"/>
              </w:rPr>
              <w:t>南方航空</w:t>
            </w:r>
          </w:p>
        </w:tc>
        <w:tc>
          <w:tcPr>
            <w:tcW w:w="1334" w:type="dxa"/>
            <w:vAlign w:val="center"/>
          </w:tcPr>
          <w:p w:rsidR="009E7E07" w:rsidRDefault="00EB3385">
            <w:pPr>
              <w:jc w:val="right"/>
            </w:pPr>
            <w:r>
              <w:rPr>
                <w:color w:val="000000"/>
                <w:sz w:val="24"/>
                <w:szCs w:val="24"/>
              </w:rPr>
              <w:t>11,783,716</w:t>
            </w:r>
          </w:p>
        </w:tc>
        <w:tc>
          <w:tcPr>
            <w:tcW w:w="1924" w:type="dxa"/>
            <w:vAlign w:val="center"/>
          </w:tcPr>
          <w:p w:rsidR="009E7E07" w:rsidRDefault="00EB3385">
            <w:pPr>
              <w:jc w:val="right"/>
            </w:pPr>
            <w:r>
              <w:rPr>
                <w:color w:val="000000"/>
                <w:sz w:val="24"/>
                <w:szCs w:val="24"/>
              </w:rPr>
              <w:t>100,986,446.12</w:t>
            </w:r>
          </w:p>
        </w:tc>
        <w:tc>
          <w:tcPr>
            <w:tcW w:w="1644" w:type="dxa"/>
            <w:vAlign w:val="center"/>
          </w:tcPr>
          <w:p w:rsidR="009E7E07" w:rsidRDefault="00EB3385">
            <w:pPr>
              <w:jc w:val="right"/>
            </w:pPr>
            <w:r>
              <w:rPr>
                <w:color w:val="000000"/>
                <w:sz w:val="24"/>
                <w:szCs w:val="24"/>
              </w:rPr>
              <w:t>2.48</w:t>
            </w:r>
          </w:p>
        </w:tc>
      </w:tr>
      <w:tr w:rsidR="009E7E07">
        <w:trPr>
          <w:jc w:val="center"/>
        </w:trPr>
        <w:tc>
          <w:tcPr>
            <w:tcW w:w="855" w:type="dxa"/>
            <w:vAlign w:val="center"/>
          </w:tcPr>
          <w:p w:rsidR="009E7E07" w:rsidRDefault="00EB3385">
            <w:pPr>
              <w:jc w:val="center"/>
            </w:pPr>
            <w:r>
              <w:rPr>
                <w:color w:val="000000"/>
                <w:sz w:val="24"/>
                <w:szCs w:val="24"/>
              </w:rPr>
              <w:t>9</w:t>
            </w:r>
          </w:p>
        </w:tc>
        <w:tc>
          <w:tcPr>
            <w:tcW w:w="1334" w:type="dxa"/>
            <w:vAlign w:val="center"/>
          </w:tcPr>
          <w:p w:rsidR="009E7E07" w:rsidRDefault="00EB3385">
            <w:pPr>
              <w:jc w:val="center"/>
            </w:pPr>
            <w:r>
              <w:rPr>
                <w:color w:val="000000"/>
                <w:sz w:val="24"/>
                <w:szCs w:val="24"/>
              </w:rPr>
              <w:t>601021</w:t>
            </w:r>
          </w:p>
        </w:tc>
        <w:tc>
          <w:tcPr>
            <w:tcW w:w="1777" w:type="dxa"/>
            <w:vAlign w:val="center"/>
          </w:tcPr>
          <w:p w:rsidR="009E7E07" w:rsidRDefault="00EB3385">
            <w:pPr>
              <w:jc w:val="center"/>
            </w:pPr>
            <w:r>
              <w:rPr>
                <w:color w:val="000000"/>
                <w:sz w:val="24"/>
                <w:szCs w:val="24"/>
              </w:rPr>
              <w:t>春秋航空</w:t>
            </w:r>
          </w:p>
        </w:tc>
        <w:tc>
          <w:tcPr>
            <w:tcW w:w="1334" w:type="dxa"/>
            <w:vAlign w:val="center"/>
          </w:tcPr>
          <w:p w:rsidR="009E7E07" w:rsidRDefault="00EB3385">
            <w:pPr>
              <w:jc w:val="right"/>
            </w:pPr>
            <w:r>
              <w:rPr>
                <w:color w:val="000000"/>
                <w:sz w:val="24"/>
                <w:szCs w:val="24"/>
              </w:rPr>
              <w:t>1,583,744</w:t>
            </w:r>
          </w:p>
        </w:tc>
        <w:tc>
          <w:tcPr>
            <w:tcW w:w="1924" w:type="dxa"/>
            <w:vAlign w:val="center"/>
          </w:tcPr>
          <w:p w:rsidR="009E7E07" w:rsidRDefault="00EB3385">
            <w:pPr>
              <w:jc w:val="right"/>
            </w:pPr>
            <w:r>
              <w:rPr>
                <w:color w:val="000000"/>
                <w:sz w:val="24"/>
                <w:szCs w:val="24"/>
              </w:rPr>
              <w:t>96,608,384.00</w:t>
            </w:r>
          </w:p>
        </w:tc>
        <w:tc>
          <w:tcPr>
            <w:tcW w:w="1644" w:type="dxa"/>
            <w:vAlign w:val="center"/>
          </w:tcPr>
          <w:p w:rsidR="009E7E07" w:rsidRDefault="00EB3385">
            <w:pPr>
              <w:jc w:val="right"/>
            </w:pPr>
            <w:r>
              <w:rPr>
                <w:color w:val="000000"/>
                <w:sz w:val="24"/>
                <w:szCs w:val="24"/>
              </w:rPr>
              <w:t>2.37</w:t>
            </w:r>
          </w:p>
        </w:tc>
      </w:tr>
      <w:tr w:rsidR="009E7E07">
        <w:trPr>
          <w:jc w:val="center"/>
        </w:trPr>
        <w:tc>
          <w:tcPr>
            <w:tcW w:w="855" w:type="dxa"/>
            <w:vAlign w:val="center"/>
          </w:tcPr>
          <w:p w:rsidR="009E7E07" w:rsidRDefault="00EB3385">
            <w:pPr>
              <w:jc w:val="center"/>
            </w:pPr>
            <w:r>
              <w:rPr>
                <w:color w:val="000000"/>
                <w:sz w:val="24"/>
                <w:szCs w:val="24"/>
              </w:rPr>
              <w:t>10</w:t>
            </w:r>
          </w:p>
        </w:tc>
        <w:tc>
          <w:tcPr>
            <w:tcW w:w="1334" w:type="dxa"/>
            <w:vAlign w:val="center"/>
          </w:tcPr>
          <w:p w:rsidR="009E7E07" w:rsidRDefault="00EB3385">
            <w:pPr>
              <w:jc w:val="center"/>
            </w:pPr>
            <w:r>
              <w:rPr>
                <w:color w:val="000000"/>
                <w:sz w:val="24"/>
                <w:szCs w:val="24"/>
              </w:rPr>
              <w:t>600055</w:t>
            </w:r>
          </w:p>
        </w:tc>
        <w:tc>
          <w:tcPr>
            <w:tcW w:w="1777" w:type="dxa"/>
            <w:vAlign w:val="center"/>
          </w:tcPr>
          <w:p w:rsidR="009E7E07" w:rsidRDefault="00EB3385">
            <w:pPr>
              <w:jc w:val="center"/>
            </w:pPr>
            <w:r>
              <w:rPr>
                <w:color w:val="000000"/>
                <w:sz w:val="24"/>
                <w:szCs w:val="24"/>
              </w:rPr>
              <w:t>华润万东</w:t>
            </w:r>
          </w:p>
        </w:tc>
        <w:tc>
          <w:tcPr>
            <w:tcW w:w="1334" w:type="dxa"/>
            <w:vAlign w:val="center"/>
          </w:tcPr>
          <w:p w:rsidR="009E7E07" w:rsidRDefault="00EB3385">
            <w:pPr>
              <w:jc w:val="right"/>
            </w:pPr>
            <w:r>
              <w:rPr>
                <w:color w:val="000000"/>
                <w:sz w:val="24"/>
                <w:szCs w:val="24"/>
              </w:rPr>
              <w:t>2,224,357</w:t>
            </w:r>
          </w:p>
        </w:tc>
        <w:tc>
          <w:tcPr>
            <w:tcW w:w="1924" w:type="dxa"/>
            <w:vAlign w:val="center"/>
          </w:tcPr>
          <w:p w:rsidR="009E7E07" w:rsidRDefault="00EB3385">
            <w:pPr>
              <w:jc w:val="right"/>
            </w:pPr>
            <w:r>
              <w:rPr>
                <w:color w:val="000000"/>
                <w:sz w:val="24"/>
                <w:szCs w:val="24"/>
              </w:rPr>
              <w:t>94,134,788.24</w:t>
            </w:r>
          </w:p>
        </w:tc>
        <w:tc>
          <w:tcPr>
            <w:tcW w:w="1644" w:type="dxa"/>
            <w:vAlign w:val="center"/>
          </w:tcPr>
          <w:p w:rsidR="009E7E07" w:rsidRDefault="00EB3385">
            <w:pPr>
              <w:jc w:val="right"/>
            </w:pPr>
            <w:r>
              <w:rPr>
                <w:color w:val="000000"/>
                <w:sz w:val="24"/>
                <w:szCs w:val="24"/>
              </w:rPr>
              <w:t>2.31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2,174,384.64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233,559.60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1,078,863.49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3,486,807.73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9E7E07">
        <w:trPr>
          <w:jc w:val="center"/>
        </w:trPr>
        <w:tc>
          <w:tcPr>
            <w:tcW w:w="1129" w:type="dxa"/>
            <w:vAlign w:val="center"/>
          </w:tcPr>
          <w:p w:rsidR="009E7E07" w:rsidRDefault="00EB3385">
            <w:pPr>
              <w:jc w:val="center"/>
            </w:pPr>
            <w:r>
              <w:rPr>
                <w:color w:val="000000"/>
                <w:sz w:val="24"/>
                <w:szCs w:val="24"/>
              </w:rPr>
              <w:t>1</w:t>
            </w:r>
          </w:p>
        </w:tc>
        <w:tc>
          <w:tcPr>
            <w:tcW w:w="1356" w:type="dxa"/>
            <w:vAlign w:val="center"/>
          </w:tcPr>
          <w:p w:rsidR="009E7E07" w:rsidRDefault="00EB3385">
            <w:pPr>
              <w:jc w:val="center"/>
            </w:pPr>
            <w:r>
              <w:rPr>
                <w:color w:val="000000"/>
                <w:sz w:val="24"/>
                <w:szCs w:val="24"/>
              </w:rPr>
              <w:t>600389</w:t>
            </w:r>
          </w:p>
        </w:tc>
        <w:tc>
          <w:tcPr>
            <w:tcW w:w="1355" w:type="dxa"/>
            <w:vAlign w:val="center"/>
          </w:tcPr>
          <w:p w:rsidR="009E7E07" w:rsidRDefault="00EB3385">
            <w:pPr>
              <w:jc w:val="center"/>
            </w:pPr>
            <w:r>
              <w:rPr>
                <w:color w:val="000000"/>
                <w:sz w:val="24"/>
                <w:szCs w:val="24"/>
              </w:rPr>
              <w:t>江山股份</w:t>
            </w:r>
          </w:p>
        </w:tc>
        <w:tc>
          <w:tcPr>
            <w:tcW w:w="1880" w:type="dxa"/>
            <w:vAlign w:val="center"/>
          </w:tcPr>
          <w:p w:rsidR="009E7E07" w:rsidRDefault="00EB3385">
            <w:pPr>
              <w:jc w:val="right"/>
            </w:pPr>
            <w:r>
              <w:rPr>
                <w:color w:val="000000"/>
                <w:sz w:val="24"/>
                <w:szCs w:val="24"/>
              </w:rPr>
              <w:t>256,457,557.53</w:t>
            </w:r>
          </w:p>
        </w:tc>
        <w:tc>
          <w:tcPr>
            <w:tcW w:w="1724" w:type="dxa"/>
            <w:vAlign w:val="center"/>
          </w:tcPr>
          <w:p w:rsidR="009E7E07" w:rsidRDefault="00EB3385">
            <w:pPr>
              <w:jc w:val="right"/>
            </w:pPr>
            <w:r>
              <w:rPr>
                <w:color w:val="000000"/>
                <w:sz w:val="24"/>
                <w:szCs w:val="24"/>
              </w:rPr>
              <w:t>6.29</w:t>
            </w:r>
          </w:p>
        </w:tc>
        <w:tc>
          <w:tcPr>
            <w:tcW w:w="1424" w:type="dxa"/>
            <w:vAlign w:val="center"/>
          </w:tcPr>
          <w:p w:rsidR="009E7E07" w:rsidRDefault="00EB3385">
            <w:pPr>
              <w:jc w:val="right"/>
            </w:pPr>
            <w:r>
              <w:rPr>
                <w:color w:val="000000"/>
                <w:sz w:val="24"/>
                <w:szCs w:val="24"/>
              </w:rPr>
              <w:t>重大事项</w:t>
            </w:r>
          </w:p>
        </w:tc>
      </w:tr>
      <w:tr w:rsidR="009E7E07">
        <w:trPr>
          <w:jc w:val="center"/>
        </w:trPr>
        <w:tc>
          <w:tcPr>
            <w:tcW w:w="1129" w:type="dxa"/>
            <w:vAlign w:val="center"/>
          </w:tcPr>
          <w:p w:rsidR="009E7E07" w:rsidRDefault="00EB3385">
            <w:pPr>
              <w:jc w:val="center"/>
            </w:pPr>
            <w:r>
              <w:rPr>
                <w:color w:val="000000"/>
                <w:sz w:val="24"/>
                <w:szCs w:val="24"/>
              </w:rPr>
              <w:t>2</w:t>
            </w:r>
          </w:p>
        </w:tc>
        <w:tc>
          <w:tcPr>
            <w:tcW w:w="1356" w:type="dxa"/>
            <w:vAlign w:val="center"/>
          </w:tcPr>
          <w:p w:rsidR="009E7E07" w:rsidRDefault="00EB3385">
            <w:pPr>
              <w:jc w:val="center"/>
            </w:pPr>
            <w:r>
              <w:rPr>
                <w:color w:val="000000"/>
                <w:sz w:val="24"/>
                <w:szCs w:val="24"/>
              </w:rPr>
              <w:t>002053</w:t>
            </w:r>
          </w:p>
        </w:tc>
        <w:tc>
          <w:tcPr>
            <w:tcW w:w="1355" w:type="dxa"/>
            <w:vAlign w:val="center"/>
          </w:tcPr>
          <w:p w:rsidR="009E7E07" w:rsidRDefault="00EB3385">
            <w:pPr>
              <w:jc w:val="center"/>
            </w:pPr>
            <w:r>
              <w:rPr>
                <w:color w:val="000000"/>
                <w:sz w:val="24"/>
                <w:szCs w:val="24"/>
              </w:rPr>
              <w:t>云南盐化</w:t>
            </w:r>
          </w:p>
        </w:tc>
        <w:tc>
          <w:tcPr>
            <w:tcW w:w="1880" w:type="dxa"/>
            <w:vAlign w:val="center"/>
          </w:tcPr>
          <w:p w:rsidR="009E7E07" w:rsidRDefault="00EB3385">
            <w:pPr>
              <w:jc w:val="right"/>
            </w:pPr>
            <w:r>
              <w:rPr>
                <w:color w:val="000000"/>
                <w:sz w:val="24"/>
                <w:szCs w:val="24"/>
              </w:rPr>
              <w:t>176,279,100.60</w:t>
            </w:r>
          </w:p>
        </w:tc>
        <w:tc>
          <w:tcPr>
            <w:tcW w:w="1724" w:type="dxa"/>
            <w:vAlign w:val="center"/>
          </w:tcPr>
          <w:p w:rsidR="009E7E07" w:rsidRDefault="00EB3385">
            <w:pPr>
              <w:jc w:val="right"/>
            </w:pPr>
            <w:r>
              <w:rPr>
                <w:color w:val="000000"/>
                <w:sz w:val="24"/>
                <w:szCs w:val="24"/>
              </w:rPr>
              <w:t>4.32</w:t>
            </w:r>
          </w:p>
        </w:tc>
        <w:tc>
          <w:tcPr>
            <w:tcW w:w="1424" w:type="dxa"/>
            <w:vAlign w:val="center"/>
          </w:tcPr>
          <w:p w:rsidR="009E7E07" w:rsidRDefault="00EB3385">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822,502,786.86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69,931,805.53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72,485,217.98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819,949,374.41</w:t>
            </w:r>
          </w:p>
        </w:tc>
      </w:tr>
    </w:tbl>
    <w:p w:rsidR="009E7E07" w:rsidRDefault="00EB338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根据《中华人民共和国证券投资基金法》、《公开募集证券投资基金运作管理办法》及《证券投资基金销售管理办法》等法律法规的规定及本基金基金合同和招募说明书的约定，为满足香港地区客户的投资需求，经征求基金托管人中国农业银行股份有限公司同意并报中国证券监督管理委员会备案，本基金管理人决定自</w:t>
      </w:r>
      <w:r w:rsidRPr="00414345">
        <w:rPr>
          <w:color w:val="000000"/>
          <w:sz w:val="24"/>
          <w:szCs w:val="24"/>
        </w:rPr>
        <w:t>2015</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17</w:t>
      </w:r>
      <w:r w:rsidRPr="00414345">
        <w:rPr>
          <w:color w:val="000000"/>
          <w:sz w:val="24"/>
          <w:szCs w:val="24"/>
        </w:rPr>
        <w:t>日起按照销售区域及费率标准的不同将本基金的基金份额分为</w:t>
      </w:r>
      <w:r w:rsidRPr="00414345">
        <w:rPr>
          <w:color w:val="000000"/>
          <w:sz w:val="24"/>
          <w:szCs w:val="24"/>
        </w:rPr>
        <w:t>A</w:t>
      </w:r>
      <w:r w:rsidRPr="00414345">
        <w:rPr>
          <w:color w:val="000000"/>
          <w:sz w:val="24"/>
          <w:szCs w:val="24"/>
        </w:rPr>
        <w:t>类、</w:t>
      </w:r>
      <w:r w:rsidRPr="00414345">
        <w:rPr>
          <w:color w:val="000000"/>
          <w:sz w:val="24"/>
          <w:szCs w:val="24"/>
        </w:rPr>
        <w:t>H</w:t>
      </w:r>
      <w:r w:rsidRPr="00414345">
        <w:rPr>
          <w:color w:val="000000"/>
          <w:sz w:val="24"/>
          <w:szCs w:val="24"/>
        </w:rPr>
        <w:t>类两类基金份额，</w:t>
      </w:r>
      <w:r w:rsidRPr="00414345">
        <w:rPr>
          <w:color w:val="000000"/>
          <w:sz w:val="24"/>
          <w:szCs w:val="24"/>
        </w:rPr>
        <w:t>A</w:t>
      </w:r>
      <w:r w:rsidRPr="00414345">
        <w:rPr>
          <w:color w:val="000000"/>
          <w:sz w:val="24"/>
          <w:szCs w:val="24"/>
        </w:rPr>
        <w:t>类基金份额仅在中国大陆地区销售，新增加的</w:t>
      </w:r>
      <w:r w:rsidRPr="00414345">
        <w:rPr>
          <w:color w:val="000000"/>
          <w:sz w:val="24"/>
          <w:szCs w:val="24"/>
        </w:rPr>
        <w:t>H</w:t>
      </w:r>
      <w:r w:rsidRPr="00414345">
        <w:rPr>
          <w:color w:val="000000"/>
          <w:sz w:val="24"/>
          <w:szCs w:val="24"/>
        </w:rPr>
        <w:t>类基金份额类别仅在中国香港地区销售，有关</w:t>
      </w:r>
      <w:r w:rsidRPr="00414345">
        <w:rPr>
          <w:color w:val="000000"/>
          <w:sz w:val="24"/>
          <w:szCs w:val="24"/>
        </w:rPr>
        <w:t>H</w:t>
      </w:r>
      <w:r w:rsidRPr="00414345">
        <w:rPr>
          <w:color w:val="000000"/>
          <w:sz w:val="24"/>
          <w:szCs w:val="24"/>
        </w:rPr>
        <w:t>类基金份额开始办理申购、赎回业务的具体时间参见本基金管理人届时发布的公告。上述事项对原有基金份额持有人的利益无实质性不利影响，不需召开基金份额持有人大会。详情请见本基金管理人于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11</w:t>
      </w:r>
      <w:r w:rsidRPr="00414345">
        <w:rPr>
          <w:color w:val="000000"/>
          <w:sz w:val="24"/>
          <w:szCs w:val="24"/>
        </w:rPr>
        <w:t>月</w:t>
      </w:r>
      <w:r w:rsidRPr="00414345">
        <w:rPr>
          <w:color w:val="000000"/>
          <w:sz w:val="24"/>
          <w:szCs w:val="24"/>
        </w:rPr>
        <w:t>17</w:t>
      </w:r>
      <w:r w:rsidRPr="00414345">
        <w:rPr>
          <w:color w:val="000000"/>
          <w:sz w:val="24"/>
          <w:szCs w:val="24"/>
        </w:rPr>
        <w:t>日发布的《交银施罗德基金管理有限公司关于增加交银施罗德成长混合型证券投资基金</w:t>
      </w:r>
      <w:r w:rsidRPr="00414345">
        <w:rPr>
          <w:color w:val="000000"/>
          <w:sz w:val="24"/>
          <w:szCs w:val="24"/>
        </w:rPr>
        <w:t>H</w:t>
      </w:r>
      <w:r w:rsidRPr="00414345">
        <w:rPr>
          <w:color w:val="000000"/>
          <w:sz w:val="24"/>
          <w:szCs w:val="24"/>
        </w:rPr>
        <w:t>类基金份额类别及修改基金合同、托管协议的公告》。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9E7E07" w:rsidRDefault="00EB338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、中国证监会批准交银施罗德成长股票证券投资基金募集的文件；</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、《交银施罗德成长混合型证券投资基金基金合同》；</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、《交银施罗德成长混合型证券投资基金招募说明书》；</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、《交银施罗德成长混合型证券投资基金托管协议》；</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、关于募集交银施罗德成长股票证券投资基金之法律意见书；</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E7E07" w:rsidRDefault="00EB338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9E7E07" w:rsidRDefault="00EB338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B3385">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B3385">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E7E07"/>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3385"/>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DE5BFC4F-47A1-4B40-8853-07AACA44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E27D0-F6C2-4B4F-8E03-4FB62C68F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1069</Words>
  <Characters>6095</Characters>
  <Application>Microsoft Office Word</Application>
  <DocSecurity>0</DocSecurity>
  <Lines>50</Lines>
  <Paragraphs>14</Paragraphs>
  <ScaleCrop>false</ScaleCrop>
  <Company/>
  <LinksUpToDate>false</LinksUpToDate>
  <CharactersWithSpaces>7150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561</cp:revision>
  <dcterms:created xsi:type="dcterms:W3CDTF">2012-10-16T06:07:00Z</dcterms:created>
  <dcterms:modified xsi:type="dcterms:W3CDTF">2016-01-18T06:09:00Z</dcterms:modified>
</cp:coreProperties>
</file>