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交银施罗德稳健配置混合型证券投资基金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2015</w:t>
      </w:r>
      <w:r w:rsidRPr="0081286B">
        <w:rPr>
          <w:b/>
          <w:sz w:val="36"/>
          <w:szCs w:val="36"/>
        </w:rPr>
        <w:t>年第</w:t>
      </w:r>
      <w:r w:rsidRPr="0081286B">
        <w:rPr>
          <w:b/>
          <w:sz w:val="36"/>
          <w:szCs w:val="36"/>
        </w:rPr>
        <w:t>4</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2015</w:t>
      </w:r>
      <w:r w:rsidRPr="0081286B">
        <w:rPr>
          <w:b/>
          <w:sz w:val="36"/>
          <w:szCs w:val="36"/>
        </w:rPr>
        <w:t>年</w:t>
      </w:r>
      <w:r w:rsidRPr="0081286B">
        <w:rPr>
          <w:b/>
          <w:sz w:val="36"/>
          <w:szCs w:val="36"/>
        </w:rPr>
        <w:t>12</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基金托管人：中国建设银行股份有限公司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二〇一六年一月二十一日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D72745" w:rsidRDefault="00E817FC">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基金托管人中国建设银行股份有限公司根据本基金合同规定，于</w:t>
      </w:r>
      <w:r>
        <w:rPr>
          <w:color w:val="000000"/>
          <w:sz w:val="24"/>
          <w:szCs w:val="24"/>
        </w:rPr>
        <w:t>2016</w:t>
      </w:r>
      <w:r>
        <w:rPr>
          <w:color w:val="000000"/>
          <w:sz w:val="24"/>
          <w:szCs w:val="24"/>
        </w:rPr>
        <w:t>年</w:t>
      </w:r>
      <w:r>
        <w:rPr>
          <w:color w:val="000000"/>
          <w:sz w:val="24"/>
          <w:szCs w:val="24"/>
        </w:rPr>
        <w:t>1</w:t>
      </w:r>
      <w:r>
        <w:rPr>
          <w:color w:val="000000"/>
          <w:sz w:val="24"/>
          <w:szCs w:val="24"/>
        </w:rPr>
        <w:t>月</w:t>
      </w:r>
      <w:r>
        <w:rPr>
          <w:color w:val="000000"/>
          <w:sz w:val="24"/>
          <w:szCs w:val="24"/>
        </w:rPr>
        <w:t>20</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基金的过往业绩并不代表其未来表现。投资有风险，投资者在作出投资决策前应仔细阅读本基金的招募说明书。</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gridSpan w:val="2"/>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交银稳健配置混合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519690</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519690</w:t>
            </w:r>
            <w:r w:rsidR="004216D2" w:rsidRPr="00414345">
              <w:rPr>
                <w:color w:val="000000"/>
                <w:kern w:val="0"/>
                <w:sz w:val="24"/>
              </w:rPr>
              <w:t>(</w:t>
            </w:r>
            <w:r w:rsidR="004216D2" w:rsidRPr="00414345">
              <w:rPr>
                <w:color w:val="000000"/>
                <w:kern w:val="0"/>
                <w:sz w:val="24"/>
              </w:rPr>
              <w:t>前端</w:t>
            </w:r>
            <w:r w:rsidR="004216D2" w:rsidRPr="00414345">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1B2F35" w:rsidRPr="00414345" w:rsidRDefault="001B2F35" w:rsidP="00C15CAC">
            <w:pPr>
              <w:adjustRightInd w:val="0"/>
              <w:spacing w:before="29" w:line="288" w:lineRule="auto"/>
              <w:ind w:left="17"/>
              <w:jc w:val="left"/>
              <w:rPr>
                <w:color w:val="000000"/>
                <w:kern w:val="0"/>
                <w:sz w:val="24"/>
                <w:szCs w:val="24"/>
              </w:rPr>
            </w:pPr>
            <w:r w:rsidRPr="00414345">
              <w:rPr>
                <w:color w:val="000000"/>
                <w:kern w:val="0"/>
                <w:sz w:val="24"/>
                <w:szCs w:val="24"/>
              </w:rPr>
              <w:t>519691</w:t>
            </w:r>
            <w:r w:rsidR="00604E50" w:rsidRPr="00414345">
              <w:rPr>
                <w:color w:val="000000"/>
                <w:kern w:val="0"/>
                <w:sz w:val="24"/>
              </w:rPr>
              <w:t>(</w:t>
            </w:r>
            <w:r w:rsidR="00604E50" w:rsidRPr="00414345">
              <w:rPr>
                <w:color w:val="000000"/>
                <w:kern w:val="0"/>
                <w:sz w:val="24"/>
              </w:rPr>
              <w:t>后端</w:t>
            </w:r>
            <w:r w:rsidR="00604E50" w:rsidRPr="00414345">
              <w:rPr>
                <w:color w:val="000000"/>
                <w:kern w:val="0"/>
                <w:sz w:val="24"/>
              </w:rPr>
              <w:t>)</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2006</w:t>
            </w:r>
            <w:r w:rsidRPr="00414345">
              <w:rPr>
                <w:color w:val="000000"/>
                <w:kern w:val="0"/>
                <w:sz w:val="24"/>
                <w:szCs w:val="24"/>
              </w:rPr>
              <w:t>年</w:t>
            </w:r>
            <w:r w:rsidRPr="00414345">
              <w:rPr>
                <w:color w:val="000000"/>
                <w:kern w:val="0"/>
                <w:sz w:val="24"/>
                <w:szCs w:val="24"/>
              </w:rPr>
              <w:t>6</w:t>
            </w:r>
            <w:r w:rsidRPr="00414345">
              <w:rPr>
                <w:color w:val="000000"/>
                <w:kern w:val="0"/>
                <w:sz w:val="24"/>
                <w:szCs w:val="24"/>
              </w:rPr>
              <w:t>月</w:t>
            </w:r>
            <w:r w:rsidRPr="00414345">
              <w:rPr>
                <w:color w:val="000000"/>
                <w:kern w:val="0"/>
                <w:sz w:val="24"/>
                <w:szCs w:val="24"/>
              </w:rPr>
              <w:t>14</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1,952,172,082.79</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将坚持并不断深化价值投资的基本理念，充分发挥专业研究与管理能力，根据宏观经济周期和市场环境的变化，自上而下灵活配置资产，自下而上精选证券，有效分散风险，谋求实现基金财产的长期稳定增长。</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把握宏观经济和投资市场的变化趋势，根据经济周期理论动态调整投资组合比例，自上而下配置资产，自下而上精选证券，有效分散风险。</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65%×MSCI</w:t>
            </w:r>
            <w:r w:rsidRPr="00414345">
              <w:rPr>
                <w:color w:val="000000"/>
                <w:kern w:val="0"/>
                <w:sz w:val="24"/>
                <w:szCs w:val="24"/>
              </w:rPr>
              <w:t>中国</w:t>
            </w:r>
            <w:r w:rsidRPr="00414345">
              <w:rPr>
                <w:color w:val="000000"/>
                <w:kern w:val="0"/>
                <w:sz w:val="24"/>
                <w:szCs w:val="24"/>
              </w:rPr>
              <w:t>A</w:t>
            </w:r>
            <w:r w:rsidRPr="00414345">
              <w:rPr>
                <w:color w:val="000000"/>
                <w:kern w:val="0"/>
                <w:sz w:val="24"/>
                <w:szCs w:val="24"/>
              </w:rPr>
              <w:t>股指数</w:t>
            </w:r>
            <w:r w:rsidRPr="00414345">
              <w:rPr>
                <w:color w:val="000000"/>
                <w:kern w:val="0"/>
                <w:sz w:val="24"/>
                <w:szCs w:val="24"/>
              </w:rPr>
              <w:t>+35%×</w:t>
            </w:r>
            <w:r w:rsidRPr="00414345">
              <w:rPr>
                <w:color w:val="000000"/>
                <w:kern w:val="0"/>
                <w:sz w:val="24"/>
                <w:szCs w:val="24"/>
              </w:rPr>
              <w:t>中证综合债券指数</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风险收益特征</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本基金是一只混合型基金，属于证券投资基金产品中的中等风险品种，本基金的风险与预期收益处于股票型基金和债券型基金之间。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基金管理人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gridSpan w:val="2"/>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中国建设银行股份有限公司</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E817FC" w:rsidRPr="00414345" w:rsidTr="00E817FC">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E817FC" w:rsidRPr="00414345" w:rsidTr="00E817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260,281,967.91</w:t>
            </w:r>
          </w:p>
        </w:tc>
      </w:tr>
      <w:tr w:rsidR="00E817FC" w:rsidRPr="00414345" w:rsidTr="00E817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649,841,665.22</w:t>
            </w:r>
          </w:p>
        </w:tc>
      </w:tr>
      <w:tr w:rsidR="00E817FC" w:rsidRPr="00414345" w:rsidTr="00E817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0.3116</w:t>
            </w:r>
          </w:p>
        </w:tc>
      </w:tr>
      <w:tr w:rsidR="00E817FC" w:rsidRPr="00414345" w:rsidTr="00E817FC">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3,518,892,623.70</w:t>
            </w:r>
          </w:p>
        </w:tc>
      </w:tr>
      <w:tr w:rsidR="00E817FC" w:rsidRPr="00414345" w:rsidTr="00E817FC">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1.8026</w:t>
            </w:r>
          </w:p>
        </w:tc>
      </w:tr>
    </w:tbl>
    <w:p w:rsidR="00D72745" w:rsidRDefault="00E817F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D72745">
        <w:trPr>
          <w:jc w:val="center"/>
        </w:trPr>
        <w:tc>
          <w:tcPr>
            <w:tcW w:w="1701" w:type="dxa"/>
            <w:vAlign w:val="center"/>
          </w:tcPr>
          <w:p w:rsidR="00D72745" w:rsidRDefault="00E817FC">
            <w:pPr>
              <w:jc w:val="left"/>
            </w:pPr>
            <w:r>
              <w:rPr>
                <w:color w:val="000000"/>
                <w:sz w:val="24"/>
                <w:szCs w:val="24"/>
              </w:rPr>
              <w:t>过去三个月</w:t>
            </w:r>
          </w:p>
        </w:tc>
        <w:tc>
          <w:tcPr>
            <w:tcW w:w="1045" w:type="dxa"/>
            <w:vAlign w:val="center"/>
          </w:tcPr>
          <w:p w:rsidR="00D72745" w:rsidRDefault="00E817FC">
            <w:pPr>
              <w:jc w:val="center"/>
            </w:pPr>
            <w:r>
              <w:rPr>
                <w:color w:val="000000"/>
                <w:sz w:val="24"/>
                <w:szCs w:val="24"/>
              </w:rPr>
              <w:t>19.93%</w:t>
            </w:r>
          </w:p>
        </w:tc>
        <w:tc>
          <w:tcPr>
            <w:tcW w:w="1344" w:type="dxa"/>
            <w:vAlign w:val="center"/>
          </w:tcPr>
          <w:p w:rsidR="00D72745" w:rsidRDefault="00E817FC">
            <w:pPr>
              <w:jc w:val="center"/>
            </w:pPr>
            <w:r>
              <w:rPr>
                <w:color w:val="000000"/>
                <w:sz w:val="24"/>
                <w:szCs w:val="24"/>
              </w:rPr>
              <w:t>1.66%</w:t>
            </w:r>
          </w:p>
        </w:tc>
        <w:tc>
          <w:tcPr>
            <w:tcW w:w="1194" w:type="dxa"/>
            <w:vAlign w:val="center"/>
          </w:tcPr>
          <w:p w:rsidR="00D72745" w:rsidRDefault="00E817FC">
            <w:pPr>
              <w:jc w:val="center"/>
            </w:pPr>
            <w:r>
              <w:rPr>
                <w:color w:val="000000"/>
                <w:sz w:val="24"/>
                <w:szCs w:val="24"/>
              </w:rPr>
              <w:t>12.33%</w:t>
            </w:r>
          </w:p>
        </w:tc>
        <w:tc>
          <w:tcPr>
            <w:tcW w:w="1492" w:type="dxa"/>
            <w:vAlign w:val="center"/>
          </w:tcPr>
          <w:p w:rsidR="00D72745" w:rsidRDefault="00E817FC">
            <w:pPr>
              <w:jc w:val="center"/>
            </w:pPr>
            <w:r>
              <w:rPr>
                <w:color w:val="000000"/>
                <w:sz w:val="24"/>
                <w:szCs w:val="24"/>
              </w:rPr>
              <w:t>1.09%</w:t>
            </w:r>
          </w:p>
        </w:tc>
        <w:tc>
          <w:tcPr>
            <w:tcW w:w="1194" w:type="dxa"/>
            <w:vAlign w:val="center"/>
          </w:tcPr>
          <w:p w:rsidR="00D72745" w:rsidRDefault="00E817FC">
            <w:pPr>
              <w:jc w:val="center"/>
            </w:pPr>
            <w:r>
              <w:rPr>
                <w:color w:val="000000"/>
                <w:sz w:val="24"/>
                <w:szCs w:val="24"/>
              </w:rPr>
              <w:t>7.60%</w:t>
            </w:r>
          </w:p>
        </w:tc>
        <w:tc>
          <w:tcPr>
            <w:tcW w:w="898" w:type="dxa"/>
            <w:vAlign w:val="center"/>
          </w:tcPr>
          <w:p w:rsidR="00D72745" w:rsidRDefault="00E817FC">
            <w:pPr>
              <w:jc w:val="center"/>
            </w:pPr>
            <w:r>
              <w:rPr>
                <w:color w:val="000000"/>
                <w:sz w:val="24"/>
                <w:szCs w:val="24"/>
              </w:rPr>
              <w:t>0.57%</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中信标普全债指数</w:t>
      </w:r>
      <w:r w:rsidRPr="00414345">
        <w:rPr>
          <w:color w:val="000000"/>
          <w:sz w:val="24"/>
          <w:szCs w:val="24"/>
        </w:rPr>
        <w:t>”</w:t>
      </w:r>
      <w:r w:rsidRPr="00414345">
        <w:rPr>
          <w:color w:val="000000"/>
          <w:sz w:val="24"/>
          <w:szCs w:val="24"/>
        </w:rPr>
        <w:t>变更为</w:t>
      </w:r>
      <w:r w:rsidRPr="00414345">
        <w:rPr>
          <w:color w:val="000000"/>
          <w:sz w:val="24"/>
          <w:szCs w:val="24"/>
        </w:rPr>
        <w:t>“65%×MSCI</w:t>
      </w:r>
      <w:r w:rsidRPr="00414345">
        <w:rPr>
          <w:color w:val="000000"/>
          <w:sz w:val="24"/>
          <w:szCs w:val="24"/>
        </w:rPr>
        <w:t>中国</w:t>
      </w:r>
      <w:r w:rsidRPr="00414345">
        <w:rPr>
          <w:color w:val="000000"/>
          <w:sz w:val="24"/>
          <w:szCs w:val="24"/>
        </w:rPr>
        <w:t>A</w:t>
      </w:r>
      <w:r w:rsidRPr="00414345">
        <w:rPr>
          <w:color w:val="000000"/>
          <w:sz w:val="24"/>
          <w:szCs w:val="24"/>
        </w:rPr>
        <w:t>股指数</w:t>
      </w:r>
      <w:r w:rsidRPr="00414345">
        <w:rPr>
          <w:color w:val="000000"/>
          <w:sz w:val="24"/>
          <w:szCs w:val="24"/>
        </w:rPr>
        <w:t>+35%×</w:t>
      </w:r>
      <w:r w:rsidRPr="00414345">
        <w:rPr>
          <w:color w:val="000000"/>
          <w:sz w:val="24"/>
          <w:szCs w:val="24"/>
        </w:rPr>
        <w:t>中证综合债券指数</w:t>
      </w:r>
      <w:r w:rsidRPr="00414345">
        <w:rPr>
          <w:color w:val="000000"/>
          <w:sz w:val="24"/>
          <w:szCs w:val="24"/>
        </w:rPr>
        <w:t>”</w:t>
      </w:r>
      <w:r w:rsidRPr="00414345">
        <w:rPr>
          <w:color w:val="000000"/>
          <w:sz w:val="24"/>
          <w:szCs w:val="24"/>
        </w:rPr>
        <w:t>，</w:t>
      </w:r>
      <w:r w:rsidRPr="00414345">
        <w:rPr>
          <w:color w:val="000000"/>
          <w:sz w:val="24"/>
          <w:szCs w:val="24"/>
        </w:rPr>
        <w:t>3.2</w:t>
      </w:r>
      <w:r w:rsidR="00036EBB">
        <w:rPr>
          <w:rFonts w:hint="eastAsia"/>
          <w:color w:val="000000"/>
          <w:sz w:val="24"/>
          <w:szCs w:val="24"/>
        </w:rPr>
        <w:t>.</w:t>
      </w:r>
      <w:r w:rsidRPr="00414345">
        <w:rPr>
          <w:color w:val="000000"/>
          <w:sz w:val="24"/>
          <w:szCs w:val="24"/>
        </w:rPr>
        <w:t>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自基金合同生效以来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交银施罗德稳健配置混合型证券投资基金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42009D" w:rsidRPr="00414345">
        <w:rPr>
          <w:rFonts w:ascii="Times New Roman" w:hAnsi="Times New Roman" w:cs="Times New Roman"/>
          <w:sz w:val="24"/>
          <w:szCs w:val="24"/>
        </w:rPr>
        <w:t>2006</w:t>
      </w:r>
      <w:r w:rsidR="0042009D" w:rsidRPr="00414345">
        <w:rPr>
          <w:rFonts w:ascii="Times New Roman" w:hAnsi="Times New Roman" w:cs="Times New Roman"/>
          <w:sz w:val="24"/>
          <w:szCs w:val="24"/>
        </w:rPr>
        <w:t>年</w:t>
      </w:r>
      <w:r w:rsidR="0042009D" w:rsidRPr="00414345">
        <w:rPr>
          <w:rFonts w:ascii="Times New Roman" w:hAnsi="Times New Roman" w:cs="Times New Roman"/>
          <w:sz w:val="24"/>
          <w:szCs w:val="24"/>
        </w:rPr>
        <w:t>6</w:t>
      </w:r>
      <w:r w:rsidR="0042009D" w:rsidRPr="00414345">
        <w:rPr>
          <w:rFonts w:ascii="Times New Roman" w:hAnsi="Times New Roman" w:cs="Times New Roman"/>
          <w:sz w:val="24"/>
          <w:szCs w:val="24"/>
        </w:rPr>
        <w:t>月</w:t>
      </w:r>
      <w:r w:rsidR="0042009D" w:rsidRPr="00414345">
        <w:rPr>
          <w:rFonts w:ascii="Times New Roman" w:hAnsi="Times New Roman" w:cs="Times New Roman"/>
          <w:sz w:val="24"/>
          <w:szCs w:val="24"/>
        </w:rPr>
        <w:t>14</w:t>
      </w:r>
      <w:r w:rsidR="0042009D" w:rsidRPr="00414345">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2015</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12</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注：本基金建仓期为自基金合同生效日起的</w:t>
      </w:r>
      <w:r w:rsidRPr="00414345">
        <w:rPr>
          <w:color w:val="000000"/>
          <w:sz w:val="24"/>
          <w:szCs w:val="24"/>
        </w:rPr>
        <w:t>6</w:t>
      </w:r>
      <w:r w:rsidRPr="00414345">
        <w:rPr>
          <w:color w:val="000000"/>
          <w:sz w:val="24"/>
          <w:szCs w:val="24"/>
        </w:rPr>
        <w:t>个月。截至建仓期结束，本基金各项资产配置比例符合基金合同及招募说明书有关投资比例的约定。</w:t>
      </w: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D72745">
        <w:trPr>
          <w:jc w:val="center"/>
        </w:trPr>
        <w:tc>
          <w:tcPr>
            <w:tcW w:w="846" w:type="dxa"/>
            <w:vAlign w:val="center"/>
          </w:tcPr>
          <w:p w:rsidR="00D72745" w:rsidRDefault="00E817FC">
            <w:pPr>
              <w:jc w:val="center"/>
            </w:pPr>
            <w:r>
              <w:rPr>
                <w:color w:val="000000"/>
                <w:sz w:val="24"/>
                <w:szCs w:val="24"/>
              </w:rPr>
              <w:t>唐倩</w:t>
            </w:r>
          </w:p>
        </w:tc>
        <w:tc>
          <w:tcPr>
            <w:tcW w:w="845" w:type="dxa"/>
            <w:vAlign w:val="center"/>
          </w:tcPr>
          <w:p w:rsidR="00D72745" w:rsidRDefault="00E817FC">
            <w:pPr>
              <w:jc w:val="center"/>
            </w:pPr>
            <w:r>
              <w:rPr>
                <w:color w:val="000000"/>
                <w:sz w:val="24"/>
                <w:szCs w:val="24"/>
              </w:rPr>
              <w:t>交银稳健配置混合的基金经理、公司首席基金经理</w:t>
            </w:r>
          </w:p>
        </w:tc>
        <w:tc>
          <w:tcPr>
            <w:tcW w:w="1549" w:type="dxa"/>
            <w:vAlign w:val="center"/>
          </w:tcPr>
          <w:p w:rsidR="00D72745" w:rsidRDefault="00E817FC">
            <w:pPr>
              <w:jc w:val="center"/>
            </w:pPr>
            <w:r>
              <w:rPr>
                <w:color w:val="000000"/>
                <w:sz w:val="24"/>
                <w:szCs w:val="24"/>
              </w:rPr>
              <w:t>2013-12-12</w:t>
            </w:r>
          </w:p>
        </w:tc>
        <w:tc>
          <w:tcPr>
            <w:tcW w:w="1548" w:type="dxa"/>
            <w:vAlign w:val="center"/>
          </w:tcPr>
          <w:p w:rsidR="00D72745" w:rsidRDefault="00E817FC">
            <w:pPr>
              <w:jc w:val="center"/>
            </w:pPr>
            <w:r>
              <w:rPr>
                <w:color w:val="000000"/>
                <w:sz w:val="24"/>
                <w:szCs w:val="24"/>
              </w:rPr>
              <w:t>-</w:t>
            </w:r>
          </w:p>
        </w:tc>
        <w:tc>
          <w:tcPr>
            <w:tcW w:w="1407" w:type="dxa"/>
            <w:vAlign w:val="center"/>
          </w:tcPr>
          <w:p w:rsidR="00D72745" w:rsidRDefault="00E817FC">
            <w:pPr>
              <w:jc w:val="center"/>
            </w:pPr>
            <w:r>
              <w:rPr>
                <w:color w:val="000000"/>
                <w:sz w:val="24"/>
                <w:szCs w:val="24"/>
              </w:rPr>
              <w:t>15</w:t>
            </w:r>
            <w:r>
              <w:rPr>
                <w:color w:val="000000"/>
                <w:sz w:val="24"/>
                <w:szCs w:val="24"/>
              </w:rPr>
              <w:t>年</w:t>
            </w:r>
          </w:p>
        </w:tc>
        <w:tc>
          <w:tcPr>
            <w:tcW w:w="2673" w:type="dxa"/>
            <w:vAlign w:val="center"/>
          </w:tcPr>
          <w:p w:rsidR="00D72745" w:rsidRDefault="00E817FC">
            <w:r>
              <w:rPr>
                <w:color w:val="000000"/>
                <w:sz w:val="24"/>
                <w:szCs w:val="24"/>
              </w:rPr>
              <w:t>唐倩女士，</w:t>
            </w:r>
            <w:r>
              <w:rPr>
                <w:color w:val="000000"/>
                <w:sz w:val="24"/>
                <w:szCs w:val="24"/>
              </w:rPr>
              <w:t>CPA</w:t>
            </w:r>
            <w:r>
              <w:rPr>
                <w:color w:val="000000"/>
                <w:sz w:val="24"/>
                <w:szCs w:val="24"/>
              </w:rPr>
              <w:t>，华东师范大学金融学硕士。历任申银万国证券研究所分析师，中银国际有限公司分析师，香港雷曼兄弟证券公司研究员，上投摩根基金管理有限公司研究部总监、基金经理。其中</w:t>
            </w:r>
            <w:r>
              <w:rPr>
                <w:color w:val="000000"/>
                <w:sz w:val="24"/>
                <w:szCs w:val="24"/>
              </w:rPr>
              <w:t>2011</w:t>
            </w:r>
            <w:r>
              <w:rPr>
                <w:color w:val="000000"/>
                <w:sz w:val="24"/>
                <w:szCs w:val="24"/>
              </w:rPr>
              <w:t>年</w:t>
            </w:r>
            <w:r>
              <w:rPr>
                <w:color w:val="000000"/>
                <w:sz w:val="24"/>
                <w:szCs w:val="24"/>
              </w:rPr>
              <w:t>4</w:t>
            </w:r>
            <w:r>
              <w:rPr>
                <w:color w:val="000000"/>
                <w:sz w:val="24"/>
                <w:szCs w:val="24"/>
              </w:rPr>
              <w:t>月</w:t>
            </w:r>
            <w:r>
              <w:rPr>
                <w:color w:val="000000"/>
                <w:sz w:val="24"/>
                <w:szCs w:val="24"/>
              </w:rPr>
              <w:t>28</w:t>
            </w:r>
            <w:r>
              <w:rPr>
                <w:color w:val="000000"/>
                <w:sz w:val="24"/>
                <w:szCs w:val="24"/>
              </w:rPr>
              <w:t>日至</w:t>
            </w:r>
            <w:r>
              <w:rPr>
                <w:color w:val="000000"/>
                <w:sz w:val="24"/>
                <w:szCs w:val="24"/>
              </w:rPr>
              <w:t>2013</w:t>
            </w:r>
            <w:r>
              <w:rPr>
                <w:color w:val="000000"/>
                <w:sz w:val="24"/>
                <w:szCs w:val="24"/>
              </w:rPr>
              <w:t>年</w:t>
            </w:r>
            <w:r>
              <w:rPr>
                <w:color w:val="000000"/>
                <w:sz w:val="24"/>
                <w:szCs w:val="24"/>
              </w:rPr>
              <w:t>7</w:t>
            </w:r>
            <w:r>
              <w:rPr>
                <w:color w:val="000000"/>
                <w:sz w:val="24"/>
                <w:szCs w:val="24"/>
              </w:rPr>
              <w:t>月</w:t>
            </w:r>
            <w:r>
              <w:rPr>
                <w:color w:val="000000"/>
                <w:sz w:val="24"/>
                <w:szCs w:val="24"/>
              </w:rPr>
              <w:t>8</w:t>
            </w:r>
            <w:r>
              <w:rPr>
                <w:color w:val="000000"/>
                <w:sz w:val="24"/>
                <w:szCs w:val="24"/>
              </w:rPr>
              <w:t>日担任上投摩根成长先锋基金经理。</w:t>
            </w:r>
            <w:r>
              <w:rPr>
                <w:color w:val="000000"/>
                <w:sz w:val="24"/>
                <w:szCs w:val="24"/>
              </w:rPr>
              <w:t>2013</w:t>
            </w:r>
            <w:r>
              <w:rPr>
                <w:color w:val="000000"/>
                <w:sz w:val="24"/>
                <w:szCs w:val="24"/>
              </w:rPr>
              <w:t>年加入交银施罗德基金管理有限公司，历任权益部副总经理。</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D72745" w:rsidRDefault="00E817FC">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D72745" w:rsidRDefault="00E817FC">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D72745" w:rsidRDefault="00E817FC">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061AC" w:rsidRPr="00414345" w:rsidRDefault="00957594" w:rsidP="00C15CAC">
      <w:pPr>
        <w:spacing w:before="29" w:line="288" w:lineRule="auto"/>
        <w:ind w:firstLineChars="200" w:firstLine="480"/>
        <w:rPr>
          <w:color w:val="000000"/>
          <w:sz w:val="24"/>
          <w:szCs w:val="24"/>
        </w:rPr>
      </w:pPr>
      <w:r w:rsidRPr="00414345">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sidRPr="00414345">
        <w:rPr>
          <w:color w:val="000000"/>
          <w:sz w:val="24"/>
          <w:szCs w:val="24"/>
        </w:rPr>
        <w:t>5%</w:t>
      </w:r>
      <w:r w:rsidRPr="00414345">
        <w:rPr>
          <w:color w:val="000000"/>
          <w:sz w:val="24"/>
          <w:szCs w:val="24"/>
        </w:rPr>
        <w:t>的情形，本基金与本公司管理的其他投资组合在不同时间窗下（如日内、</w:t>
      </w:r>
      <w:r w:rsidRPr="00414345">
        <w:rPr>
          <w:color w:val="000000"/>
          <w:sz w:val="24"/>
          <w:szCs w:val="24"/>
        </w:rPr>
        <w:t>3</w:t>
      </w:r>
      <w:r w:rsidRPr="00414345">
        <w:rPr>
          <w:color w:val="000000"/>
          <w:sz w:val="24"/>
          <w:szCs w:val="24"/>
        </w:rPr>
        <w:t>日内、</w:t>
      </w:r>
      <w:r w:rsidRPr="00414345">
        <w:rPr>
          <w:color w:val="000000"/>
          <w:sz w:val="24"/>
          <w:szCs w:val="24"/>
        </w:rPr>
        <w:t>5</w:t>
      </w:r>
      <w:r w:rsidRPr="00414345">
        <w:rPr>
          <w:color w:val="000000"/>
          <w:sz w:val="24"/>
          <w:szCs w:val="24"/>
        </w:rPr>
        <w:t>日内）同向交易的交易价差未出现异常。</w:t>
      </w: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D72745" w:rsidRDefault="00E817FC">
      <w:pPr>
        <w:spacing w:before="29" w:line="288" w:lineRule="auto"/>
        <w:ind w:firstLineChars="200" w:firstLine="480"/>
        <w:rPr>
          <w:color w:val="000000"/>
          <w:sz w:val="24"/>
          <w:szCs w:val="24"/>
        </w:rPr>
      </w:pPr>
      <w:r>
        <w:rPr>
          <w:color w:val="000000"/>
          <w:sz w:val="24"/>
          <w:szCs w:val="24"/>
        </w:rPr>
        <w:t>2015</w:t>
      </w:r>
      <w:r>
        <w:rPr>
          <w:color w:val="000000"/>
          <w:sz w:val="24"/>
          <w:szCs w:val="24"/>
        </w:rPr>
        <w:t>年四季度大盘趋势转好。成长股一路向好，价值股也有不少表现较好。反映出市场在三季度的持续回落后，出现触底反弹。基本面而言，市场利率的持续走低是市场看好权益的重要理由。</w:t>
      </w:r>
    </w:p>
    <w:p w:rsidR="00D72745" w:rsidRDefault="00E817FC">
      <w:pPr>
        <w:spacing w:before="29" w:line="288" w:lineRule="auto"/>
        <w:ind w:firstLineChars="200" w:firstLine="480"/>
        <w:rPr>
          <w:color w:val="000000"/>
          <w:sz w:val="24"/>
          <w:szCs w:val="24"/>
        </w:rPr>
      </w:pPr>
      <w:r>
        <w:rPr>
          <w:color w:val="000000"/>
          <w:sz w:val="24"/>
          <w:szCs w:val="24"/>
        </w:rPr>
        <w:t>2015</w:t>
      </w:r>
      <w:r>
        <w:rPr>
          <w:color w:val="000000"/>
          <w:sz w:val="24"/>
          <w:szCs w:val="24"/>
        </w:rPr>
        <w:t>年四季度本基金基本跑平大盘指数。主要原因在于反弹前期过于谨慎，后期虽然仓位有所上升，但是没能完全分享反弹阶段的全部行情。</w:t>
      </w:r>
    </w:p>
    <w:p w:rsidR="00D72745" w:rsidRDefault="00E817FC">
      <w:pPr>
        <w:spacing w:before="29" w:line="288" w:lineRule="auto"/>
        <w:ind w:firstLineChars="200" w:firstLine="480"/>
        <w:rPr>
          <w:color w:val="000000"/>
          <w:sz w:val="24"/>
          <w:szCs w:val="24"/>
        </w:rPr>
      </w:pPr>
      <w:r>
        <w:rPr>
          <w:color w:val="000000"/>
          <w:sz w:val="24"/>
          <w:szCs w:val="24"/>
        </w:rPr>
        <w:t>2016</w:t>
      </w:r>
      <w:r>
        <w:rPr>
          <w:color w:val="000000"/>
          <w:sz w:val="24"/>
          <w:szCs w:val="24"/>
        </w:rPr>
        <w:t>年，国内外政策经济都有一定的不确定性。货币政策特别是汇率政策是一个重要的观测点，因为这反映出国内外经济的失衡程度。</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策略上而言，本基金希望保持谨慎乐观的策略。一方面，新型服务业和制造业包括医疗、美容、娱乐、养生等都有不少资本在进入，这些领域急切需要供给侧的改革，相信可能会出现不少投资机会；另一方面，市场可能在宏观政策和证券市场相关政策有待明朗化的背景下，有一定的波动。因此，需要谨慎对待。就</w:t>
      </w:r>
      <w:r w:rsidRPr="00414345">
        <w:rPr>
          <w:color w:val="000000"/>
          <w:sz w:val="24"/>
          <w:szCs w:val="24"/>
        </w:rPr>
        <w:t>2016</w:t>
      </w:r>
      <w:r w:rsidRPr="00414345">
        <w:rPr>
          <w:color w:val="000000"/>
          <w:sz w:val="24"/>
          <w:szCs w:val="24"/>
        </w:rPr>
        <w:t>年一季度而言，均衡配置可能是较好的投资策略。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1.8026</w:t>
      </w:r>
      <w:r w:rsidRPr="00414345">
        <w:rPr>
          <w:color w:val="000000"/>
          <w:sz w:val="24"/>
          <w:szCs w:val="24"/>
        </w:rPr>
        <w:t>元，本报告期份额净值增长率为</w:t>
      </w:r>
      <w:r w:rsidRPr="00414345">
        <w:rPr>
          <w:color w:val="000000"/>
          <w:sz w:val="24"/>
          <w:szCs w:val="24"/>
        </w:rPr>
        <w:t>19.93%</w:t>
      </w:r>
      <w:r w:rsidRPr="00414345">
        <w:rPr>
          <w:color w:val="000000"/>
          <w:sz w:val="24"/>
          <w:szCs w:val="24"/>
        </w:rPr>
        <w:t>，同期业绩比较基准增长率为</w:t>
      </w:r>
      <w:r w:rsidRPr="00414345">
        <w:rPr>
          <w:color w:val="000000"/>
          <w:sz w:val="24"/>
          <w:szCs w:val="24"/>
        </w:rPr>
        <w:t>12.33%</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p>
    <w:p w:rsidR="00432B38" w:rsidRDefault="00432B38" w:rsidP="00421CD2">
      <w:pPr>
        <w:spacing w:before="29" w:line="288" w:lineRule="auto"/>
        <w:ind w:firstLineChars="200" w:firstLine="480"/>
        <w:rPr>
          <w:rFonts w:hint="eastAsia"/>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3,007,194,076.94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3,007,194,076.94</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84.67</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8,900.00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0.00</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299,750,469.88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8.44</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240,573,931.01</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6.77</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4,169,231.06</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0.12</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3,551,696,608.89</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1,180,825,565.31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33.56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798,456.69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34,170,397.72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132,948,985.63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3.78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101,328,610.32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2.88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209,560,799.53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5.96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145,694,488.67</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4.14</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546,491,250.61</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15.53</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55,437,107.89</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17,903.76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333,576,099.96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9.48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232,207,139.32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6.60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34,137,271.53</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3,007,194,076.94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85.46</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D72745">
        <w:trPr>
          <w:jc w:val="center"/>
        </w:trPr>
        <w:tc>
          <w:tcPr>
            <w:tcW w:w="855" w:type="dxa"/>
            <w:vAlign w:val="center"/>
          </w:tcPr>
          <w:p w:rsidR="00D72745" w:rsidRDefault="00E817FC">
            <w:pPr>
              <w:jc w:val="center"/>
            </w:pPr>
            <w:r>
              <w:rPr>
                <w:color w:val="000000"/>
                <w:sz w:val="24"/>
                <w:szCs w:val="24"/>
              </w:rPr>
              <w:t>1</w:t>
            </w:r>
          </w:p>
        </w:tc>
        <w:tc>
          <w:tcPr>
            <w:tcW w:w="1334" w:type="dxa"/>
            <w:vAlign w:val="center"/>
          </w:tcPr>
          <w:p w:rsidR="00D72745" w:rsidRDefault="00E817FC">
            <w:pPr>
              <w:jc w:val="center"/>
            </w:pPr>
            <w:r>
              <w:rPr>
                <w:color w:val="000000"/>
                <w:sz w:val="24"/>
                <w:szCs w:val="24"/>
              </w:rPr>
              <w:t>600763</w:t>
            </w:r>
          </w:p>
        </w:tc>
        <w:tc>
          <w:tcPr>
            <w:tcW w:w="1777" w:type="dxa"/>
            <w:vAlign w:val="center"/>
          </w:tcPr>
          <w:p w:rsidR="00D72745" w:rsidRDefault="00E817FC">
            <w:pPr>
              <w:jc w:val="center"/>
            </w:pPr>
            <w:r>
              <w:rPr>
                <w:color w:val="000000"/>
                <w:sz w:val="24"/>
                <w:szCs w:val="24"/>
              </w:rPr>
              <w:t>通策医疗</w:t>
            </w:r>
          </w:p>
        </w:tc>
        <w:tc>
          <w:tcPr>
            <w:tcW w:w="1334" w:type="dxa"/>
            <w:vAlign w:val="center"/>
          </w:tcPr>
          <w:p w:rsidR="00D72745" w:rsidRDefault="00E817FC">
            <w:pPr>
              <w:jc w:val="right"/>
            </w:pPr>
            <w:r>
              <w:rPr>
                <w:color w:val="000000"/>
                <w:sz w:val="24"/>
                <w:szCs w:val="24"/>
              </w:rPr>
              <w:t>6,804,898</w:t>
            </w:r>
          </w:p>
        </w:tc>
        <w:tc>
          <w:tcPr>
            <w:tcW w:w="1924" w:type="dxa"/>
            <w:vAlign w:val="center"/>
          </w:tcPr>
          <w:p w:rsidR="00D72745" w:rsidRDefault="00E817FC">
            <w:pPr>
              <w:jc w:val="right"/>
            </w:pPr>
            <w:r>
              <w:rPr>
                <w:color w:val="000000"/>
                <w:sz w:val="24"/>
                <w:szCs w:val="24"/>
              </w:rPr>
              <w:t>333,576,099.96</w:t>
            </w:r>
          </w:p>
        </w:tc>
        <w:tc>
          <w:tcPr>
            <w:tcW w:w="1644" w:type="dxa"/>
            <w:vAlign w:val="center"/>
          </w:tcPr>
          <w:p w:rsidR="00D72745" w:rsidRDefault="00E817FC">
            <w:pPr>
              <w:jc w:val="right"/>
            </w:pPr>
            <w:r>
              <w:rPr>
                <w:color w:val="000000"/>
                <w:sz w:val="24"/>
                <w:szCs w:val="24"/>
              </w:rPr>
              <w:t>9.48</w:t>
            </w:r>
          </w:p>
        </w:tc>
      </w:tr>
      <w:tr w:rsidR="00D72745">
        <w:trPr>
          <w:jc w:val="center"/>
        </w:trPr>
        <w:tc>
          <w:tcPr>
            <w:tcW w:w="855" w:type="dxa"/>
            <w:vAlign w:val="center"/>
          </w:tcPr>
          <w:p w:rsidR="00D72745" w:rsidRDefault="00E817FC">
            <w:pPr>
              <w:jc w:val="center"/>
            </w:pPr>
            <w:r>
              <w:rPr>
                <w:color w:val="000000"/>
                <w:sz w:val="24"/>
                <w:szCs w:val="24"/>
              </w:rPr>
              <w:t>2</w:t>
            </w:r>
          </w:p>
        </w:tc>
        <w:tc>
          <w:tcPr>
            <w:tcW w:w="1334" w:type="dxa"/>
            <w:vAlign w:val="center"/>
          </w:tcPr>
          <w:p w:rsidR="00D72745" w:rsidRDefault="00E817FC">
            <w:pPr>
              <w:jc w:val="center"/>
            </w:pPr>
            <w:r>
              <w:rPr>
                <w:color w:val="000000"/>
                <w:sz w:val="24"/>
                <w:szCs w:val="24"/>
              </w:rPr>
              <w:t>600622</w:t>
            </w:r>
          </w:p>
        </w:tc>
        <w:tc>
          <w:tcPr>
            <w:tcW w:w="1777" w:type="dxa"/>
            <w:vAlign w:val="center"/>
          </w:tcPr>
          <w:p w:rsidR="00D72745" w:rsidRDefault="00E817FC">
            <w:pPr>
              <w:jc w:val="center"/>
            </w:pPr>
            <w:r>
              <w:rPr>
                <w:color w:val="000000"/>
                <w:sz w:val="24"/>
                <w:szCs w:val="24"/>
              </w:rPr>
              <w:t>嘉宝集团</w:t>
            </w:r>
          </w:p>
        </w:tc>
        <w:tc>
          <w:tcPr>
            <w:tcW w:w="1334" w:type="dxa"/>
            <w:vAlign w:val="center"/>
          </w:tcPr>
          <w:p w:rsidR="00D72745" w:rsidRDefault="00E817FC">
            <w:pPr>
              <w:jc w:val="right"/>
            </w:pPr>
            <w:r>
              <w:rPr>
                <w:color w:val="000000"/>
                <w:sz w:val="24"/>
                <w:szCs w:val="24"/>
              </w:rPr>
              <w:t>12,593,113</w:t>
            </w:r>
          </w:p>
        </w:tc>
        <w:tc>
          <w:tcPr>
            <w:tcW w:w="1924" w:type="dxa"/>
            <w:vAlign w:val="center"/>
          </w:tcPr>
          <w:p w:rsidR="00D72745" w:rsidRDefault="00E817FC">
            <w:pPr>
              <w:jc w:val="right"/>
            </w:pPr>
            <w:r>
              <w:rPr>
                <w:color w:val="000000"/>
                <w:sz w:val="24"/>
                <w:szCs w:val="24"/>
              </w:rPr>
              <w:t>213,956,989.87</w:t>
            </w:r>
          </w:p>
        </w:tc>
        <w:tc>
          <w:tcPr>
            <w:tcW w:w="1644" w:type="dxa"/>
            <w:vAlign w:val="center"/>
          </w:tcPr>
          <w:p w:rsidR="00D72745" w:rsidRDefault="00E817FC">
            <w:pPr>
              <w:jc w:val="right"/>
            </w:pPr>
            <w:r>
              <w:rPr>
                <w:color w:val="000000"/>
                <w:sz w:val="24"/>
                <w:szCs w:val="24"/>
              </w:rPr>
              <w:t>6.08</w:t>
            </w:r>
          </w:p>
        </w:tc>
      </w:tr>
      <w:tr w:rsidR="00D72745">
        <w:trPr>
          <w:jc w:val="center"/>
        </w:trPr>
        <w:tc>
          <w:tcPr>
            <w:tcW w:w="855" w:type="dxa"/>
            <w:vAlign w:val="center"/>
          </w:tcPr>
          <w:p w:rsidR="00D72745" w:rsidRDefault="00E817FC">
            <w:pPr>
              <w:jc w:val="center"/>
            </w:pPr>
            <w:r>
              <w:rPr>
                <w:color w:val="000000"/>
                <w:sz w:val="24"/>
                <w:szCs w:val="24"/>
              </w:rPr>
              <w:t>3</w:t>
            </w:r>
          </w:p>
        </w:tc>
        <w:tc>
          <w:tcPr>
            <w:tcW w:w="1334" w:type="dxa"/>
            <w:vAlign w:val="center"/>
          </w:tcPr>
          <w:p w:rsidR="00D72745" w:rsidRDefault="00E817FC">
            <w:pPr>
              <w:jc w:val="center"/>
            </w:pPr>
            <w:r>
              <w:rPr>
                <w:color w:val="000000"/>
                <w:sz w:val="24"/>
                <w:szCs w:val="24"/>
              </w:rPr>
              <w:t>002368</w:t>
            </w:r>
          </w:p>
        </w:tc>
        <w:tc>
          <w:tcPr>
            <w:tcW w:w="1777" w:type="dxa"/>
            <w:vAlign w:val="center"/>
          </w:tcPr>
          <w:p w:rsidR="00D72745" w:rsidRDefault="00E817FC">
            <w:pPr>
              <w:jc w:val="center"/>
            </w:pPr>
            <w:r>
              <w:rPr>
                <w:color w:val="000000"/>
                <w:sz w:val="24"/>
                <w:szCs w:val="24"/>
              </w:rPr>
              <w:t>太极股份</w:t>
            </w:r>
          </w:p>
        </w:tc>
        <w:tc>
          <w:tcPr>
            <w:tcW w:w="1334" w:type="dxa"/>
            <w:vAlign w:val="center"/>
          </w:tcPr>
          <w:p w:rsidR="00D72745" w:rsidRDefault="00E817FC">
            <w:pPr>
              <w:jc w:val="right"/>
            </w:pPr>
            <w:r>
              <w:rPr>
                <w:color w:val="000000"/>
                <w:sz w:val="24"/>
                <w:szCs w:val="24"/>
              </w:rPr>
              <w:t>3,112,110</w:t>
            </w:r>
          </w:p>
        </w:tc>
        <w:tc>
          <w:tcPr>
            <w:tcW w:w="1924" w:type="dxa"/>
            <w:vAlign w:val="center"/>
          </w:tcPr>
          <w:p w:rsidR="00D72745" w:rsidRDefault="00E817FC">
            <w:pPr>
              <w:jc w:val="right"/>
            </w:pPr>
            <w:r>
              <w:rPr>
                <w:color w:val="000000"/>
                <w:sz w:val="24"/>
                <w:szCs w:val="24"/>
              </w:rPr>
              <w:t>208,822,581.00</w:t>
            </w:r>
          </w:p>
        </w:tc>
        <w:tc>
          <w:tcPr>
            <w:tcW w:w="1644" w:type="dxa"/>
            <w:vAlign w:val="center"/>
          </w:tcPr>
          <w:p w:rsidR="00D72745" w:rsidRDefault="00E817FC">
            <w:pPr>
              <w:jc w:val="right"/>
            </w:pPr>
            <w:r>
              <w:rPr>
                <w:color w:val="000000"/>
                <w:sz w:val="24"/>
                <w:szCs w:val="24"/>
              </w:rPr>
              <w:t>5.93</w:t>
            </w:r>
          </w:p>
        </w:tc>
      </w:tr>
      <w:tr w:rsidR="00D72745">
        <w:trPr>
          <w:jc w:val="center"/>
        </w:trPr>
        <w:tc>
          <w:tcPr>
            <w:tcW w:w="855" w:type="dxa"/>
            <w:vAlign w:val="center"/>
          </w:tcPr>
          <w:p w:rsidR="00D72745" w:rsidRDefault="00E817FC">
            <w:pPr>
              <w:jc w:val="center"/>
            </w:pPr>
            <w:r>
              <w:rPr>
                <w:color w:val="000000"/>
                <w:sz w:val="24"/>
                <w:szCs w:val="24"/>
              </w:rPr>
              <w:t>4</w:t>
            </w:r>
          </w:p>
        </w:tc>
        <w:tc>
          <w:tcPr>
            <w:tcW w:w="1334" w:type="dxa"/>
            <w:vAlign w:val="center"/>
          </w:tcPr>
          <w:p w:rsidR="00D72745" w:rsidRDefault="00E817FC">
            <w:pPr>
              <w:jc w:val="center"/>
            </w:pPr>
            <w:r>
              <w:rPr>
                <w:color w:val="000000"/>
                <w:sz w:val="24"/>
                <w:szCs w:val="24"/>
              </w:rPr>
              <w:t>000538</w:t>
            </w:r>
          </w:p>
        </w:tc>
        <w:tc>
          <w:tcPr>
            <w:tcW w:w="1777" w:type="dxa"/>
            <w:vAlign w:val="center"/>
          </w:tcPr>
          <w:p w:rsidR="00D72745" w:rsidRDefault="00E817FC">
            <w:pPr>
              <w:jc w:val="center"/>
            </w:pPr>
            <w:r>
              <w:rPr>
                <w:color w:val="000000"/>
                <w:sz w:val="24"/>
                <w:szCs w:val="24"/>
              </w:rPr>
              <w:t>云南白药</w:t>
            </w:r>
          </w:p>
        </w:tc>
        <w:tc>
          <w:tcPr>
            <w:tcW w:w="1334" w:type="dxa"/>
            <w:vAlign w:val="center"/>
          </w:tcPr>
          <w:p w:rsidR="00D72745" w:rsidRDefault="00E817FC">
            <w:pPr>
              <w:jc w:val="right"/>
            </w:pPr>
            <w:r>
              <w:rPr>
                <w:color w:val="000000"/>
                <w:sz w:val="24"/>
                <w:szCs w:val="24"/>
              </w:rPr>
              <w:t>2,561,394</w:t>
            </w:r>
          </w:p>
        </w:tc>
        <w:tc>
          <w:tcPr>
            <w:tcW w:w="1924" w:type="dxa"/>
            <w:vAlign w:val="center"/>
          </w:tcPr>
          <w:p w:rsidR="00D72745" w:rsidRDefault="00E817FC">
            <w:pPr>
              <w:jc w:val="right"/>
            </w:pPr>
            <w:r>
              <w:rPr>
                <w:color w:val="000000"/>
                <w:sz w:val="24"/>
                <w:szCs w:val="24"/>
              </w:rPr>
              <w:t>186,008,432.28</w:t>
            </w:r>
          </w:p>
        </w:tc>
        <w:tc>
          <w:tcPr>
            <w:tcW w:w="1644" w:type="dxa"/>
            <w:vAlign w:val="center"/>
          </w:tcPr>
          <w:p w:rsidR="00D72745" w:rsidRDefault="00E817FC">
            <w:pPr>
              <w:jc w:val="right"/>
            </w:pPr>
            <w:r>
              <w:rPr>
                <w:color w:val="000000"/>
                <w:sz w:val="24"/>
                <w:szCs w:val="24"/>
              </w:rPr>
              <w:t>5.29</w:t>
            </w:r>
          </w:p>
        </w:tc>
      </w:tr>
      <w:tr w:rsidR="00D72745">
        <w:trPr>
          <w:jc w:val="center"/>
        </w:trPr>
        <w:tc>
          <w:tcPr>
            <w:tcW w:w="855" w:type="dxa"/>
            <w:vAlign w:val="center"/>
          </w:tcPr>
          <w:p w:rsidR="00D72745" w:rsidRDefault="00E817FC">
            <w:pPr>
              <w:jc w:val="center"/>
            </w:pPr>
            <w:r>
              <w:rPr>
                <w:color w:val="000000"/>
                <w:sz w:val="24"/>
                <w:szCs w:val="24"/>
              </w:rPr>
              <w:t>5</w:t>
            </w:r>
          </w:p>
        </w:tc>
        <w:tc>
          <w:tcPr>
            <w:tcW w:w="1334" w:type="dxa"/>
            <w:vAlign w:val="center"/>
          </w:tcPr>
          <w:p w:rsidR="00D72745" w:rsidRDefault="00E817FC">
            <w:pPr>
              <w:jc w:val="center"/>
            </w:pPr>
            <w:r>
              <w:rPr>
                <w:color w:val="000000"/>
                <w:sz w:val="24"/>
                <w:szCs w:val="24"/>
              </w:rPr>
              <w:t>000671</w:t>
            </w:r>
          </w:p>
        </w:tc>
        <w:tc>
          <w:tcPr>
            <w:tcW w:w="1777" w:type="dxa"/>
            <w:vAlign w:val="center"/>
          </w:tcPr>
          <w:p w:rsidR="00D72745" w:rsidRDefault="00E817FC">
            <w:pPr>
              <w:jc w:val="center"/>
            </w:pPr>
            <w:r>
              <w:rPr>
                <w:color w:val="000000"/>
                <w:sz w:val="24"/>
                <w:szCs w:val="24"/>
              </w:rPr>
              <w:t>阳</w:t>
            </w:r>
            <w:r>
              <w:rPr>
                <w:color w:val="000000"/>
                <w:sz w:val="24"/>
                <w:szCs w:val="24"/>
              </w:rPr>
              <w:t xml:space="preserve"> </w:t>
            </w:r>
            <w:r>
              <w:rPr>
                <w:color w:val="000000"/>
                <w:sz w:val="24"/>
                <w:szCs w:val="24"/>
              </w:rPr>
              <w:t>光</w:t>
            </w:r>
            <w:r>
              <w:rPr>
                <w:color w:val="000000"/>
                <w:sz w:val="24"/>
                <w:szCs w:val="24"/>
              </w:rPr>
              <w:t xml:space="preserve"> </w:t>
            </w:r>
            <w:r>
              <w:rPr>
                <w:color w:val="000000"/>
                <w:sz w:val="24"/>
                <w:szCs w:val="24"/>
              </w:rPr>
              <w:t>城</w:t>
            </w:r>
          </w:p>
        </w:tc>
        <w:tc>
          <w:tcPr>
            <w:tcW w:w="1334" w:type="dxa"/>
            <w:vAlign w:val="center"/>
          </w:tcPr>
          <w:p w:rsidR="00D72745" w:rsidRDefault="00E817FC">
            <w:pPr>
              <w:jc w:val="right"/>
            </w:pPr>
            <w:r>
              <w:rPr>
                <w:color w:val="000000"/>
                <w:sz w:val="24"/>
                <w:szCs w:val="24"/>
              </w:rPr>
              <w:t>19,364,828</w:t>
            </w:r>
          </w:p>
        </w:tc>
        <w:tc>
          <w:tcPr>
            <w:tcW w:w="1924" w:type="dxa"/>
            <w:vAlign w:val="center"/>
          </w:tcPr>
          <w:p w:rsidR="00D72745" w:rsidRDefault="00E817FC">
            <w:pPr>
              <w:jc w:val="right"/>
            </w:pPr>
            <w:r>
              <w:rPr>
                <w:color w:val="000000"/>
                <w:sz w:val="24"/>
                <w:szCs w:val="24"/>
              </w:rPr>
              <w:t>174,864,396.84</w:t>
            </w:r>
          </w:p>
        </w:tc>
        <w:tc>
          <w:tcPr>
            <w:tcW w:w="1644" w:type="dxa"/>
            <w:vAlign w:val="center"/>
          </w:tcPr>
          <w:p w:rsidR="00D72745" w:rsidRDefault="00E817FC">
            <w:pPr>
              <w:jc w:val="right"/>
            </w:pPr>
            <w:r>
              <w:rPr>
                <w:color w:val="000000"/>
                <w:sz w:val="24"/>
                <w:szCs w:val="24"/>
              </w:rPr>
              <w:t>4.97</w:t>
            </w:r>
          </w:p>
        </w:tc>
      </w:tr>
      <w:tr w:rsidR="00D72745">
        <w:trPr>
          <w:jc w:val="center"/>
        </w:trPr>
        <w:tc>
          <w:tcPr>
            <w:tcW w:w="855" w:type="dxa"/>
            <w:vAlign w:val="center"/>
          </w:tcPr>
          <w:p w:rsidR="00D72745" w:rsidRDefault="00E817FC">
            <w:pPr>
              <w:jc w:val="center"/>
            </w:pPr>
            <w:r>
              <w:rPr>
                <w:color w:val="000000"/>
                <w:sz w:val="24"/>
                <w:szCs w:val="24"/>
              </w:rPr>
              <w:t>6</w:t>
            </w:r>
          </w:p>
        </w:tc>
        <w:tc>
          <w:tcPr>
            <w:tcW w:w="1334" w:type="dxa"/>
            <w:vAlign w:val="center"/>
          </w:tcPr>
          <w:p w:rsidR="00D72745" w:rsidRDefault="00E817FC">
            <w:pPr>
              <w:jc w:val="center"/>
            </w:pPr>
            <w:r>
              <w:rPr>
                <w:color w:val="000000"/>
                <w:sz w:val="24"/>
                <w:szCs w:val="24"/>
              </w:rPr>
              <w:t>002727</w:t>
            </w:r>
          </w:p>
        </w:tc>
        <w:tc>
          <w:tcPr>
            <w:tcW w:w="1777" w:type="dxa"/>
            <w:vAlign w:val="center"/>
          </w:tcPr>
          <w:p w:rsidR="00D72745" w:rsidRDefault="00E817FC">
            <w:pPr>
              <w:jc w:val="center"/>
            </w:pPr>
            <w:r>
              <w:rPr>
                <w:color w:val="000000"/>
                <w:sz w:val="24"/>
                <w:szCs w:val="24"/>
              </w:rPr>
              <w:t>一心堂</w:t>
            </w:r>
          </w:p>
        </w:tc>
        <w:tc>
          <w:tcPr>
            <w:tcW w:w="1334" w:type="dxa"/>
            <w:vAlign w:val="center"/>
          </w:tcPr>
          <w:p w:rsidR="00D72745" w:rsidRDefault="00E817FC">
            <w:pPr>
              <w:jc w:val="right"/>
            </w:pPr>
            <w:r>
              <w:rPr>
                <w:color w:val="000000"/>
                <w:sz w:val="24"/>
                <w:szCs w:val="24"/>
              </w:rPr>
              <w:t>1,895,699</w:t>
            </w:r>
          </w:p>
        </w:tc>
        <w:tc>
          <w:tcPr>
            <w:tcW w:w="1924" w:type="dxa"/>
            <w:vAlign w:val="center"/>
          </w:tcPr>
          <w:p w:rsidR="00D72745" w:rsidRDefault="00E817FC">
            <w:pPr>
              <w:jc w:val="right"/>
            </w:pPr>
            <w:r>
              <w:rPr>
                <w:color w:val="000000"/>
                <w:sz w:val="24"/>
                <w:szCs w:val="24"/>
              </w:rPr>
              <w:t>109,628,273.17</w:t>
            </w:r>
          </w:p>
        </w:tc>
        <w:tc>
          <w:tcPr>
            <w:tcW w:w="1644" w:type="dxa"/>
            <w:vAlign w:val="center"/>
          </w:tcPr>
          <w:p w:rsidR="00D72745" w:rsidRDefault="00E817FC">
            <w:pPr>
              <w:jc w:val="right"/>
            </w:pPr>
            <w:r>
              <w:rPr>
                <w:color w:val="000000"/>
                <w:sz w:val="24"/>
                <w:szCs w:val="24"/>
              </w:rPr>
              <w:t>3.12</w:t>
            </w:r>
          </w:p>
        </w:tc>
      </w:tr>
      <w:tr w:rsidR="00D72745">
        <w:trPr>
          <w:jc w:val="center"/>
        </w:trPr>
        <w:tc>
          <w:tcPr>
            <w:tcW w:w="855" w:type="dxa"/>
            <w:vAlign w:val="center"/>
          </w:tcPr>
          <w:p w:rsidR="00D72745" w:rsidRDefault="00E817FC">
            <w:pPr>
              <w:jc w:val="center"/>
            </w:pPr>
            <w:r>
              <w:rPr>
                <w:color w:val="000000"/>
                <w:sz w:val="24"/>
                <w:szCs w:val="24"/>
              </w:rPr>
              <w:t>7</w:t>
            </w:r>
          </w:p>
        </w:tc>
        <w:tc>
          <w:tcPr>
            <w:tcW w:w="1334" w:type="dxa"/>
            <w:vAlign w:val="center"/>
          </w:tcPr>
          <w:p w:rsidR="00D72745" w:rsidRDefault="00E817FC">
            <w:pPr>
              <w:jc w:val="center"/>
            </w:pPr>
            <w:r>
              <w:rPr>
                <w:color w:val="000000"/>
                <w:sz w:val="24"/>
                <w:szCs w:val="24"/>
              </w:rPr>
              <w:t>300171</w:t>
            </w:r>
          </w:p>
        </w:tc>
        <w:tc>
          <w:tcPr>
            <w:tcW w:w="1777" w:type="dxa"/>
            <w:vAlign w:val="center"/>
          </w:tcPr>
          <w:p w:rsidR="00D72745" w:rsidRDefault="00E817FC">
            <w:pPr>
              <w:jc w:val="center"/>
            </w:pPr>
            <w:r>
              <w:rPr>
                <w:color w:val="000000"/>
                <w:sz w:val="24"/>
                <w:szCs w:val="24"/>
              </w:rPr>
              <w:t>东富龙</w:t>
            </w:r>
          </w:p>
        </w:tc>
        <w:tc>
          <w:tcPr>
            <w:tcW w:w="1334" w:type="dxa"/>
            <w:vAlign w:val="center"/>
          </w:tcPr>
          <w:p w:rsidR="00D72745" w:rsidRDefault="00E817FC">
            <w:pPr>
              <w:jc w:val="right"/>
            </w:pPr>
            <w:r>
              <w:rPr>
                <w:color w:val="000000"/>
                <w:sz w:val="24"/>
                <w:szCs w:val="24"/>
              </w:rPr>
              <w:t>3,610,786</w:t>
            </w:r>
          </w:p>
        </w:tc>
        <w:tc>
          <w:tcPr>
            <w:tcW w:w="1924" w:type="dxa"/>
            <w:vAlign w:val="center"/>
          </w:tcPr>
          <w:p w:rsidR="00D72745" w:rsidRDefault="00E817FC">
            <w:pPr>
              <w:jc w:val="right"/>
            </w:pPr>
            <w:r>
              <w:rPr>
                <w:color w:val="000000"/>
                <w:sz w:val="24"/>
                <w:szCs w:val="24"/>
              </w:rPr>
              <w:t>108,251,364.28</w:t>
            </w:r>
          </w:p>
        </w:tc>
        <w:tc>
          <w:tcPr>
            <w:tcW w:w="1644" w:type="dxa"/>
            <w:vAlign w:val="center"/>
          </w:tcPr>
          <w:p w:rsidR="00D72745" w:rsidRDefault="00E817FC">
            <w:pPr>
              <w:jc w:val="right"/>
            </w:pPr>
            <w:r>
              <w:rPr>
                <w:color w:val="000000"/>
                <w:sz w:val="24"/>
                <w:szCs w:val="24"/>
              </w:rPr>
              <w:t>3.08</w:t>
            </w:r>
          </w:p>
        </w:tc>
      </w:tr>
      <w:tr w:rsidR="00D72745">
        <w:trPr>
          <w:jc w:val="center"/>
        </w:trPr>
        <w:tc>
          <w:tcPr>
            <w:tcW w:w="855" w:type="dxa"/>
            <w:vAlign w:val="center"/>
          </w:tcPr>
          <w:p w:rsidR="00D72745" w:rsidRDefault="00E817FC">
            <w:pPr>
              <w:jc w:val="center"/>
            </w:pPr>
            <w:r>
              <w:rPr>
                <w:color w:val="000000"/>
                <w:sz w:val="24"/>
                <w:szCs w:val="24"/>
              </w:rPr>
              <w:t>8</w:t>
            </w:r>
          </w:p>
        </w:tc>
        <w:tc>
          <w:tcPr>
            <w:tcW w:w="1334" w:type="dxa"/>
            <w:vAlign w:val="center"/>
          </w:tcPr>
          <w:p w:rsidR="00D72745" w:rsidRDefault="00E817FC">
            <w:pPr>
              <w:jc w:val="center"/>
            </w:pPr>
            <w:r>
              <w:rPr>
                <w:color w:val="000000"/>
                <w:sz w:val="24"/>
                <w:szCs w:val="24"/>
              </w:rPr>
              <w:t>600009</w:t>
            </w:r>
          </w:p>
        </w:tc>
        <w:tc>
          <w:tcPr>
            <w:tcW w:w="1777" w:type="dxa"/>
            <w:vAlign w:val="center"/>
          </w:tcPr>
          <w:p w:rsidR="00D72745" w:rsidRDefault="00E817FC">
            <w:pPr>
              <w:jc w:val="center"/>
            </w:pPr>
            <w:r>
              <w:rPr>
                <w:color w:val="000000"/>
                <w:sz w:val="24"/>
                <w:szCs w:val="24"/>
              </w:rPr>
              <w:t>上海机场</w:t>
            </w:r>
          </w:p>
        </w:tc>
        <w:tc>
          <w:tcPr>
            <w:tcW w:w="1334" w:type="dxa"/>
            <w:vAlign w:val="center"/>
          </w:tcPr>
          <w:p w:rsidR="00D72745" w:rsidRDefault="00E817FC">
            <w:pPr>
              <w:jc w:val="right"/>
            </w:pPr>
            <w:r>
              <w:rPr>
                <w:color w:val="000000"/>
                <w:sz w:val="24"/>
                <w:szCs w:val="24"/>
              </w:rPr>
              <w:t>3,432,541</w:t>
            </w:r>
          </w:p>
        </w:tc>
        <w:tc>
          <w:tcPr>
            <w:tcW w:w="1924" w:type="dxa"/>
            <w:vAlign w:val="center"/>
          </w:tcPr>
          <w:p w:rsidR="00D72745" w:rsidRDefault="00E817FC">
            <w:pPr>
              <w:jc w:val="right"/>
            </w:pPr>
            <w:r>
              <w:rPr>
                <w:color w:val="000000"/>
                <w:sz w:val="24"/>
                <w:szCs w:val="24"/>
              </w:rPr>
              <w:t>101,328,610.32</w:t>
            </w:r>
          </w:p>
        </w:tc>
        <w:tc>
          <w:tcPr>
            <w:tcW w:w="1644" w:type="dxa"/>
            <w:vAlign w:val="center"/>
          </w:tcPr>
          <w:p w:rsidR="00D72745" w:rsidRDefault="00E817FC">
            <w:pPr>
              <w:jc w:val="right"/>
            </w:pPr>
            <w:r>
              <w:rPr>
                <w:color w:val="000000"/>
                <w:sz w:val="24"/>
                <w:szCs w:val="24"/>
              </w:rPr>
              <w:t>2.88</w:t>
            </w:r>
          </w:p>
        </w:tc>
      </w:tr>
      <w:tr w:rsidR="00D72745">
        <w:trPr>
          <w:jc w:val="center"/>
        </w:trPr>
        <w:tc>
          <w:tcPr>
            <w:tcW w:w="855" w:type="dxa"/>
            <w:vAlign w:val="center"/>
          </w:tcPr>
          <w:p w:rsidR="00D72745" w:rsidRDefault="00E817FC">
            <w:pPr>
              <w:jc w:val="center"/>
            </w:pPr>
            <w:r>
              <w:rPr>
                <w:color w:val="000000"/>
                <w:sz w:val="24"/>
                <w:szCs w:val="24"/>
              </w:rPr>
              <w:t>9</w:t>
            </w:r>
          </w:p>
        </w:tc>
        <w:tc>
          <w:tcPr>
            <w:tcW w:w="1334" w:type="dxa"/>
            <w:vAlign w:val="center"/>
          </w:tcPr>
          <w:p w:rsidR="00D72745" w:rsidRDefault="00E817FC">
            <w:pPr>
              <w:jc w:val="center"/>
            </w:pPr>
            <w:r>
              <w:rPr>
                <w:color w:val="000000"/>
                <w:sz w:val="24"/>
                <w:szCs w:val="24"/>
              </w:rPr>
              <w:t>002094</w:t>
            </w:r>
          </w:p>
        </w:tc>
        <w:tc>
          <w:tcPr>
            <w:tcW w:w="1777" w:type="dxa"/>
            <w:vAlign w:val="center"/>
          </w:tcPr>
          <w:p w:rsidR="00D72745" w:rsidRDefault="00E817FC">
            <w:pPr>
              <w:jc w:val="center"/>
            </w:pPr>
            <w:r>
              <w:rPr>
                <w:color w:val="000000"/>
                <w:sz w:val="24"/>
                <w:szCs w:val="24"/>
              </w:rPr>
              <w:t>青岛金王</w:t>
            </w:r>
          </w:p>
        </w:tc>
        <w:tc>
          <w:tcPr>
            <w:tcW w:w="1334" w:type="dxa"/>
            <w:vAlign w:val="center"/>
          </w:tcPr>
          <w:p w:rsidR="00D72745" w:rsidRDefault="00E817FC">
            <w:pPr>
              <w:jc w:val="right"/>
            </w:pPr>
            <w:r>
              <w:rPr>
                <w:color w:val="000000"/>
                <w:sz w:val="24"/>
                <w:szCs w:val="24"/>
              </w:rPr>
              <w:t>3,097,333</w:t>
            </w:r>
          </w:p>
        </w:tc>
        <w:tc>
          <w:tcPr>
            <w:tcW w:w="1924" w:type="dxa"/>
            <w:vAlign w:val="center"/>
          </w:tcPr>
          <w:p w:rsidR="00D72745" w:rsidRDefault="00E817FC">
            <w:pPr>
              <w:jc w:val="right"/>
            </w:pPr>
            <w:r>
              <w:rPr>
                <w:color w:val="000000"/>
                <w:sz w:val="24"/>
                <w:szCs w:val="24"/>
              </w:rPr>
              <w:t>96,481,922.95</w:t>
            </w:r>
          </w:p>
        </w:tc>
        <w:tc>
          <w:tcPr>
            <w:tcW w:w="1644" w:type="dxa"/>
            <w:vAlign w:val="center"/>
          </w:tcPr>
          <w:p w:rsidR="00D72745" w:rsidRDefault="00E817FC">
            <w:pPr>
              <w:jc w:val="right"/>
            </w:pPr>
            <w:r>
              <w:rPr>
                <w:color w:val="000000"/>
                <w:sz w:val="24"/>
                <w:szCs w:val="24"/>
              </w:rPr>
              <w:t>2.74</w:t>
            </w:r>
          </w:p>
        </w:tc>
      </w:tr>
      <w:tr w:rsidR="00D72745">
        <w:trPr>
          <w:jc w:val="center"/>
        </w:trPr>
        <w:tc>
          <w:tcPr>
            <w:tcW w:w="855" w:type="dxa"/>
            <w:vAlign w:val="center"/>
          </w:tcPr>
          <w:p w:rsidR="00D72745" w:rsidRDefault="00E817FC">
            <w:pPr>
              <w:jc w:val="center"/>
            </w:pPr>
            <w:r>
              <w:rPr>
                <w:color w:val="000000"/>
                <w:sz w:val="24"/>
                <w:szCs w:val="24"/>
              </w:rPr>
              <w:t>10</w:t>
            </w:r>
          </w:p>
        </w:tc>
        <w:tc>
          <w:tcPr>
            <w:tcW w:w="1334" w:type="dxa"/>
            <w:vAlign w:val="center"/>
          </w:tcPr>
          <w:p w:rsidR="00D72745" w:rsidRDefault="00E817FC">
            <w:pPr>
              <w:jc w:val="center"/>
            </w:pPr>
            <w:r>
              <w:rPr>
                <w:color w:val="000000"/>
                <w:sz w:val="24"/>
                <w:szCs w:val="24"/>
              </w:rPr>
              <w:t>000002</w:t>
            </w:r>
          </w:p>
        </w:tc>
        <w:tc>
          <w:tcPr>
            <w:tcW w:w="1777" w:type="dxa"/>
            <w:vAlign w:val="center"/>
          </w:tcPr>
          <w:p w:rsidR="00D72745" w:rsidRDefault="00E817FC">
            <w:pPr>
              <w:jc w:val="center"/>
            </w:pPr>
            <w:r>
              <w:rPr>
                <w:color w:val="000000"/>
                <w:sz w:val="24"/>
                <w:szCs w:val="24"/>
              </w:rPr>
              <w:t>万</w:t>
            </w:r>
            <w:r>
              <w:rPr>
                <w:color w:val="000000"/>
                <w:sz w:val="24"/>
                <w:szCs w:val="24"/>
              </w:rPr>
              <w:t xml:space="preserve">  </w:t>
            </w:r>
            <w:r>
              <w:rPr>
                <w:color w:val="000000"/>
                <w:sz w:val="24"/>
                <w:szCs w:val="24"/>
              </w:rPr>
              <w:t>科Ａ</w:t>
            </w:r>
          </w:p>
        </w:tc>
        <w:tc>
          <w:tcPr>
            <w:tcW w:w="1334" w:type="dxa"/>
            <w:vAlign w:val="center"/>
          </w:tcPr>
          <w:p w:rsidR="00D72745" w:rsidRDefault="00E817FC">
            <w:pPr>
              <w:jc w:val="right"/>
            </w:pPr>
            <w:r>
              <w:rPr>
                <w:color w:val="000000"/>
                <w:sz w:val="24"/>
                <w:szCs w:val="24"/>
              </w:rPr>
              <w:t>3,502,373</w:t>
            </w:r>
          </w:p>
        </w:tc>
        <w:tc>
          <w:tcPr>
            <w:tcW w:w="1924" w:type="dxa"/>
            <w:vAlign w:val="center"/>
          </w:tcPr>
          <w:p w:rsidR="00D72745" w:rsidRDefault="00E817FC">
            <w:pPr>
              <w:jc w:val="right"/>
            </w:pPr>
            <w:r>
              <w:rPr>
                <w:color w:val="000000"/>
                <w:sz w:val="24"/>
                <w:szCs w:val="24"/>
              </w:rPr>
              <w:t>85,562,972.39</w:t>
            </w:r>
          </w:p>
        </w:tc>
        <w:tc>
          <w:tcPr>
            <w:tcW w:w="1644" w:type="dxa"/>
            <w:vAlign w:val="center"/>
          </w:tcPr>
          <w:p w:rsidR="00D72745" w:rsidRDefault="00E817FC">
            <w:pPr>
              <w:jc w:val="right"/>
            </w:pPr>
            <w:r>
              <w:rPr>
                <w:color w:val="000000"/>
                <w:sz w:val="24"/>
                <w:szCs w:val="24"/>
              </w:rPr>
              <w:t>2.43</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8,900.00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0.00</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D72745">
        <w:trPr>
          <w:jc w:val="center"/>
        </w:trPr>
        <w:tc>
          <w:tcPr>
            <w:tcW w:w="850" w:type="dxa"/>
            <w:vAlign w:val="center"/>
          </w:tcPr>
          <w:p w:rsidR="00D72745" w:rsidRDefault="00E817FC">
            <w:pPr>
              <w:jc w:val="center"/>
            </w:pPr>
            <w:r>
              <w:rPr>
                <w:color w:val="000000"/>
                <w:sz w:val="24"/>
                <w:szCs w:val="24"/>
              </w:rPr>
              <w:t>1</w:t>
            </w:r>
          </w:p>
        </w:tc>
        <w:tc>
          <w:tcPr>
            <w:tcW w:w="1475" w:type="dxa"/>
            <w:vAlign w:val="center"/>
          </w:tcPr>
          <w:p w:rsidR="00D72745" w:rsidRDefault="00E817FC">
            <w:pPr>
              <w:jc w:val="center"/>
            </w:pPr>
            <w:r>
              <w:rPr>
                <w:color w:val="000000"/>
                <w:sz w:val="24"/>
                <w:szCs w:val="24"/>
              </w:rPr>
              <w:t>123001</w:t>
            </w:r>
          </w:p>
        </w:tc>
        <w:tc>
          <w:tcPr>
            <w:tcW w:w="1769" w:type="dxa"/>
            <w:vAlign w:val="center"/>
          </w:tcPr>
          <w:p w:rsidR="00D72745" w:rsidRDefault="00E817FC">
            <w:pPr>
              <w:jc w:val="center"/>
            </w:pPr>
            <w:r>
              <w:rPr>
                <w:color w:val="000000"/>
                <w:sz w:val="24"/>
                <w:szCs w:val="24"/>
              </w:rPr>
              <w:t>蓝标转债</w:t>
            </w:r>
          </w:p>
        </w:tc>
        <w:tc>
          <w:tcPr>
            <w:tcW w:w="1387" w:type="dxa"/>
            <w:vAlign w:val="center"/>
          </w:tcPr>
          <w:p w:rsidR="00D72745" w:rsidRDefault="00E817FC">
            <w:pPr>
              <w:jc w:val="right"/>
            </w:pPr>
            <w:r>
              <w:rPr>
                <w:color w:val="000000"/>
                <w:sz w:val="24"/>
                <w:szCs w:val="24"/>
              </w:rPr>
              <w:t>89</w:t>
            </w:r>
          </w:p>
        </w:tc>
        <w:tc>
          <w:tcPr>
            <w:tcW w:w="2150" w:type="dxa"/>
            <w:vAlign w:val="center"/>
          </w:tcPr>
          <w:p w:rsidR="00D72745" w:rsidRDefault="00E817FC">
            <w:pPr>
              <w:jc w:val="right"/>
            </w:pPr>
            <w:r>
              <w:rPr>
                <w:color w:val="000000"/>
                <w:sz w:val="24"/>
                <w:szCs w:val="24"/>
              </w:rPr>
              <w:t>8,900.00</w:t>
            </w:r>
          </w:p>
        </w:tc>
        <w:tc>
          <w:tcPr>
            <w:tcW w:w="1237" w:type="dxa"/>
            <w:vAlign w:val="center"/>
          </w:tcPr>
          <w:p w:rsidR="00D72745" w:rsidRDefault="00E817FC">
            <w:pPr>
              <w:jc w:val="right"/>
            </w:pPr>
            <w:r>
              <w:rPr>
                <w:color w:val="000000"/>
                <w:sz w:val="24"/>
                <w:szCs w:val="24"/>
              </w:rPr>
              <w:t>0.00</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3,712,647.04</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116,033.21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340,550.81</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4,169,231.06</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6641F6" w:rsidRPr="00414345" w:rsidRDefault="006641F6" w:rsidP="006641F6">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6641F6" w:rsidRPr="00414345" w:rsidRDefault="006641F6" w:rsidP="00C15CAC">
      <w:pPr>
        <w:autoSpaceDE w:val="0"/>
        <w:autoSpaceDN w:val="0"/>
        <w:adjustRightInd w:val="0"/>
        <w:spacing w:before="29" w:line="288" w:lineRule="auto"/>
        <w:jc w:val="left"/>
        <w:rPr>
          <w:bCs/>
          <w:color w:val="000000"/>
          <w:kern w:val="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tbl>
      <w:tblPr>
        <w:tblStyle w:val="af7"/>
        <w:tblW w:w="8868" w:type="dxa"/>
        <w:jc w:val="center"/>
        <w:tblLayout w:type="fixed"/>
        <w:tblCellMar>
          <w:top w:w="57" w:type="dxa"/>
          <w:bottom w:w="57" w:type="dxa"/>
        </w:tblCellMar>
        <w:tblLook w:val="04A0" w:firstRow="1" w:lastRow="0" w:firstColumn="1" w:lastColumn="0" w:noHBand="0" w:noVBand="1"/>
      </w:tblPr>
      <w:tblGrid>
        <w:gridCol w:w="1129"/>
        <w:gridCol w:w="1356"/>
        <w:gridCol w:w="1355"/>
        <w:gridCol w:w="1880"/>
        <w:gridCol w:w="1724"/>
        <w:gridCol w:w="1424"/>
      </w:tblGrid>
      <w:tr w:rsidR="003E62FB" w:rsidRPr="00414345" w:rsidTr="00BC216C">
        <w:trPr>
          <w:jc w:val="center"/>
        </w:trPr>
        <w:tc>
          <w:tcPr>
            <w:tcW w:w="1083"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302"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股票代码</w:t>
            </w:r>
          </w:p>
        </w:tc>
        <w:tc>
          <w:tcPr>
            <w:tcW w:w="13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股票名称</w:t>
            </w:r>
          </w:p>
        </w:tc>
        <w:tc>
          <w:tcPr>
            <w:tcW w:w="180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流通受限部分的公允价值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55"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AC063D" w:rsidRPr="00414345">
              <w:rPr>
                <w:color w:val="000000"/>
                <w:sz w:val="24"/>
                <w:szCs w:val="24"/>
              </w:rPr>
              <w:t>(</w:t>
            </w:r>
            <w:r w:rsidR="00AC063D" w:rsidRPr="00414345">
              <w:rPr>
                <w:color w:val="000000"/>
                <w:sz w:val="24"/>
                <w:szCs w:val="24"/>
              </w:rPr>
              <w:t>％</w:t>
            </w:r>
            <w:r w:rsidR="00AC063D" w:rsidRPr="00414345">
              <w:rPr>
                <w:color w:val="000000"/>
                <w:sz w:val="24"/>
                <w:szCs w:val="24"/>
              </w:rPr>
              <w:t>)</w:t>
            </w:r>
          </w:p>
        </w:tc>
        <w:tc>
          <w:tcPr>
            <w:tcW w:w="136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流通受限情况说明</w:t>
            </w:r>
          </w:p>
        </w:tc>
      </w:tr>
      <w:tr w:rsidR="00D72745">
        <w:trPr>
          <w:jc w:val="center"/>
        </w:trPr>
        <w:tc>
          <w:tcPr>
            <w:tcW w:w="1129" w:type="dxa"/>
            <w:vAlign w:val="center"/>
          </w:tcPr>
          <w:p w:rsidR="00D72745" w:rsidRDefault="00E817FC">
            <w:pPr>
              <w:jc w:val="center"/>
            </w:pPr>
            <w:r>
              <w:rPr>
                <w:color w:val="000000"/>
                <w:sz w:val="24"/>
                <w:szCs w:val="24"/>
              </w:rPr>
              <w:t>1</w:t>
            </w:r>
          </w:p>
        </w:tc>
        <w:tc>
          <w:tcPr>
            <w:tcW w:w="1356" w:type="dxa"/>
            <w:vAlign w:val="center"/>
          </w:tcPr>
          <w:p w:rsidR="00D72745" w:rsidRDefault="00E817FC">
            <w:pPr>
              <w:jc w:val="center"/>
            </w:pPr>
            <w:r>
              <w:rPr>
                <w:color w:val="000000"/>
                <w:sz w:val="24"/>
                <w:szCs w:val="24"/>
              </w:rPr>
              <w:t>000002</w:t>
            </w:r>
          </w:p>
        </w:tc>
        <w:tc>
          <w:tcPr>
            <w:tcW w:w="1355" w:type="dxa"/>
            <w:vAlign w:val="center"/>
          </w:tcPr>
          <w:p w:rsidR="00D72745" w:rsidRDefault="00E817FC">
            <w:pPr>
              <w:jc w:val="center"/>
            </w:pPr>
            <w:r>
              <w:rPr>
                <w:color w:val="000000"/>
                <w:sz w:val="24"/>
                <w:szCs w:val="24"/>
              </w:rPr>
              <w:t>万</w:t>
            </w:r>
            <w:r>
              <w:rPr>
                <w:color w:val="000000"/>
                <w:sz w:val="24"/>
                <w:szCs w:val="24"/>
              </w:rPr>
              <w:t xml:space="preserve">  </w:t>
            </w:r>
            <w:r>
              <w:rPr>
                <w:color w:val="000000"/>
                <w:sz w:val="24"/>
                <w:szCs w:val="24"/>
              </w:rPr>
              <w:t>科Ａ</w:t>
            </w:r>
          </w:p>
        </w:tc>
        <w:tc>
          <w:tcPr>
            <w:tcW w:w="1880" w:type="dxa"/>
            <w:vAlign w:val="center"/>
          </w:tcPr>
          <w:p w:rsidR="00D72745" w:rsidRDefault="00E817FC">
            <w:pPr>
              <w:jc w:val="right"/>
            </w:pPr>
            <w:r>
              <w:rPr>
                <w:color w:val="000000"/>
                <w:sz w:val="24"/>
                <w:szCs w:val="24"/>
              </w:rPr>
              <w:t>85,562,972.39</w:t>
            </w:r>
          </w:p>
        </w:tc>
        <w:tc>
          <w:tcPr>
            <w:tcW w:w="1724" w:type="dxa"/>
            <w:vAlign w:val="center"/>
          </w:tcPr>
          <w:p w:rsidR="00D72745" w:rsidRDefault="00E817FC">
            <w:pPr>
              <w:jc w:val="right"/>
            </w:pPr>
            <w:r>
              <w:rPr>
                <w:color w:val="000000"/>
                <w:sz w:val="24"/>
                <w:szCs w:val="24"/>
              </w:rPr>
              <w:t>2.43</w:t>
            </w:r>
          </w:p>
        </w:tc>
        <w:tc>
          <w:tcPr>
            <w:tcW w:w="1424" w:type="dxa"/>
            <w:vAlign w:val="center"/>
          </w:tcPr>
          <w:p w:rsidR="00D72745" w:rsidRDefault="00E817FC" w:rsidP="00E817FC">
            <w:pPr>
              <w:ind w:right="120"/>
              <w:jc w:val="right"/>
            </w:pPr>
            <w:r>
              <w:rPr>
                <w:rFonts w:hint="eastAsia"/>
                <w:color w:val="000000"/>
                <w:sz w:val="24"/>
                <w:szCs w:val="24"/>
              </w:rPr>
              <w:t>重大</w:t>
            </w:r>
            <w:r>
              <w:rPr>
                <w:color w:val="000000"/>
                <w:sz w:val="24"/>
                <w:szCs w:val="24"/>
              </w:rPr>
              <w:t>事项</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2,432,048,523.77</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29,274,956.24</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509,151,397.22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1,952,172,082.79</w:t>
            </w:r>
          </w:p>
        </w:tc>
      </w:tr>
    </w:tbl>
    <w:p w:rsidR="00D72745" w:rsidRDefault="00E817FC">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ED2620" w:rsidRPr="00ED2620" w:rsidRDefault="00ED2620" w:rsidP="00C15CAC">
      <w:pPr>
        <w:autoSpaceDE w:val="0"/>
        <w:autoSpaceDN w:val="0"/>
        <w:adjustRightInd w:val="0"/>
        <w:spacing w:before="29" w:line="288" w:lineRule="auto"/>
        <w:ind w:left="15"/>
        <w:jc w:val="right"/>
        <w:rPr>
          <w:rFonts w:eastAsiaTheme="minorEastAsia"/>
          <w:color w:val="000000"/>
          <w:kern w:val="0"/>
          <w:sz w:val="24"/>
        </w:rPr>
      </w:pPr>
      <w:r w:rsidRPr="00ED2620">
        <w:rPr>
          <w:rFonts w:eastAsiaTheme="minorEastAsia" w:hAnsiTheme="minorEastAsia"/>
          <w:color w:val="000000"/>
          <w:kern w:val="0"/>
          <w:sz w:val="24"/>
        </w:rPr>
        <w:t>单位：份</w:t>
      </w:r>
    </w:p>
    <w:tbl>
      <w:tblPr>
        <w:tblW w:w="8868" w:type="dxa"/>
        <w:jc w:val="center"/>
        <w:tblLayout w:type="fixed"/>
        <w:tblLook w:val="04A0" w:firstRow="1" w:lastRow="0" w:firstColumn="1" w:lastColumn="0" w:noHBand="0" w:noVBand="1"/>
      </w:tblPr>
      <w:tblGrid>
        <w:gridCol w:w="5308"/>
        <w:gridCol w:w="3560"/>
      </w:tblGrid>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pStyle w:val="ad"/>
              <w:adjustRightInd w:val="0"/>
              <w:snapToGrid w:val="0"/>
              <w:spacing w:line="288" w:lineRule="auto"/>
              <w:rPr>
                <w:rFonts w:eastAsia="方正仿宋简体"/>
                <w:color w:val="000000"/>
              </w:rPr>
            </w:pPr>
            <w:r w:rsidRPr="00ED2620">
              <w:rPr>
                <w:color w:val="000000"/>
              </w:rPr>
              <w:t>报告期期初管理人持有的本基金份额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买入</w:t>
            </w:r>
            <w:r w:rsidRPr="00ED2620">
              <w:rPr>
                <w:color w:val="000000"/>
                <w:sz w:val="24"/>
              </w:rPr>
              <w:t>/</w:t>
            </w:r>
            <w:r w:rsidRPr="00ED2620">
              <w:rPr>
                <w:color w:val="000000"/>
                <w:sz w:val="24"/>
              </w:rPr>
              <w:t>申购总份额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816595" w:rsidP="00C15CAC">
            <w:pPr>
              <w:spacing w:line="288" w:lineRule="auto"/>
              <w:jc w:val="right"/>
              <w:rPr>
                <w:rFonts w:eastAsiaTheme="minorEastAsia"/>
                <w:color w:val="000000"/>
                <w:kern w:val="0"/>
                <w:sz w:val="24"/>
                <w:szCs w:val="24"/>
              </w:rPr>
            </w:pPr>
            <w:r w:rsidRPr="00414345">
              <w:rPr>
                <w:color w:val="000000"/>
                <w:sz w:val="24"/>
                <w:szCs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rFonts w:eastAsiaTheme="minorEastAsia"/>
                <w:color w:val="000000"/>
                <w:kern w:val="0"/>
                <w:sz w:val="24"/>
              </w:rPr>
              <w:t>本报告期</w:t>
            </w:r>
            <w:r w:rsidRPr="00ED2620">
              <w:rPr>
                <w:color w:val="000000"/>
                <w:sz w:val="24"/>
              </w:rPr>
              <w:t>卖出</w:t>
            </w:r>
            <w:r w:rsidRPr="00ED2620">
              <w:rPr>
                <w:color w:val="000000"/>
                <w:sz w:val="24"/>
              </w:rPr>
              <w:t>/</w:t>
            </w:r>
            <w:r w:rsidRPr="00ED2620">
              <w:rPr>
                <w:color w:val="000000"/>
                <w:sz w:val="24"/>
              </w:rPr>
              <w:t>赎回总份额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816595" w:rsidP="00C15CAC">
            <w:pPr>
              <w:spacing w:line="288" w:lineRule="auto"/>
              <w:jc w:val="right"/>
              <w:rPr>
                <w:rFonts w:eastAsiaTheme="minorEastAsia"/>
                <w:color w:val="000000"/>
                <w:kern w:val="0"/>
                <w:sz w:val="24"/>
                <w:szCs w:val="24"/>
              </w:rPr>
            </w:pPr>
            <w:r w:rsidRPr="00414345">
              <w:rPr>
                <w:color w:val="000000"/>
                <w:sz w:val="24"/>
                <w:szCs w:val="24"/>
              </w:rPr>
              <w:t>-</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报告期期末管理人持有的本基金份额</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sz w:val="24"/>
                <w:szCs w:val="24"/>
              </w:rPr>
            </w:pPr>
            <w:r w:rsidRPr="00ED2620">
              <w:rPr>
                <w:rFonts w:eastAsiaTheme="minorEastAsia"/>
                <w:color w:val="000000"/>
                <w:sz w:val="24"/>
              </w:rPr>
              <w:t>81,303,685.60</w:t>
            </w:r>
          </w:p>
        </w:tc>
      </w:tr>
      <w:tr w:rsidR="00ED2620" w:rsidRPr="00ED2620" w:rsidTr="006075E6">
        <w:trPr>
          <w:jc w:val="center"/>
        </w:trPr>
        <w:tc>
          <w:tcPr>
            <w:tcW w:w="5308"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adjustRightInd w:val="0"/>
              <w:snapToGrid w:val="0"/>
              <w:spacing w:line="288" w:lineRule="auto"/>
              <w:rPr>
                <w:color w:val="000000"/>
                <w:sz w:val="24"/>
                <w:szCs w:val="24"/>
              </w:rPr>
            </w:pPr>
            <w:r w:rsidRPr="00ED2620">
              <w:rPr>
                <w:color w:val="000000"/>
                <w:sz w:val="24"/>
              </w:rPr>
              <w:t>报告期期末持有的本基金份额占基金总份额比例（</w:t>
            </w:r>
            <w:r w:rsidRPr="00ED2620">
              <w:rPr>
                <w:color w:val="000000"/>
                <w:sz w:val="24"/>
              </w:rPr>
              <w:t>%</w:t>
            </w:r>
            <w:r w:rsidRPr="00ED2620">
              <w:rPr>
                <w:color w:val="000000"/>
                <w:sz w:val="24"/>
              </w:rPr>
              <w:t>）</w:t>
            </w:r>
          </w:p>
        </w:tc>
        <w:tc>
          <w:tcPr>
            <w:tcW w:w="3560" w:type="dxa"/>
            <w:tcBorders>
              <w:top w:val="single" w:sz="8" w:space="0" w:color="000000"/>
              <w:left w:val="single" w:sz="8" w:space="0" w:color="000000"/>
              <w:bottom w:val="single" w:sz="8" w:space="0" w:color="000000"/>
              <w:right w:val="single" w:sz="8" w:space="0" w:color="000000"/>
            </w:tcBorders>
            <w:vAlign w:val="center"/>
            <w:hideMark/>
          </w:tcPr>
          <w:p w:rsidR="00ED2620" w:rsidRPr="00ED2620" w:rsidRDefault="00ED2620" w:rsidP="00C15CAC">
            <w:pPr>
              <w:spacing w:line="288" w:lineRule="auto"/>
              <w:jc w:val="right"/>
              <w:rPr>
                <w:rFonts w:eastAsiaTheme="minorEastAsia"/>
                <w:color w:val="000000"/>
                <w:kern w:val="0"/>
                <w:sz w:val="24"/>
                <w:szCs w:val="24"/>
              </w:rPr>
            </w:pPr>
            <w:r w:rsidRPr="00ED2620">
              <w:rPr>
                <w:rFonts w:eastAsiaTheme="minorEastAsia"/>
                <w:color w:val="000000"/>
                <w:sz w:val="24"/>
              </w:rPr>
              <w:t>4.16</w:t>
            </w:r>
          </w:p>
        </w:tc>
      </w:tr>
    </w:tbl>
    <w:p w:rsidR="00D72745" w:rsidRDefault="00E817FC">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w:t>
      </w:r>
      <w:r>
        <w:rPr>
          <w:rFonts w:eastAsiaTheme="minorEastAsia"/>
          <w:color w:val="000000"/>
          <w:sz w:val="24"/>
        </w:rPr>
        <w:t>1</w:t>
      </w:r>
      <w:r>
        <w:rPr>
          <w:rFonts w:eastAsiaTheme="minorEastAsia"/>
          <w:color w:val="000000"/>
          <w:sz w:val="24"/>
        </w:rPr>
        <w:t>、如果本报告期间发生转换入、红利再投业务，则总申购份额中包含该业务。</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 xml:space="preserve">    2</w:t>
      </w:r>
      <w:r w:rsidRPr="00ED2620">
        <w:rPr>
          <w:rFonts w:eastAsiaTheme="minorEastAsia"/>
          <w:color w:val="000000"/>
          <w:sz w:val="24"/>
        </w:rPr>
        <w:t>、如果本报告期间发生转换出业务，则总赎回份额中包含该业务。</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676095"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影响投资者决策的其他重要信息</w:t>
      </w:r>
    </w:p>
    <w:p w:rsidR="00D72745" w:rsidRDefault="00E817FC">
      <w:pPr>
        <w:spacing w:before="29" w:line="288" w:lineRule="auto"/>
        <w:ind w:firstLineChars="200" w:firstLine="480"/>
        <w:rPr>
          <w:color w:val="000000"/>
          <w:sz w:val="24"/>
          <w:szCs w:val="24"/>
        </w:rPr>
      </w:pPr>
      <w:r>
        <w:rPr>
          <w:color w:val="000000"/>
          <w:sz w:val="24"/>
          <w:szCs w:val="24"/>
        </w:rPr>
        <w:t>1.</w:t>
      </w:r>
      <w:r>
        <w:rPr>
          <w:color w:val="000000"/>
          <w:sz w:val="24"/>
          <w:szCs w:val="24"/>
        </w:rPr>
        <w:t>鉴于交银施罗德稳健配置混合型证券投资基金的业绩比较基准的指数停止计算编制，本基金管理人根据基金合同的相关约定，经与基金托管人协商一致，并报中国证监会备案，决定自</w:t>
      </w:r>
      <w:r>
        <w:rPr>
          <w:color w:val="000000"/>
          <w:sz w:val="24"/>
          <w:szCs w:val="24"/>
        </w:rPr>
        <w:t>2015</w:t>
      </w:r>
      <w:r>
        <w:rPr>
          <w:color w:val="000000"/>
          <w:sz w:val="24"/>
          <w:szCs w:val="24"/>
        </w:rPr>
        <w:t>年</w:t>
      </w:r>
      <w:r>
        <w:rPr>
          <w:color w:val="000000"/>
          <w:sz w:val="24"/>
          <w:szCs w:val="24"/>
        </w:rPr>
        <w:t>10</w:t>
      </w:r>
      <w:r>
        <w:rPr>
          <w:color w:val="000000"/>
          <w:sz w:val="24"/>
          <w:szCs w:val="24"/>
        </w:rPr>
        <w:t>月</w:t>
      </w:r>
      <w:r>
        <w:rPr>
          <w:color w:val="000000"/>
          <w:sz w:val="24"/>
          <w:szCs w:val="24"/>
        </w:rPr>
        <w:t>1</w:t>
      </w:r>
      <w:r>
        <w:rPr>
          <w:color w:val="000000"/>
          <w:sz w:val="24"/>
          <w:szCs w:val="24"/>
        </w:rPr>
        <w:t>日起将交银施罗德稳健配置混合型证券投资基金的业绩比较基准由原</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中信标普全债指数</w:t>
      </w:r>
      <w:r>
        <w:rPr>
          <w:color w:val="000000"/>
          <w:sz w:val="24"/>
          <w:szCs w:val="24"/>
        </w:rPr>
        <w:t>”</w:t>
      </w:r>
      <w:r>
        <w:rPr>
          <w:color w:val="000000"/>
          <w:sz w:val="24"/>
          <w:szCs w:val="24"/>
        </w:rPr>
        <w:t>变更为</w:t>
      </w:r>
      <w:r>
        <w:rPr>
          <w:color w:val="000000"/>
          <w:sz w:val="24"/>
          <w:szCs w:val="24"/>
        </w:rPr>
        <w:t>“65%×MSCI</w:t>
      </w:r>
      <w:r>
        <w:rPr>
          <w:color w:val="000000"/>
          <w:sz w:val="24"/>
          <w:szCs w:val="24"/>
        </w:rPr>
        <w:t>中国</w:t>
      </w:r>
      <w:r>
        <w:rPr>
          <w:color w:val="000000"/>
          <w:sz w:val="24"/>
          <w:szCs w:val="24"/>
        </w:rPr>
        <w:t>A</w:t>
      </w:r>
      <w:r>
        <w:rPr>
          <w:color w:val="000000"/>
          <w:sz w:val="24"/>
          <w:szCs w:val="24"/>
        </w:rPr>
        <w:t>股指数</w:t>
      </w:r>
      <w:r>
        <w:rPr>
          <w:color w:val="000000"/>
          <w:sz w:val="24"/>
          <w:szCs w:val="24"/>
        </w:rPr>
        <w:t>+35%×</w:t>
      </w:r>
      <w:r>
        <w:rPr>
          <w:color w:val="000000"/>
          <w:sz w:val="24"/>
          <w:szCs w:val="24"/>
        </w:rPr>
        <w:t>中证综合债券指数</w:t>
      </w:r>
      <w:r>
        <w:rPr>
          <w:color w:val="000000"/>
          <w:sz w:val="24"/>
          <w:szCs w:val="24"/>
        </w:rPr>
        <w:t>”</w:t>
      </w:r>
      <w:r>
        <w:rPr>
          <w:color w:val="000000"/>
          <w:sz w:val="24"/>
          <w:szCs w:val="24"/>
        </w:rPr>
        <w:t>，并相应修改基金合同的有关内容。详情请见本基金管理人于</w:t>
      </w:r>
      <w:r>
        <w:rPr>
          <w:color w:val="000000"/>
          <w:sz w:val="24"/>
          <w:szCs w:val="24"/>
        </w:rPr>
        <w:t>2015</w:t>
      </w:r>
      <w:r>
        <w:rPr>
          <w:color w:val="000000"/>
          <w:sz w:val="24"/>
          <w:szCs w:val="24"/>
        </w:rPr>
        <w:t>年</w:t>
      </w:r>
      <w:r>
        <w:rPr>
          <w:color w:val="000000"/>
          <w:sz w:val="24"/>
          <w:szCs w:val="24"/>
        </w:rPr>
        <w:t>9</w:t>
      </w:r>
      <w:r>
        <w:rPr>
          <w:color w:val="000000"/>
          <w:sz w:val="24"/>
          <w:szCs w:val="24"/>
        </w:rPr>
        <w:t>月</w:t>
      </w:r>
      <w:r>
        <w:rPr>
          <w:color w:val="000000"/>
          <w:sz w:val="24"/>
          <w:szCs w:val="24"/>
        </w:rPr>
        <w:t>28</w:t>
      </w:r>
      <w:r>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2.</w:t>
      </w:r>
      <w:r w:rsidRPr="00414345">
        <w:rPr>
          <w:color w:val="000000"/>
          <w:sz w:val="24"/>
          <w:szCs w:val="24"/>
        </w:rPr>
        <w:t>根据《中华人民共和国证券投资基金法》、《公开募集证券投资基金运作管理办法》及《证券投资基金销售管理办法》等法律法规的规定及本基金基金合同和招募说明书的约定，为满足香港地区客户的投资需求，经征求基金托管人中国建设银行股份有限公司同意并报中国证券监督管理委员会备案，本基金管理人决定自</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7</w:t>
      </w:r>
      <w:r w:rsidRPr="00414345">
        <w:rPr>
          <w:color w:val="000000"/>
          <w:sz w:val="24"/>
          <w:szCs w:val="24"/>
        </w:rPr>
        <w:t>日起按照销售区域及费率标准的不同将本基金的基金份额分为</w:t>
      </w:r>
      <w:r w:rsidRPr="00414345">
        <w:rPr>
          <w:color w:val="000000"/>
          <w:sz w:val="24"/>
          <w:szCs w:val="24"/>
        </w:rPr>
        <w:t>A</w:t>
      </w:r>
      <w:r w:rsidRPr="00414345">
        <w:rPr>
          <w:color w:val="000000"/>
          <w:sz w:val="24"/>
          <w:szCs w:val="24"/>
        </w:rPr>
        <w:t>类、</w:t>
      </w:r>
      <w:r w:rsidRPr="00414345">
        <w:rPr>
          <w:color w:val="000000"/>
          <w:sz w:val="24"/>
          <w:szCs w:val="24"/>
        </w:rPr>
        <w:t>H</w:t>
      </w:r>
      <w:r w:rsidRPr="00414345">
        <w:rPr>
          <w:color w:val="000000"/>
          <w:sz w:val="24"/>
          <w:szCs w:val="24"/>
        </w:rPr>
        <w:t>类两类基金份额，</w:t>
      </w:r>
      <w:r w:rsidRPr="00414345">
        <w:rPr>
          <w:color w:val="000000"/>
          <w:sz w:val="24"/>
          <w:szCs w:val="24"/>
        </w:rPr>
        <w:t>A</w:t>
      </w:r>
      <w:r w:rsidRPr="00414345">
        <w:rPr>
          <w:color w:val="000000"/>
          <w:sz w:val="24"/>
          <w:szCs w:val="24"/>
        </w:rPr>
        <w:t>类基金份额仅在中国大陆地区销售，新增加的</w:t>
      </w:r>
      <w:r w:rsidRPr="00414345">
        <w:rPr>
          <w:color w:val="000000"/>
          <w:sz w:val="24"/>
          <w:szCs w:val="24"/>
        </w:rPr>
        <w:t>H</w:t>
      </w:r>
      <w:r w:rsidRPr="00414345">
        <w:rPr>
          <w:color w:val="000000"/>
          <w:sz w:val="24"/>
          <w:szCs w:val="24"/>
        </w:rPr>
        <w:t>类基金份额类别仅在中国香港地区销售，有关</w:t>
      </w:r>
      <w:r w:rsidRPr="00414345">
        <w:rPr>
          <w:color w:val="000000"/>
          <w:sz w:val="24"/>
          <w:szCs w:val="24"/>
        </w:rPr>
        <w:t>H</w:t>
      </w:r>
      <w:r w:rsidRPr="00414345">
        <w:rPr>
          <w:color w:val="000000"/>
          <w:sz w:val="24"/>
          <w:szCs w:val="24"/>
        </w:rPr>
        <w:t>类基金份额开始办理申购、赎回业务的具体时间参见本基金管理人届时发布的公告。上述事项对原有基金份额持有人的利益无实质性不利影响，不需召开基金份额持有人大会。详情请见本基金管理人于</w:t>
      </w:r>
      <w:r w:rsidRPr="00414345">
        <w:rPr>
          <w:color w:val="000000"/>
          <w:sz w:val="24"/>
          <w:szCs w:val="24"/>
        </w:rPr>
        <w:t>2015</w:t>
      </w:r>
      <w:r w:rsidRPr="00414345">
        <w:rPr>
          <w:color w:val="000000"/>
          <w:sz w:val="24"/>
          <w:szCs w:val="24"/>
        </w:rPr>
        <w:t>年</w:t>
      </w:r>
      <w:r w:rsidRPr="00414345">
        <w:rPr>
          <w:color w:val="000000"/>
          <w:sz w:val="24"/>
          <w:szCs w:val="24"/>
        </w:rPr>
        <w:t>12</w:t>
      </w:r>
      <w:r w:rsidRPr="00414345">
        <w:rPr>
          <w:color w:val="000000"/>
          <w:sz w:val="24"/>
          <w:szCs w:val="24"/>
        </w:rPr>
        <w:t>月</w:t>
      </w:r>
      <w:r w:rsidRPr="00414345">
        <w:rPr>
          <w:color w:val="000000"/>
          <w:sz w:val="24"/>
          <w:szCs w:val="24"/>
        </w:rPr>
        <w:t>7</w:t>
      </w:r>
      <w:r w:rsidRPr="00414345">
        <w:rPr>
          <w:color w:val="000000"/>
          <w:sz w:val="24"/>
          <w:szCs w:val="24"/>
        </w:rPr>
        <w:t>日发布的《交银施罗德基金管理有限公司关于增加交银施罗德稳健配置混合型证券投资基金</w:t>
      </w:r>
      <w:r w:rsidRPr="00414345">
        <w:rPr>
          <w:color w:val="000000"/>
          <w:sz w:val="24"/>
          <w:szCs w:val="24"/>
        </w:rPr>
        <w:t>H</w:t>
      </w:r>
      <w:r w:rsidRPr="00414345">
        <w:rPr>
          <w:color w:val="000000"/>
          <w:sz w:val="24"/>
          <w:szCs w:val="24"/>
        </w:rPr>
        <w:t>类基金份额类别及修改基金合同、托管协议的公告》。</w:t>
      </w:r>
    </w:p>
    <w:p w:rsidR="00ED6E80" w:rsidRPr="00414345" w:rsidRDefault="00ED6E80" w:rsidP="00C15CAC">
      <w:pPr>
        <w:spacing w:before="29" w:line="288" w:lineRule="auto"/>
        <w:ind w:firstLineChars="200" w:firstLine="480"/>
        <w:rPr>
          <w:color w:val="000000"/>
          <w:sz w:val="24"/>
          <w:szCs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9</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D72745" w:rsidRDefault="00E817FC">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、中国证监会批准交银施罗德稳健配置混合型证券投资基金募集的文件；</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2</w:t>
      </w:r>
      <w:r>
        <w:rPr>
          <w:color w:val="000000"/>
          <w:sz w:val="24"/>
          <w:szCs w:val="24"/>
        </w:rPr>
        <w:t>、《交银施罗德稳健配置混合型证券投资基金基金合同》；</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3</w:t>
      </w:r>
      <w:r>
        <w:rPr>
          <w:color w:val="000000"/>
          <w:sz w:val="24"/>
          <w:szCs w:val="24"/>
        </w:rPr>
        <w:t>、《交银施罗德稳健配置混合型证券投资基金招募说明书》；</w:t>
      </w:r>
    </w:p>
    <w:p w:rsidR="00D72745" w:rsidRDefault="00E817FC">
      <w:pPr>
        <w:spacing w:before="29" w:line="288" w:lineRule="auto"/>
        <w:ind w:firstLineChars="200" w:firstLine="480"/>
        <w:rPr>
          <w:color w:val="000000"/>
          <w:sz w:val="24"/>
          <w:szCs w:val="24"/>
        </w:rPr>
      </w:pPr>
      <w:r>
        <w:rPr>
          <w:color w:val="000000"/>
          <w:sz w:val="24"/>
          <w:szCs w:val="24"/>
        </w:rPr>
        <w:t>4</w:t>
      </w:r>
      <w:r>
        <w:rPr>
          <w:color w:val="000000"/>
          <w:sz w:val="24"/>
          <w:szCs w:val="24"/>
        </w:rPr>
        <w:t>、《交银施罗德稳健配置混合型证券投资</w:t>
      </w:r>
      <w:bookmarkStart w:id="0" w:name="_GoBack"/>
      <w:bookmarkEnd w:id="0"/>
      <w:r>
        <w:rPr>
          <w:color w:val="000000"/>
          <w:sz w:val="24"/>
          <w:szCs w:val="24"/>
        </w:rPr>
        <w:t>基金托管协议》；</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5</w:t>
      </w:r>
      <w:r>
        <w:rPr>
          <w:color w:val="000000"/>
          <w:sz w:val="24"/>
          <w:szCs w:val="24"/>
        </w:rPr>
        <w:t>、关于募集交银施罗德稳健配置混合型证券投资基金之法律意见书；</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6</w:t>
      </w:r>
      <w:r>
        <w:rPr>
          <w:color w:val="000000"/>
          <w:sz w:val="24"/>
          <w:szCs w:val="24"/>
        </w:rPr>
        <w:t>、基金管理人业务资格批件、营业执照；</w:t>
      </w:r>
      <w:r>
        <w:rPr>
          <w:color w:val="000000"/>
          <w:sz w:val="24"/>
          <w:szCs w:val="24"/>
        </w:rPr>
        <w:t xml:space="preserve"> </w:t>
      </w:r>
    </w:p>
    <w:p w:rsidR="00D72745" w:rsidRDefault="00E817FC">
      <w:pPr>
        <w:spacing w:before="29" w:line="288" w:lineRule="auto"/>
        <w:ind w:firstLineChars="200" w:firstLine="480"/>
        <w:rPr>
          <w:color w:val="000000"/>
          <w:sz w:val="24"/>
          <w:szCs w:val="24"/>
        </w:rPr>
      </w:pPr>
      <w:r>
        <w:rPr>
          <w:color w:val="000000"/>
          <w:sz w:val="24"/>
          <w:szCs w:val="24"/>
        </w:rPr>
        <w:t>7</w:t>
      </w:r>
      <w:r>
        <w:rPr>
          <w:color w:val="000000"/>
          <w:sz w:val="24"/>
          <w:szCs w:val="24"/>
        </w:rPr>
        <w:t>、基金托管人业务资格批件、营业执照；</w:t>
      </w:r>
      <w:r>
        <w:rPr>
          <w:color w:val="000000"/>
          <w:sz w:val="24"/>
          <w:szCs w:val="24"/>
        </w:rPr>
        <w:t xml:space="preserve"> </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8</w:t>
      </w:r>
      <w:r w:rsidRPr="00414345">
        <w:rPr>
          <w:color w:val="000000"/>
          <w:sz w:val="24"/>
          <w:szCs w:val="24"/>
        </w:rPr>
        <w:t>、报告期内交银施罗德稳健配置混合型证券投资基金在指定报刊上各项公告的原稿。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9</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D72745" w:rsidRDefault="00E817FC">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B5607" w:rsidRDefault="001B5607" w:rsidP="00876D65">
      <w:r>
        <w:separator/>
      </w:r>
    </w:p>
  </w:endnote>
  <w:endnote w:type="continuationSeparator" w:id="0">
    <w:p w:rsidR="001B5607" w:rsidRDefault="001B5607"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 w:name="方正仿宋简体">
    <w:altName w:val="宋体"/>
    <w:charset w:val="86"/>
    <w:family w:val="auto"/>
    <w:pitch w:val="variable"/>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432B3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432B38">
      <w:rPr>
        <w:noProof/>
        <w:kern w:val="0"/>
        <w:szCs w:val="21"/>
      </w:rPr>
      <w:t>12</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B5607" w:rsidRDefault="001B5607" w:rsidP="00876D65">
      <w:r>
        <w:separator/>
      </w:r>
    </w:p>
  </w:footnote>
  <w:footnote w:type="continuationSeparator" w:id="0">
    <w:p w:rsidR="001B5607" w:rsidRDefault="001B5607"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6321"/>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36EBB"/>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2B38"/>
    <w:rsid w:val="00433805"/>
    <w:rsid w:val="00443869"/>
    <w:rsid w:val="00443ABF"/>
    <w:rsid w:val="00460575"/>
    <w:rsid w:val="00463EC0"/>
    <w:rsid w:val="00464787"/>
    <w:rsid w:val="00471408"/>
    <w:rsid w:val="00480B35"/>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1F6"/>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16595"/>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2745"/>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17F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6321"/>
    <o:shapelayout v:ext="edit">
      <o:idmap v:ext="edit" data="1"/>
    </o:shapelayout>
  </w:shapeDefaults>
  <w:decimalSymbol w:val="."/>
  <w:listSeparator w:val=","/>
  <w15:docId w15:val="{23A7AABB-C414-4685-86E5-225552F082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C3989D-B953-4395-A8C8-D76727FE7CF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1794</TotalTime>
  <Pages>12</Pages>
  <Words>1165</Words>
  <Characters>6646</Characters>
  <Application>Microsoft Office Word</Application>
  <DocSecurity>0</DocSecurity>
  <Lines>55</Lines>
  <Paragraphs>15</Paragraphs>
  <ScaleCrop>false</ScaleCrop>
  <Company/>
  <LinksUpToDate>false</LinksUpToDate>
  <CharactersWithSpaces>7796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孙文婷</cp:lastModifiedBy>
  <cp:revision>565</cp:revision>
  <dcterms:created xsi:type="dcterms:W3CDTF">2012-10-16T06:07:00Z</dcterms:created>
  <dcterms:modified xsi:type="dcterms:W3CDTF">2016-01-18T06:08:00Z</dcterms:modified>
</cp:coreProperties>
</file>