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交银施罗德货币市场证券投资基金</w:t>
      </w:r>
    </w:p>
    <w:p w:rsidR="00B60E27" w:rsidRPr="001E1B20" w:rsidRDefault="00B60E27" w:rsidP="00281564">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2015年第4季度报告</w:t>
      </w:r>
    </w:p>
    <w:p w:rsidR="002B45A4" w:rsidRPr="001E1B20" w:rsidRDefault="00D87D00" w:rsidP="00281564">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2015年12月31日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
      </w:r>
      <w:proofErr w:type="spellStart"/>
      <w:r w:rsidRPr="001E1B20">
        <w:rPr>
          <w:b/>
          <w:color w:val="000000"/>
          <w:sz w:val="24"/>
        </w:rPr>
        <w:t/>
      </w:r>
      <w:proofErr w:type="spellEnd"/>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
      </w:r>
      <w:proofErr w:type="spellStart"/>
      <w:r w:rsidRPr="001E1B20">
        <w:rPr>
          <w:b/>
          <w:color w:val="000000"/>
          <w:sz w:val="24"/>
        </w:rPr>
        <w:t/>
      </w:r>
      <w:proofErr w:type="spellEnd"/>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
      </w:r>
      <w:proofErr w:type="spellStart"/>
      <w:r w:rsidR="00EF56FA" w:rsidRPr="001E1B20">
        <w:rPr>
          <w:b/>
          <w:color w:val="000000"/>
          <w:sz w:val="24"/>
        </w:rPr>
        <w:t/>
      </w:r>
      <w:r w:rsidR="00D87D00" w:rsidRPr="001E1B20">
        <w:rPr>
          <w:b/>
          <w:color w:val="000000"/>
          <w:sz w:val="24"/>
        </w:rPr>
        <w:t/>
      </w:r>
      <w:proofErr w:type="spellEnd"/>
      <w:r w:rsidR="00EF56FA" w:rsidRPr="001E1B20">
        <w:rPr>
          <w:b/>
          <w:color w:val="000000"/>
          <w:sz w:val="24"/>
        </w:rPr>
        <w:t>二〇一六年一月二十一日</w:t>
      </w:r>
    </w:p>
    <w:p w:rsidR="00902E3F" w:rsidRPr="000E4C40" w:rsidRDefault="00902E3F" w:rsidP="00F41AA6">
      <w:pPr>
        <w:pStyle w:val="1"/>
        <w:spacing w:beforeLines="100" w:after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Chars="200" w:firstLine="48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Chars="200" w:firstLine="480"/>
        <w:rPr>
          <w:color w:val="000000"/>
          <w:sz w:val="24"/>
        </w:rPr>
      </w:pPr>
      <w:r>
        <w:rPr>
          <w:color w:val="000000"/>
          <w:sz w:val="24"/>
        </w:rPr>
        <w:t xml:space="preserve">基金托管人中国农业银行股份有限公司根据本基金合同规定，于2016年1月20日复核了本报告中的财务指标、净值表现和投资组合报告等内容，保证复核内容不存在虚假记载、误导性陈述或者重大遗漏。 </w:t>
      </w:r>
    </w:p>
    <w:p>
      <w:pPr>
        <w:adjustRightInd w:val="0"/>
        <w:spacing w:before="29" w:line="288" w:lineRule="auto"/>
        <w:ind w:firstLineChars="200" w:firstLine="48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Chars="200" w:firstLine="48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Chars="200" w:firstLine="480"/>
        <w:rPr>
          <w:color w:val="000000"/>
          <w:sz w:val="24"/>
        </w:rPr>
      </w:pPr>
      <w:r>
        <w:rPr>
          <w:color w:val="000000"/>
          <w:sz w:val="24"/>
        </w:rPr>
        <w:t xml:space="preserve">本报告中财务资料未经审计。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本报告期自2015年10月1日起至12月31日止。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F41AA6">
      <w:pPr>
        <w:pStyle w:val="1"/>
        <w:spacing w:beforeLines="100" w:after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519588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2006年1月20日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28,844,923,688.88</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六个月银行定期存款利率(税后)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本基金是具有较低风险、中低收益、流动性强的证券投资基金品种。</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交银货币A</w:t>
            </w:r>
          </w:p>
        </w:tc>
        <w:tc>
          <w:tcPr>
            <w:tcW w:w="2923" w:type="dxa"/>
            <w:vAlign w:val="center"/>
          </w:tcPr>
          <w:p w:rsidR="00A805BC" w:rsidRPr="000E4C40" w:rsidRDefault="00A805BC" w:rsidP="00281564">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交银货币B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519588</w:t>
            </w:r>
          </w:p>
        </w:tc>
        <w:tc>
          <w:tcPr>
            <w:tcW w:w="2923" w:type="dxa"/>
            <w:vAlign w:val="center"/>
          </w:tcPr>
          <w:p w:rsidR="00A805BC" w:rsidRPr="000E4C40" w:rsidRDefault="00A805BC" w:rsidP="00281564">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519589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color w:val="000000"/>
                <w:kern w:val="0"/>
                <w:sz w:val="24"/>
              </w:rPr>
              <w:t/>
            </w:r>
            <w:proofErr w:type="spellStart"/>
            <w:r w:rsidR="004702DF"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1,203,430,532.35</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color w:val="000000"/>
                <w:kern w:val="0"/>
                <w:sz w:val="24"/>
              </w:rPr>
              <w:t/>
            </w:r>
            <w:proofErr w:type="spellStart"/>
            <w:r w:rsidR="004702DF" w:rsidRPr="000E4C40">
              <w:rPr>
                <w:color w:val="000000"/>
                <w:kern w:val="0"/>
                <w:sz w:val="24"/>
              </w:rPr>
              <w:t/>
            </w:r>
            <w:r w:rsidR="007B082A" w:rsidRPr="000E4C40">
              <w:rPr>
                <w:sz w:val="24"/>
              </w:rPr>
              <w:t/>
            </w:r>
            <w:r w:rsidRPr="000E4C40">
              <w:rPr>
                <w:sz w:val="24"/>
              </w:rPr>
              <w:t/>
            </w:r>
            <w:proofErr w:type="spellEnd"/>
            <w:r w:rsidRPr="000E4C40">
              <w:rPr>
                <w:sz w:val="24"/>
              </w:rPr>
              <w:t>27,641,493,156.53</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F41AA6">
      <w:pPr>
        <w:pStyle w:val="1"/>
        <w:spacing w:beforeLines="100" w:after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2015年10月1日-</w:t>
            </w:r>
            <w:proofErr w:type="spellStart"/>
            <w:r w:rsidRPr="000E4C40">
              <w:rPr>
                <w:color w:val="000000"/>
                <w:sz w:val="24"/>
              </w:rPr>
              <w:t/>
            </w:r>
            <w:proofErr w:type="spellEnd"/>
            <w:r w:rsidRPr="000E4C40">
              <w:rPr>
                <w:color w:val="000000"/>
                <w:sz w:val="24"/>
              </w:rPr>
              <w:t>2015年12月31日)</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color w:val="000000"/>
                <w:kern w:val="0"/>
                <w:sz w:val="24"/>
              </w:rPr>
              <w:t/>
            </w:r>
            <w:proofErr w:type="spellStart"/>
            <w:r w:rsidRPr="000E4C40">
              <w:rPr>
                <w:color w:val="000000"/>
                <w:kern w:val="0"/>
                <w:sz w:val="24"/>
              </w:rPr>
              <w:t/>
            </w:r>
            <w:r w:rsidRPr="000E4C40">
              <w:rPr>
                <w:sz w:val="24"/>
              </w:rPr>
              <w:t/>
            </w:r>
            <w:proofErr w:type="spellEnd"/>
            <w:r w:rsidRPr="000E4C40">
              <w:rPr>
                <w:sz w:val="24"/>
              </w:rPr>
              <w:t>交银货币A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color w:val="000000"/>
                <w:kern w:val="0"/>
                <w:sz w:val="24"/>
              </w:rPr>
              <w:t/>
            </w:r>
            <w:proofErr w:type="spellStart"/>
            <w:r w:rsidRPr="000E4C40">
              <w:rPr>
                <w:color w:val="000000"/>
                <w:kern w:val="0"/>
                <w:sz w:val="24"/>
              </w:rPr>
              <w:t/>
            </w:r>
            <w:r w:rsidRPr="000E4C40">
              <w:rPr>
                <w:sz w:val="24"/>
              </w:rPr>
              <w:t/>
            </w:r>
            <w:proofErr w:type="spellEnd"/>
            <w:r w:rsidRPr="000E4C40">
              <w:rPr>
                <w:sz w:val="24"/>
              </w:rPr>
              <w:t>交银货币B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5,737,164.45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136,046,457.11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5,737,164.45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136,046,457.11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1,203,430,532.35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27,641,493,156.53</w:t>
            </w:r>
          </w:p>
        </w:tc>
      </w:tr>
    </w:tbl>
    <w:p>
      <w:pPr>
        <w:autoSpaceDE w:val="0"/>
        <w:autoSpaceDN w:val="0"/>
        <w:adjustRightInd w:val="0"/>
        <w:spacing w:before="29" w:line="288" w:lineRule="auto"/>
        <w:jc w:val="left"/>
        <w:rPr>
          <w:color w:val="000000"/>
          <w:sz w:val="24"/>
        </w:rPr>
      </w:pPr>
      <w:r>
        <w:rPr>
          <w:color w:val="000000"/>
          <w:sz w:val="24"/>
        </w:rPr>
        <w:t>注：1、自2007年6月22日起，本基金实行销售服务费分级收费方式，分设两级基金份额：A级基金份额和B级基金份额。A级基金份额与B级基金份额的管理费、托管费相同，A级基金份额按照0.25%的年费率计提销售服务费，B级基金份额按照0.01%的年费率计提销售服务费。在计算主要财务指标时，A级基金份额与分级前基金连续计算，B级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r w:rsidRPr="000E4C40">
        <w:rPr>
          <w:color w:val="000000"/>
          <w:sz w:val="24"/>
        </w:rPr>
        <w:t/>
      </w:r>
      <w:proofErr w:type="spellEnd"/>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
      </w:r>
      <w:proofErr w:type="spellEnd"/>
      <w:r w:rsidR="00834F7F" w:rsidRPr="000E4C40">
        <w:rPr>
          <w:rFonts w:ascii="Times New Roman" w:hAnsi="Times New Roman"/>
          <w:b/>
          <w:color w:val="auto"/>
        </w:rPr>
        <w:t>交银货币A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0.6519%</w:t>
            </w:r>
          </w:p>
        </w:tc>
        <w:tc>
          <w:tcPr>
            <w:vAlign w:val="center"/>
          </w:tcPr>
          <w:p>
            <w:pPr>
              <w:jc w:val="center"/>
            </w:pPr>
            <w:r>
              <w:rPr>
                <w:rFonts w:ascii="Times New Roman" w:hAnsi="Times New Roman"/>
                <w:color w:val="000000"/>
              </w:rPr>
              <w:t>0.0012%</w:t>
            </w:r>
          </w:p>
        </w:tc>
        <w:tc>
          <w:tcPr>
            <w:vAlign w:val="center"/>
          </w:tcPr>
          <w:p>
            <w:pPr>
              <w:jc w:val="center"/>
            </w:pPr>
            <w:r>
              <w:rPr>
                <w:rFonts w:ascii="Times New Roman" w:hAnsi="Times New Roman"/>
                <w:color w:val="000000"/>
              </w:rPr>
              <w:t>0.3434%</w:t>
            </w:r>
          </w:p>
        </w:tc>
        <w:tc>
          <w:tcPr>
            <w:vAlign w:val="center"/>
          </w:tcPr>
          <w:p>
            <w:pPr>
              <w:jc w:val="center"/>
            </w:pPr>
            <w:r>
              <w:rPr>
                <w:rFonts w:ascii="Times New Roman" w:hAnsi="Times New Roman"/>
                <w:color w:val="000000"/>
              </w:rPr>
              <w:t>0.0003%</w:t>
            </w:r>
          </w:p>
        </w:tc>
        <w:tc>
          <w:tcPr>
            <w:vAlign w:val="center"/>
          </w:tcPr>
          <w:p>
            <w:pPr>
              <w:jc w:val="center"/>
            </w:pPr>
            <w:r>
              <w:rPr>
                <w:rFonts w:ascii="Times New Roman" w:hAnsi="Times New Roman"/>
                <w:color w:val="000000"/>
              </w:rPr>
              <w:t>0.3085%</w:t>
            </w:r>
          </w:p>
        </w:tc>
        <w:tc>
          <w:tcPr>
            <w:vAlign w:val="center"/>
          </w:tcPr>
          <w:p>
            <w:pPr>
              <w:jc w:val="center"/>
            </w:pPr>
            <w:r>
              <w:rPr>
                <w:rFonts w:ascii="Times New Roman" w:hAnsi="Times New Roman"/>
                <w:color w:val="000000"/>
              </w:rPr>
              <w:t>0.0009%</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注：本基金收益分配按月结转份额。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proofErr w:type="spellStart"/>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B2044" w:rsidRPr="000E4C40">
        <w:rPr>
          <w:rFonts w:ascii="Times New Roman" w:hAnsi="Times New Roman"/>
          <w:b/>
          <w:color w:val="000000"/>
        </w:rPr>
        <w:t/>
      </w:r>
      <w:proofErr w:type="spellEnd"/>
      <w:r w:rsidR="000B2044" w:rsidRPr="000E4C40">
        <w:rPr>
          <w:rFonts w:ascii="Times New Roman" w:hAnsi="Times New Roman"/>
          <w:b/>
          <w:color w:val="000000"/>
        </w:rPr>
        <w:t>交银货币B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0.7126%</w:t>
            </w:r>
          </w:p>
        </w:tc>
        <w:tc>
          <w:tcPr>
            <w:vAlign w:val="center"/>
          </w:tcPr>
          <w:p>
            <w:pPr>
              <w:jc w:val="center"/>
            </w:pPr>
            <w:r>
              <w:rPr>
                <w:rFonts w:ascii="Times New Roman" w:hAnsi="Times New Roman"/>
                <w:color w:val="000000"/>
              </w:rPr>
              <w:t>0.0012%</w:t>
            </w:r>
          </w:p>
        </w:tc>
        <w:tc>
          <w:tcPr>
            <w:vAlign w:val="center"/>
          </w:tcPr>
          <w:p>
            <w:pPr>
              <w:jc w:val="center"/>
            </w:pPr>
            <w:r>
              <w:rPr>
                <w:rFonts w:ascii="Times New Roman" w:hAnsi="Times New Roman"/>
                <w:color w:val="000000"/>
              </w:rPr>
              <w:t>0.3434%</w:t>
            </w:r>
          </w:p>
        </w:tc>
        <w:tc>
          <w:tcPr>
            <w:vAlign w:val="center"/>
          </w:tcPr>
          <w:p>
            <w:pPr>
              <w:jc w:val="center"/>
            </w:pPr>
            <w:r>
              <w:rPr>
                <w:rFonts w:ascii="Times New Roman" w:hAnsi="Times New Roman"/>
                <w:color w:val="000000"/>
              </w:rPr>
              <w:t>0.0003%</w:t>
            </w:r>
          </w:p>
        </w:tc>
        <w:tc>
          <w:tcPr>
            <w:vAlign w:val="center"/>
          </w:tcPr>
          <w:p>
            <w:pPr>
              <w:jc w:val="center"/>
            </w:pPr>
            <w:r>
              <w:rPr>
                <w:rFonts w:ascii="Times New Roman" w:hAnsi="Times New Roman"/>
                <w:color w:val="000000"/>
              </w:rPr>
              <w:t>0.3692%</w:t>
            </w:r>
          </w:p>
        </w:tc>
        <w:tc>
          <w:tcPr>
            <w:vAlign w:val="center"/>
          </w:tcPr>
          <w:p>
            <w:pPr>
              <w:jc w:val="center"/>
            </w:pPr>
            <w:r>
              <w:rPr>
                <w:rFonts w:ascii="Times New Roman" w:hAnsi="Times New Roman"/>
                <w:color w:val="000000"/>
              </w:rPr>
              <w:t>0.0009%</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Pr="000E4C40">
        <w:rPr>
          <w:color w:val="000000"/>
          <w:sz w:val="24"/>
        </w:rPr>
        <w:t>注：本基金收益分配按月结转份额。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w:t>
      </w:r>
      <w:r w:rsidR="001B1302" w:rsidRPr="000E4C40">
        <w:rPr>
          <w:rFonts w:hAnsi="宋体"/>
          <w:b/>
          <w:color w:val="000000"/>
          <w:kern w:val="0"/>
          <w:sz w:val="24"/>
        </w:rPr>
        <w:lastRenderedPageBreak/>
        <w:t>比较</w:t>
      </w:r>
    </w:p>
    <w:p w:rsidR="00E63B3D" w:rsidRPr="000E4C40" w:rsidRDefault="00E63B3D" w:rsidP="00281564">
      <w:pPr>
        <w:spacing w:before="29" w:line="288" w:lineRule="auto"/>
        <w:jc w:val="center"/>
        <w:rPr>
          <w:sz w:val="24"/>
        </w:rPr>
      </w:pPr>
      <w:r w:rsidRPr="000E4C40">
        <w:rPr>
          <w:sz w:val="24"/>
        </w:rPr>
        <w:t/>
      </w:r>
      <w:proofErr w:type="spellStart"/>
      <w:r w:rsidRPr="000E4C40">
        <w:rPr>
          <w:sz w:val="24"/>
        </w:rPr>
        <w:t/>
      </w:r>
      <w:proofErr w:type="spellEnd"/>
      <w:r w:rsidRPr="000E4C40">
        <w:rPr>
          <w:sz w:val="24"/>
        </w:rPr>
        <w:t>交银施罗德货币市场证券投资基金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2006年1月20日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2015年12月31日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交银货币A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注：图示日期为2006年1月20日至2015年12月31日。本基金建仓期为自基金合同生效日起的6个月。截至建仓期结束，本基金各项资产配置比例符合基金合同及招募说明书有关投资比例的约定。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
      </w:r>
      <w:proofErr w:type="spellStart"/>
      <w:r w:rsidR="005F668B" w:rsidRPr="000E4C40">
        <w:rPr>
          <w:color w:val="000000"/>
          <w:kern w:val="0"/>
          <w:sz w:val="24"/>
        </w:rPr>
        <w:t/>
      </w:r>
      <w:proofErr w:type="spellEnd"/>
      <w:r w:rsidR="005F668B" w:rsidRPr="000E4C40">
        <w:rPr>
          <w:color w:val="000000"/>
          <w:kern w:val="0"/>
          <w:sz w:val="24"/>
        </w:rPr>
        <w:t>交银货币B</w:t>
      </w:r>
    </w:p>
    <w:p w:rsidR="005F668B" w:rsidRPr="000E4C40" w:rsidRDefault="00F14672" w:rsidP="00281564">
      <w:pPr>
        <w:snapToGrid w:val="0"/>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注：图示日期为2007年6月22日至2015年12月31日。本基金建仓期为自基金合同生效日起的6个月。截至建仓期结束，本基金各项资产配置比例符合基金合同及招募说明书有关投资比例的约定。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F41AA6">
      <w:pPr>
        <w:pStyle w:val="1"/>
        <w:spacing w:beforeLines="100" w:after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交银货币、交银理财21天债券、交银现金宝货币、交银丰享收益债券、交银丰泽收益债券、交银裕通纯债债券的基金经理</w:t>
            </w:r>
          </w:p>
        </w:tc>
        <w:tc>
          <w:tcPr>
            <w:vAlign w:val="center"/>
          </w:tcPr>
          <w:p>
            <w:pPr>
              <w:jc w:val="center"/>
            </w:pPr>
            <w:r>
              <w:rPr>
                <w:color w:val="000000"/>
                <w:sz w:val="24"/>
              </w:rPr>
              <w:t>2015-05-27</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w:t>
            </w:r>
          </w:p>
        </w:tc>
      </w:tr>
      <w:tr>
        <w:tc>
          <w:tcPr>
            <w:vAlign w:val="center"/>
          </w:tcPr>
          <w:p>
            <w:pPr>
              <w:jc w:val="center"/>
            </w:pPr>
            <w:r>
              <w:rPr>
                <w:color w:val="000000"/>
                <w:sz w:val="24"/>
              </w:rPr>
              <w:t>连端清</w:t>
            </w:r>
          </w:p>
        </w:tc>
        <w:tc>
          <w:tcPr>
            <w:vAlign w:val="center"/>
          </w:tcPr>
          <w:p>
            <w:pPr>
              <w:jc w:val="center"/>
            </w:pPr>
            <w:r>
              <w:rPr>
                <w:color w:val="000000"/>
                <w:sz w:val="24"/>
              </w:rPr>
              <w:t>交银货币、交银理财60天债券、交银丰盈收益债券、交银现金宝货币、交银丰润收益债券的基金经理</w:t>
            </w:r>
          </w:p>
        </w:tc>
        <w:tc>
          <w:tcPr>
            <w:vAlign w:val="center"/>
          </w:tcPr>
          <w:p>
            <w:pPr>
              <w:jc w:val="center"/>
            </w:pPr>
            <w:r>
              <w:rPr>
                <w:color w:val="000000"/>
                <w:sz w:val="24"/>
              </w:rPr>
              <w:t>2015-10-16</w:t>
            </w:r>
          </w:p>
        </w:tc>
        <w:tc>
          <w:tcPr>
            <w:vAlign w:val="center"/>
          </w:tcPr>
          <w:p>
            <w:pPr>
              <w:jc w:val="center"/>
            </w:pPr>
            <w:r>
              <w:rPr>
                <w:color w:val="000000"/>
                <w:sz w:val="24"/>
              </w:rPr>
              <w:t>-</w:t>
            </w:r>
          </w:p>
        </w:tc>
        <w:tc>
          <w:tcPr>
            <w:vAlign w:val="center"/>
          </w:tcPr>
          <w:p>
            <w:pPr>
              <w:jc w:val="center"/>
            </w:pPr>
            <w:r>
              <w:rPr>
                <w:color w:val="000000"/>
                <w:sz w:val="24"/>
              </w:rPr>
              <w:t>4年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Chars="200" w:firstLine="480"/>
        <w:rPr>
          <w:color w:val="000000"/>
          <w:sz w:val="24"/>
        </w:rPr>
      </w:pPr>
      <w:r>
        <w:rPr>
          <w:color w:val="000000"/>
          <w:sz w:val="24"/>
        </w:rPr>
        <w:t>本报告期内，经济增长低迷，央行继续维持宽松的货币政策。货币市场利率维持低位，小幅波动，年末因素也并未对总体流动性造成太大的影响。受IPO重启的影响，债券收益率在10月底、11月初有一波明显的上行，后在经济数据疲弱、降准预期升温、机构对2016年一季度普遍乐观使配置需求提前释放等因素的影响下，收益率又快速下行到历史低位。2015年12月31日，10年期国债收益较上季度末大幅下行42bp到2.82%水平。</w:t>
      </w:r>
    </w:p>
    <w:p>
      <w:pPr>
        <w:spacing w:before="29" w:line="288" w:lineRule="auto"/>
        <w:ind w:firstLineChars="200" w:firstLine="480"/>
        <w:rPr>
          <w:color w:val="000000"/>
          <w:sz w:val="24"/>
        </w:rPr>
      </w:pPr>
      <w:r>
        <w:rPr>
          <w:color w:val="000000"/>
          <w:sz w:val="24"/>
        </w:rPr>
        <w:t>基金操作方面，本基金通过合理有效的久期管理，保障了组合充足的流动性。同时保持中性的债券仓位，分享了债券收益率下行带来的估值收益，组合总体运行平稳。</w:t>
      </w:r>
    </w:p>
    <w:p w:rsidR="00C4627A" w:rsidRPr="000E4C40" w:rsidRDefault="00C4627A" w:rsidP="00281564">
      <w:pPr>
        <w:spacing w:before="29" w:line="288" w:lineRule="auto"/>
        <w:ind w:firstLineChars="200" w:firstLine="48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展望2016年，预计经济基本面依旧疲弱，通胀仍将维持低位，货币宽松也将延续，降息降准周期尚未结束，债券收益率预计仍是下行趋势，但考虑到整体收益率已经处于历史低位，预计债市波动性大的特征会贯穿始终。此外随着去产能提速，部分企业或将面临破产或兼并重组，相关信用风险值得警惕。组合管理方面，本基金将注意跟踪流动性变化趋势并有针对性地作出资金安排，保障流动性充裕和资金安全。同时密切关注经济走势和政策变化，审时度势选择合适的投资品种，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
      </w:r>
      <w:proofErr w:type="spellStart"/>
      <w:r w:rsidRPr="000E4C40">
        <w:rPr>
          <w:color w:val="000000"/>
          <w:sz w:val="24"/>
        </w:rPr>
        <w:t/>
      </w:r>
      <w:proofErr w:type="spellEnd"/>
      <w:r w:rsidRPr="000E4C40">
        <w:rPr>
          <w:color w:val="000000"/>
          <w:sz w:val="24"/>
        </w:rPr>
        <w:t>本报告期内，交银货币A净值收益率为0.6519%，同期业绩比较基准收益率为0.3434%；交银货币B净值收益率为0.7126%，同期业绩比较基准收益率为0.3434%。</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F41AA6">
      <w:pPr>
        <w:pStyle w:val="1"/>
        <w:spacing w:beforeLines="100" w:after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12,023,618,326.32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41.61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12,023,618,326.32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
            </w:r>
            <w:r w:rsidRPr="000E4C40">
              <w:rPr>
                <w:color w:val="000000"/>
                <w:sz w:val="24"/>
              </w:rPr>
              <w:lastRenderedPageBreak/>
              <w:t>41.61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8,156,605,194.91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28.23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8,546,168,488.48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29.58</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lastRenderedPageBreak/>
              <w:t/>
            </w:r>
            <w:r w:rsidR="00B4354A"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167,092,412.19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0.58</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28,893,484,421.90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1.61</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0D6294" w:rsidP="00281564">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102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131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76</w:t>
            </w:r>
          </w:p>
        </w:tc>
      </w:tr>
    </w:tbl>
    <w:p w:rsidR="007521F9" w:rsidRPr="000E4C40" w:rsidRDefault="007521F9" w:rsidP="00281564">
      <w:pPr>
        <w:spacing w:before="29" w:line="288" w:lineRule="auto"/>
        <w:rPr>
          <w:b/>
          <w:sz w:val="24"/>
        </w:rPr>
      </w:pPr>
    </w:p>
    <w:p w:rsidR="007277D1" w:rsidRPr="000E4C40" w:rsidRDefault="000D6294" w:rsidP="00281564">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7277D1" w:rsidRPr="000E4C40">
        <w:rPr>
          <w:b/>
          <w:color w:val="000000"/>
          <w:kern w:val="0"/>
          <w:sz w:val="24"/>
        </w:rPr>
        <w:t>180</w:t>
      </w:r>
      <w:r w:rsidR="007277D1" w:rsidRPr="000E4C40">
        <w:rPr>
          <w:rFonts w:hAnsi="宋体"/>
          <w:b/>
          <w:color w:val="000000"/>
          <w:kern w:val="0"/>
          <w:sz w:val="24"/>
        </w:rPr>
        <w:t>天情况说明</w:t>
      </w:r>
    </w:p>
    <w:p w:rsidR="00193BCF" w:rsidRPr="000E4C40" w:rsidRDefault="007521F9" w:rsidP="00281564">
      <w:pPr>
        <w:autoSpaceDE w:val="0"/>
        <w:autoSpaceDN w:val="0"/>
        <w:adjustRightInd w:val="0"/>
        <w:spacing w:before="29" w:line="288" w:lineRule="auto"/>
        <w:jc w:val="left"/>
        <w:rPr>
          <w:color w:val="000000"/>
          <w:sz w:val="24"/>
        </w:rPr>
      </w:pPr>
      <w:r w:rsidRPr="000E4C40">
        <w:rPr>
          <w:color w:val="000000"/>
          <w:sz w:val="24"/>
        </w:rPr>
        <w:lastRenderedPageBreak/>
        <w:t>本基金本报告期内投资组合平均剩余期限未超过180天。</w:t>
      </w:r>
    </w:p>
    <w:p w:rsidR="007521F9" w:rsidRPr="000E4C40" w:rsidRDefault="007521F9"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34.50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3.26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17.84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
            </w:r>
            <w:r w:rsidRPr="000E4C40">
              <w:rPr>
                <w:color w:val="000000"/>
                <w:sz w:val="24"/>
              </w:rPr>
              <w:lastRenderedPageBreak/>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23.83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20.16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99.59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bl>
    <w:p w:rsidR="007521F9" w:rsidRPr="000E4C40" w:rsidRDefault="007521F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r w:rsidRPr="000E4C40">
              <w:rPr>
                <w:color w:val="000000"/>
                <w:sz w:val="24"/>
              </w:rPr>
              <w:lastRenderedPageBreak/>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1,451,387,515.80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1,451,387,515.80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39,953,588.19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0.14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6,040,573,825.09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20.94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r w:rsidR="00D30BD3" w:rsidRPr="000E4C40">
              <w:rPr>
                <w:color w:val="000000"/>
                <w:sz w:val="24"/>
              </w:rPr>
              <w:t/>
            </w:r>
            <w:r w:rsidR="00D30BD3" w:rsidRPr="000E4C40">
              <w:rPr>
                <w:color w:val="000000"/>
                <w:sz w:val="24"/>
              </w:rPr>
              <w:lastRenderedPageBreak/>
              <w:t/>
            </w: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lastRenderedPageBreak/>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4,491,703,397.24</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15.57</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12,023,618,326.32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41.68</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Ind w:w="15" w:type="dxa"/>
        <w:tblCellMar>
          <w:top w:w="57" w:type="dxa"/>
          <w:bottom w:w="57" w:type="dxa"/>
        </w:tblCellMar>
        <w:tblLook w:val="04A0"/>
      </w:tblPr>
      <w:tblGrid>
        <w:gridCol w:w="1203"/>
        <w:gridCol w:w="1258"/>
        <w:gridCol w:w="1437"/>
        <w:gridCol w:w="1334"/>
        <w:gridCol w:w="2244"/>
        <w:gridCol w:w="1811"/>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111591940</w:t>
            </w:r>
          </w:p>
        </w:tc>
        <w:tc>
          <w:tcPr>
            <w:vAlign w:val="center"/>
          </w:tcPr>
          <w:p>
            <w:pPr>
              <w:jc w:val="center"/>
            </w:pPr>
            <w:r>
              <w:rPr>
                <w:color w:val="000000"/>
                <w:sz w:val="24"/>
              </w:rPr>
              <w:t>15西安银行CD006</w:t>
            </w:r>
          </w:p>
        </w:tc>
        <w:tc>
          <w:tcPr>
            <w:vAlign w:val="center"/>
          </w:tcPr>
          <w:p>
            <w:pPr>
              <w:jc w:val="right"/>
            </w:pPr>
            <w:r>
              <w:rPr>
                <w:color w:val="000000"/>
                <w:sz w:val="24"/>
              </w:rPr>
              <w:t>4,500,000</w:t>
            </w:r>
          </w:p>
        </w:tc>
        <w:tc>
          <w:tcPr>
            <w:vAlign w:val="center"/>
          </w:tcPr>
          <w:p>
            <w:pPr>
              <w:jc w:val="right"/>
            </w:pPr>
            <w:r>
              <w:rPr>
                <w:color w:val="000000"/>
                <w:sz w:val="24"/>
              </w:rPr>
              <w:t>446,016,185.59</w:t>
            </w:r>
          </w:p>
        </w:tc>
        <w:tc>
          <w:tcPr>
            <w:vAlign w:val="center"/>
          </w:tcPr>
          <w:p>
            <w:pPr>
              <w:jc w:val="right"/>
            </w:pPr>
            <w:r>
              <w:rPr>
                <w:color w:val="000000"/>
                <w:sz w:val="24"/>
              </w:rPr>
              <w:t>1.55</w:t>
            </w:r>
          </w:p>
        </w:tc>
      </w:tr>
      <w:tr>
        <w:tc>
          <w:tcPr>
            <w:vAlign w:val="center"/>
          </w:tcPr>
          <w:p>
            <w:pPr>
              <w:jc w:val="center"/>
            </w:pPr>
            <w:r>
              <w:rPr>
                <w:color w:val="000000"/>
                <w:sz w:val="24"/>
              </w:rPr>
              <w:t>2</w:t>
            </w:r>
          </w:p>
        </w:tc>
        <w:tc>
          <w:tcPr>
            <w:vAlign w:val="center"/>
          </w:tcPr>
          <w:p>
            <w:pPr>
              <w:jc w:val="center"/>
            </w:pPr>
            <w:r>
              <w:rPr>
                <w:color w:val="000000"/>
                <w:sz w:val="24"/>
              </w:rPr>
              <w:t>150403</w:t>
            </w:r>
          </w:p>
        </w:tc>
        <w:tc>
          <w:tcPr>
            <w:vAlign w:val="center"/>
          </w:tcPr>
          <w:p>
            <w:pPr>
              <w:jc w:val="center"/>
            </w:pPr>
            <w:r>
              <w:rPr>
                <w:color w:val="000000"/>
                <w:sz w:val="24"/>
              </w:rPr>
              <w:t>15农发03</w:t>
            </w:r>
          </w:p>
        </w:tc>
        <w:tc>
          <w:tcPr>
            <w:vAlign w:val="center"/>
          </w:tcPr>
          <w:p>
            <w:pPr>
              <w:jc w:val="right"/>
            </w:pPr>
            <w:r>
              <w:rPr>
                <w:color w:val="000000"/>
                <w:sz w:val="24"/>
              </w:rPr>
              <w:t>3,500,000</w:t>
            </w:r>
          </w:p>
        </w:tc>
        <w:tc>
          <w:tcPr>
            <w:vAlign w:val="center"/>
          </w:tcPr>
          <w:p>
            <w:pPr>
              <w:jc w:val="right"/>
            </w:pPr>
            <w:r>
              <w:rPr>
                <w:color w:val="000000"/>
                <w:sz w:val="24"/>
              </w:rPr>
              <w:t>350,479,632.78</w:t>
            </w:r>
          </w:p>
        </w:tc>
        <w:tc>
          <w:tcPr>
            <w:vAlign w:val="center"/>
          </w:tcPr>
          <w:p>
            <w:pPr>
              <w:jc w:val="right"/>
            </w:pPr>
            <w:r>
              <w:rPr>
                <w:color w:val="000000"/>
                <w:sz w:val="24"/>
              </w:rPr>
              <w:t>1.22</w:t>
            </w:r>
          </w:p>
        </w:tc>
      </w:tr>
      <w:tr>
        <w:tc>
          <w:tcPr>
            <w:vAlign w:val="center"/>
          </w:tcPr>
          <w:p>
            <w:pPr>
              <w:jc w:val="center"/>
            </w:pPr>
            <w:r>
              <w:rPr>
                <w:color w:val="000000"/>
                <w:sz w:val="24"/>
              </w:rPr>
              <w:t>3</w:t>
            </w:r>
          </w:p>
        </w:tc>
        <w:tc>
          <w:tcPr>
            <w:vAlign w:val="center"/>
          </w:tcPr>
          <w:p>
            <w:pPr>
              <w:jc w:val="center"/>
            </w:pPr>
            <w:r>
              <w:rPr>
                <w:color w:val="000000"/>
                <w:sz w:val="24"/>
              </w:rPr>
              <w:t>150411</w:t>
            </w:r>
          </w:p>
        </w:tc>
        <w:tc>
          <w:tcPr>
            <w:vAlign w:val="center"/>
          </w:tcPr>
          <w:p>
            <w:pPr>
              <w:jc w:val="center"/>
            </w:pPr>
            <w:r>
              <w:rPr>
                <w:color w:val="000000"/>
                <w:sz w:val="24"/>
              </w:rPr>
              <w:t>15农发11</w:t>
            </w:r>
          </w:p>
        </w:tc>
        <w:tc>
          <w:tcPr>
            <w:vAlign w:val="center"/>
          </w:tcPr>
          <w:p>
            <w:pPr>
              <w:jc w:val="right"/>
            </w:pPr>
            <w:r>
              <w:rPr>
                <w:color w:val="000000"/>
                <w:sz w:val="24"/>
              </w:rPr>
              <w:t>3,200,000</w:t>
            </w:r>
          </w:p>
        </w:tc>
        <w:tc>
          <w:tcPr>
            <w:vAlign w:val="center"/>
          </w:tcPr>
          <w:p>
            <w:pPr>
              <w:jc w:val="right"/>
            </w:pPr>
            <w:r>
              <w:rPr>
                <w:color w:val="000000"/>
                <w:sz w:val="24"/>
              </w:rPr>
              <w:t>320,564,876.59</w:t>
            </w:r>
          </w:p>
        </w:tc>
        <w:tc>
          <w:tcPr>
            <w:vAlign w:val="center"/>
          </w:tcPr>
          <w:p>
            <w:pPr>
              <w:jc w:val="right"/>
            </w:pPr>
            <w:r>
              <w:rPr>
                <w:color w:val="000000"/>
                <w:sz w:val="24"/>
              </w:rPr>
              <w:t>1.11</w:t>
            </w:r>
          </w:p>
        </w:tc>
      </w:tr>
      <w:tr>
        <w:tc>
          <w:tcPr>
            <w:vAlign w:val="center"/>
          </w:tcPr>
          <w:p>
            <w:pPr>
              <w:jc w:val="center"/>
            </w:pPr>
            <w:r>
              <w:rPr>
                <w:color w:val="000000"/>
                <w:sz w:val="24"/>
              </w:rPr>
              <w:t>4</w:t>
            </w:r>
          </w:p>
        </w:tc>
        <w:tc>
          <w:tcPr>
            <w:vAlign w:val="center"/>
          </w:tcPr>
          <w:p>
            <w:pPr>
              <w:jc w:val="center"/>
            </w:pPr>
            <w:r>
              <w:rPr>
                <w:color w:val="000000"/>
                <w:sz w:val="24"/>
              </w:rPr>
              <w:t>011599841</w:t>
            </w:r>
          </w:p>
        </w:tc>
        <w:tc>
          <w:tcPr>
            <w:vAlign w:val="center"/>
          </w:tcPr>
          <w:p>
            <w:pPr>
              <w:jc w:val="center"/>
            </w:pPr>
            <w:r>
              <w:rPr>
                <w:color w:val="000000"/>
                <w:sz w:val="24"/>
              </w:rPr>
              <w:t>15陕煤化SCP008</w:t>
            </w:r>
          </w:p>
        </w:tc>
        <w:tc>
          <w:tcPr>
            <w:vAlign w:val="center"/>
          </w:tcPr>
          <w:p>
            <w:pPr>
              <w:jc w:val="right"/>
            </w:pPr>
            <w:r>
              <w:rPr>
                <w:color w:val="000000"/>
                <w:sz w:val="24"/>
              </w:rPr>
              <w:t>3,000,000</w:t>
            </w:r>
          </w:p>
        </w:tc>
        <w:tc>
          <w:tcPr>
            <w:vAlign w:val="center"/>
          </w:tcPr>
          <w:p>
            <w:pPr>
              <w:jc w:val="right"/>
            </w:pPr>
            <w:r>
              <w:rPr>
                <w:color w:val="000000"/>
                <w:sz w:val="24"/>
              </w:rPr>
              <w:t>299,877,329.97</w:t>
            </w:r>
          </w:p>
        </w:tc>
        <w:tc>
          <w:tcPr>
            <w:vAlign w:val="center"/>
          </w:tcPr>
          <w:p>
            <w:pPr>
              <w:jc w:val="right"/>
            </w:pPr>
            <w:r>
              <w:rPr>
                <w:color w:val="000000"/>
                <w:sz w:val="24"/>
              </w:rPr>
              <w:t>1.04</w:t>
            </w:r>
          </w:p>
        </w:tc>
      </w:tr>
      <w:tr>
        <w:tc>
          <w:tcPr>
            <w:vAlign w:val="center"/>
          </w:tcPr>
          <w:p>
            <w:pPr>
              <w:jc w:val="center"/>
            </w:pPr>
            <w:r>
              <w:rPr>
                <w:color w:val="000000"/>
                <w:sz w:val="24"/>
              </w:rPr>
              <w:t>5</w:t>
            </w:r>
          </w:p>
        </w:tc>
        <w:tc>
          <w:tcPr>
            <w:vAlign w:val="center"/>
          </w:tcPr>
          <w:p>
            <w:pPr>
              <w:jc w:val="center"/>
            </w:pPr>
            <w:r>
              <w:rPr>
                <w:color w:val="000000"/>
                <w:sz w:val="24"/>
              </w:rPr>
              <w:t>111592079</w:t>
            </w:r>
          </w:p>
        </w:tc>
        <w:tc>
          <w:tcPr>
            <w:vAlign w:val="center"/>
          </w:tcPr>
          <w:p>
            <w:pPr>
              <w:jc w:val="center"/>
            </w:pPr>
            <w:r>
              <w:rPr>
                <w:color w:val="000000"/>
                <w:sz w:val="24"/>
              </w:rPr>
              <w:t>15成都银行CD031</w:t>
            </w:r>
          </w:p>
        </w:tc>
        <w:tc>
          <w:tcPr>
            <w:vAlign w:val="center"/>
          </w:tcPr>
          <w:p>
            <w:pPr>
              <w:jc w:val="right"/>
            </w:pPr>
            <w:r>
              <w:rPr>
                <w:color w:val="000000"/>
                <w:sz w:val="24"/>
              </w:rPr>
              <w:t>3,000,000</w:t>
            </w:r>
          </w:p>
        </w:tc>
        <w:tc>
          <w:tcPr>
            <w:vAlign w:val="center"/>
          </w:tcPr>
          <w:p>
            <w:pPr>
              <w:jc w:val="right"/>
            </w:pPr>
            <w:r>
              <w:rPr>
                <w:color w:val="000000"/>
                <w:sz w:val="24"/>
              </w:rPr>
              <w:t>299,461,720.71</w:t>
            </w:r>
          </w:p>
        </w:tc>
        <w:tc>
          <w:tcPr>
            <w:vAlign w:val="center"/>
          </w:tcPr>
          <w:p>
            <w:pPr>
              <w:jc w:val="right"/>
            </w:pPr>
            <w:r>
              <w:rPr>
                <w:color w:val="000000"/>
                <w:sz w:val="24"/>
              </w:rPr>
              <w:t>1.04</w:t>
            </w:r>
          </w:p>
        </w:tc>
      </w:tr>
      <w:tr>
        <w:tc>
          <w:tcPr>
            <w:vAlign w:val="center"/>
          </w:tcPr>
          <w:p>
            <w:pPr>
              <w:jc w:val="center"/>
            </w:pPr>
            <w:r>
              <w:rPr>
                <w:color w:val="000000"/>
                <w:sz w:val="24"/>
              </w:rPr>
              <w:t>6</w:t>
            </w:r>
          </w:p>
        </w:tc>
        <w:tc>
          <w:tcPr>
            <w:vAlign w:val="center"/>
          </w:tcPr>
          <w:p>
            <w:pPr>
              <w:jc w:val="center"/>
            </w:pPr>
            <w:r>
              <w:rPr>
                <w:color w:val="000000"/>
                <w:sz w:val="24"/>
              </w:rPr>
              <w:t>111592659</w:t>
            </w:r>
          </w:p>
        </w:tc>
        <w:tc>
          <w:tcPr>
            <w:vAlign w:val="center"/>
          </w:tcPr>
          <w:p>
            <w:pPr>
              <w:jc w:val="center"/>
            </w:pPr>
            <w:r>
              <w:rPr>
                <w:color w:val="000000"/>
                <w:sz w:val="24"/>
              </w:rPr>
              <w:t>15苏州银行CD018</w:t>
            </w:r>
          </w:p>
        </w:tc>
        <w:tc>
          <w:tcPr>
            <w:vAlign w:val="center"/>
          </w:tcPr>
          <w:p>
            <w:pPr>
              <w:jc w:val="right"/>
            </w:pPr>
            <w:r>
              <w:rPr>
                <w:color w:val="000000"/>
                <w:sz w:val="24"/>
              </w:rPr>
              <w:t>3,000,000</w:t>
            </w:r>
          </w:p>
        </w:tc>
        <w:tc>
          <w:tcPr>
            <w:vAlign w:val="center"/>
          </w:tcPr>
          <w:p>
            <w:pPr>
              <w:jc w:val="right"/>
            </w:pPr>
            <w:r>
              <w:rPr>
                <w:color w:val="000000"/>
                <w:sz w:val="24"/>
              </w:rPr>
              <w:t>295,961,955.65</w:t>
            </w:r>
          </w:p>
        </w:tc>
        <w:tc>
          <w:tcPr>
            <w:vAlign w:val="center"/>
          </w:tcPr>
          <w:p>
            <w:pPr>
              <w:jc w:val="right"/>
            </w:pPr>
            <w:r>
              <w:rPr>
                <w:color w:val="000000"/>
                <w:sz w:val="24"/>
              </w:rPr>
              <w:t>1.03</w:t>
            </w:r>
          </w:p>
        </w:tc>
      </w:tr>
      <w:tr>
        <w:tc>
          <w:tcPr>
            <w:vAlign w:val="center"/>
          </w:tcPr>
          <w:p>
            <w:pPr>
              <w:jc w:val="center"/>
            </w:pPr>
            <w:r>
              <w:rPr>
                <w:color w:val="000000"/>
                <w:sz w:val="24"/>
              </w:rPr>
              <w:t>7</w:t>
            </w:r>
          </w:p>
        </w:tc>
        <w:tc>
          <w:tcPr>
            <w:vAlign w:val="center"/>
          </w:tcPr>
          <w:p>
            <w:pPr>
              <w:jc w:val="center"/>
            </w:pPr>
            <w:r>
              <w:rPr>
                <w:color w:val="000000"/>
                <w:sz w:val="24"/>
              </w:rPr>
              <w:t>150211</w:t>
            </w:r>
          </w:p>
        </w:tc>
        <w:tc>
          <w:tcPr>
            <w:vAlign w:val="center"/>
          </w:tcPr>
          <w:p>
            <w:pPr>
              <w:jc w:val="center"/>
            </w:pPr>
            <w:r>
              <w:rPr>
                <w:color w:val="000000"/>
                <w:sz w:val="24"/>
              </w:rPr>
              <w:t>15国开11</w:t>
            </w:r>
          </w:p>
        </w:tc>
        <w:tc>
          <w:tcPr>
            <w:vAlign w:val="center"/>
          </w:tcPr>
          <w:p>
            <w:pPr>
              <w:jc w:val="right"/>
            </w:pPr>
            <w:r>
              <w:rPr>
                <w:color w:val="000000"/>
                <w:sz w:val="24"/>
              </w:rPr>
              <w:t>2,000,000</w:t>
            </w:r>
          </w:p>
        </w:tc>
        <w:tc>
          <w:tcPr>
            <w:vAlign w:val="center"/>
          </w:tcPr>
          <w:p>
            <w:pPr>
              <w:jc w:val="right"/>
            </w:pPr>
            <w:r>
              <w:rPr>
                <w:color w:val="000000"/>
                <w:sz w:val="24"/>
              </w:rPr>
              <w:t>200,397,515.73</w:t>
            </w:r>
          </w:p>
        </w:tc>
        <w:tc>
          <w:tcPr>
            <w:vAlign w:val="center"/>
          </w:tcPr>
          <w:p>
            <w:pPr>
              <w:jc w:val="right"/>
            </w:pPr>
            <w:r>
              <w:rPr>
                <w:color w:val="000000"/>
                <w:sz w:val="24"/>
              </w:rPr>
              <w:t>0.69</w:t>
            </w:r>
          </w:p>
        </w:tc>
      </w:tr>
      <w:tr>
        <w:tc>
          <w:tcPr>
            <w:vAlign w:val="center"/>
          </w:tcPr>
          <w:p>
            <w:pPr>
              <w:jc w:val="center"/>
            </w:pPr>
            <w:r>
              <w:rPr>
                <w:color w:val="000000"/>
                <w:sz w:val="24"/>
              </w:rPr>
              <w:t>8</w:t>
            </w:r>
          </w:p>
        </w:tc>
        <w:tc>
          <w:tcPr>
            <w:vAlign w:val="center"/>
          </w:tcPr>
          <w:p>
            <w:pPr>
              <w:jc w:val="center"/>
            </w:pPr>
            <w:r>
              <w:rPr>
                <w:color w:val="000000"/>
                <w:sz w:val="24"/>
              </w:rPr>
              <w:t>150416</w:t>
            </w:r>
          </w:p>
        </w:tc>
        <w:tc>
          <w:tcPr>
            <w:vAlign w:val="center"/>
          </w:tcPr>
          <w:p>
            <w:pPr>
              <w:jc w:val="center"/>
            </w:pPr>
            <w:r>
              <w:rPr>
                <w:color w:val="000000"/>
                <w:sz w:val="24"/>
              </w:rPr>
              <w:t>15农发16</w:t>
            </w:r>
          </w:p>
        </w:tc>
        <w:tc>
          <w:tcPr>
            <w:vAlign w:val="center"/>
          </w:tcPr>
          <w:p>
            <w:pPr>
              <w:jc w:val="right"/>
            </w:pPr>
            <w:r>
              <w:rPr>
                <w:color w:val="000000"/>
                <w:sz w:val="24"/>
              </w:rPr>
              <w:t>2,000,000</w:t>
            </w:r>
          </w:p>
        </w:tc>
        <w:tc>
          <w:tcPr>
            <w:vAlign w:val="center"/>
          </w:tcPr>
          <w:p>
            <w:pPr>
              <w:jc w:val="right"/>
            </w:pPr>
            <w:r>
              <w:rPr>
                <w:color w:val="000000"/>
                <w:sz w:val="24"/>
              </w:rPr>
              <w:t>200,049,679.17</w:t>
            </w:r>
          </w:p>
        </w:tc>
        <w:tc>
          <w:tcPr>
            <w:vAlign w:val="center"/>
          </w:tcPr>
          <w:p>
            <w:pPr>
              <w:jc w:val="right"/>
            </w:pPr>
            <w:r>
              <w:rPr>
                <w:color w:val="000000"/>
                <w:sz w:val="24"/>
              </w:rPr>
              <w:t>0.69</w:t>
            </w:r>
          </w:p>
        </w:tc>
      </w:tr>
      <w:tr>
        <w:tc>
          <w:tcPr>
            <w:vAlign w:val="center"/>
          </w:tcPr>
          <w:p>
            <w:pPr>
              <w:jc w:val="center"/>
            </w:pPr>
            <w:r>
              <w:rPr>
                <w:color w:val="000000"/>
                <w:sz w:val="24"/>
              </w:rPr>
              <w:t>9</w:t>
            </w:r>
          </w:p>
        </w:tc>
        <w:tc>
          <w:tcPr>
            <w:vAlign w:val="center"/>
          </w:tcPr>
          <w:p>
            <w:pPr>
              <w:jc w:val="center"/>
            </w:pPr>
            <w:r>
              <w:rPr>
                <w:color w:val="000000"/>
                <w:sz w:val="24"/>
              </w:rPr>
              <w:t>041555013</w:t>
            </w:r>
          </w:p>
        </w:tc>
        <w:tc>
          <w:tcPr>
            <w:vAlign w:val="center"/>
          </w:tcPr>
          <w:p>
            <w:pPr>
              <w:jc w:val="center"/>
            </w:pPr>
            <w:r>
              <w:rPr>
                <w:color w:val="000000"/>
                <w:sz w:val="24"/>
              </w:rPr>
              <w:t>15陕延油CP001</w:t>
            </w:r>
          </w:p>
        </w:tc>
        <w:tc>
          <w:tcPr>
            <w:vAlign w:val="center"/>
          </w:tcPr>
          <w:p>
            <w:pPr>
              <w:jc w:val="right"/>
            </w:pPr>
            <w:r>
              <w:rPr>
                <w:color w:val="000000"/>
                <w:sz w:val="24"/>
              </w:rPr>
              <w:t>2,000,000</w:t>
            </w:r>
          </w:p>
        </w:tc>
        <w:tc>
          <w:tcPr>
            <w:vAlign w:val="center"/>
          </w:tcPr>
          <w:p>
            <w:pPr>
              <w:jc w:val="right"/>
            </w:pPr>
            <w:r>
              <w:rPr>
                <w:color w:val="000000"/>
                <w:sz w:val="24"/>
              </w:rPr>
              <w:t>199,972,715.20</w:t>
            </w:r>
          </w:p>
        </w:tc>
        <w:tc>
          <w:tcPr>
            <w:vAlign w:val="center"/>
          </w:tcPr>
          <w:p>
            <w:pPr>
              <w:jc w:val="right"/>
            </w:pPr>
            <w:r>
              <w:rPr>
                <w:color w:val="000000"/>
                <w:sz w:val="24"/>
              </w:rPr>
              <w:t>0.69</w:t>
            </w:r>
          </w:p>
        </w:tc>
      </w:tr>
      <w:tr>
        <w:tc>
          <w:tcPr>
            <w:vAlign w:val="center"/>
          </w:tcPr>
          <w:p>
            <w:pPr>
              <w:jc w:val="center"/>
            </w:pPr>
            <w:r>
              <w:rPr>
                <w:color w:val="000000"/>
                <w:sz w:val="24"/>
              </w:rPr>
              <w:t>10</w:t>
            </w:r>
          </w:p>
        </w:tc>
        <w:tc>
          <w:tcPr>
            <w:vAlign w:val="center"/>
          </w:tcPr>
          <w:p>
            <w:pPr>
              <w:jc w:val="center"/>
            </w:pPr>
            <w:r>
              <w:rPr>
                <w:color w:val="000000"/>
                <w:sz w:val="24"/>
              </w:rPr>
              <w:t>041562020</w:t>
            </w:r>
          </w:p>
        </w:tc>
        <w:tc>
          <w:tcPr>
            <w:vAlign w:val="center"/>
          </w:tcPr>
          <w:p>
            <w:pPr>
              <w:jc w:val="center"/>
            </w:pPr>
            <w:r>
              <w:rPr>
                <w:color w:val="000000"/>
                <w:sz w:val="24"/>
              </w:rPr>
              <w:t>15沪世茂CP002</w:t>
            </w:r>
          </w:p>
        </w:tc>
        <w:tc>
          <w:tcPr>
            <w:vAlign w:val="center"/>
          </w:tcPr>
          <w:p>
            <w:pPr>
              <w:jc w:val="right"/>
            </w:pPr>
            <w:r>
              <w:rPr>
                <w:color w:val="000000"/>
                <w:sz w:val="24"/>
              </w:rPr>
              <w:t>2,000,000</w:t>
            </w:r>
          </w:p>
        </w:tc>
        <w:tc>
          <w:tcPr>
            <w:vAlign w:val="center"/>
          </w:tcPr>
          <w:p>
            <w:pPr>
              <w:jc w:val="right"/>
            </w:pPr>
            <w:r>
              <w:rPr>
                <w:color w:val="000000"/>
                <w:sz w:val="24"/>
              </w:rPr>
              <w:t>199,968,769.31</w:t>
            </w:r>
          </w:p>
        </w:tc>
        <w:tc>
          <w:tcPr>
            <w:vAlign w:val="center"/>
          </w:tcPr>
          <w:p>
            <w:pPr>
              <w:jc w:val="right"/>
            </w:pPr>
            <w:r>
              <w:rPr>
                <w:color w:val="000000"/>
                <w:sz w:val="24"/>
              </w:rPr>
              <w:t>0.69</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0.1186%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0.0552%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0.0897%</w:t>
            </w:r>
          </w:p>
        </w:tc>
      </w:tr>
    </w:tbl>
    <w:p w:rsidR="00BE5584" w:rsidRPr="000E4C40" w:rsidRDefault="00BE5584"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340292" w:rsidRPr="000E4C40" w:rsidRDefault="00BB03CC" w:rsidP="00930856">
      <w:pPr>
        <w:spacing w:before="29" w:line="288" w:lineRule="auto"/>
        <w:rPr>
          <w:sz w:val="24"/>
        </w:rPr>
      </w:pPr>
      <w:r w:rsidRPr="000E4C40">
        <w:rPr>
          <w:sz w:val="24"/>
        </w:rPr>
        <w:t/>
      </w:r>
      <w:r w:rsidR="00340292" w:rsidRPr="000E4C40">
        <w:rPr>
          <w:sz w:val="24"/>
        </w:rPr>
        <w:t>5.8.2本基金报告期每日持有剩余期限小于397天但剩余存续期超过397天的浮动利率债券的摊余成本均未超过当日基金资产净值的20%。</w:t>
      </w:r>
    </w:p>
    <w:p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Ind w:w="17" w:type="dxa"/>
        <w:tblLayout w:type="fixed"/>
        <w:tblLook w:val="04A0"/>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Pr="000E4C40">
              <w:rPr>
                <w:color w:val="000000"/>
                <w:kern w:val="0"/>
                <w:sz w:val="24"/>
              </w:rPr>
              <w:lastRenderedPageBreak/>
              <w:t/>
            </w:r>
            <w:proofErr w:type="spellEnd"/>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lastRenderedPageBreak/>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104,331,874.57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62,760,537.62</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167,092,412.19</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DA5831" w:rsidP="00281564">
      <w:pPr>
        <w:spacing w:before="29" w:line="288" w:lineRule="auto"/>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452D31"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
      </w:r>
      <w:proofErr w:type="spellStart"/>
      <w:r w:rsidR="000C469F" w:rsidRPr="000E4C40">
        <w:rPr>
          <w:color w:val="000000"/>
          <w:sz w:val="24"/>
        </w:rPr>
        <w:t/>
      </w:r>
      <w:proofErr w:type="spellEnd"/>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F41AA6">
      <w:pPr>
        <w:pStyle w:val="1"/>
        <w:spacing w:beforeLines="100" w:after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color w:val="000000"/>
                <w:kern w:val="0"/>
                <w:sz w:val="24"/>
              </w:rPr>
              <w:t/>
            </w:r>
            <w:r w:rsidRPr="000E4C40">
              <w:rPr>
                <w:sz w:val="24"/>
              </w:rPr>
              <w:t/>
            </w:r>
            <w:r w:rsidR="00327FB0" w:rsidRPr="000E4C40">
              <w:rPr>
                <w:sz w:val="24"/>
              </w:rPr>
              <w:t/>
            </w:r>
            <w:r w:rsidRPr="000E4C40">
              <w:rPr>
                <w:sz w:val="24"/>
              </w:rPr>
              <w:t/>
            </w:r>
            <w:proofErr w:type="spellEnd"/>
            <w:r w:rsidRPr="000E4C40">
              <w:rPr>
                <w:sz w:val="24"/>
              </w:rPr>
              <w:t>交银货币A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color w:val="000000"/>
                <w:kern w:val="0"/>
                <w:sz w:val="24"/>
              </w:rPr>
              <w:t/>
            </w:r>
            <w:r w:rsidRPr="000E4C40">
              <w:rPr>
                <w:sz w:val="24"/>
              </w:rPr>
              <w:t/>
            </w:r>
            <w:r w:rsidR="00327FB0" w:rsidRPr="000E4C40">
              <w:rPr>
                <w:sz w:val="24"/>
              </w:rPr>
              <w:t/>
            </w:r>
            <w:r w:rsidRPr="000E4C40">
              <w:rPr>
                <w:sz w:val="24"/>
              </w:rPr>
              <w:t/>
            </w:r>
            <w:proofErr w:type="spellEnd"/>
            <w:r w:rsidRPr="000E4C40">
              <w:rPr>
                <w:sz w:val="24"/>
              </w:rPr>
              <w:t>交银货币B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986,162,632.42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19,093,351,738.84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27FB0" w:rsidRPr="000E4C40">
              <w:rPr>
                <w:color w:val="000000"/>
                <w:kern w:val="0"/>
                <w:sz w:val="24"/>
              </w:rPr>
              <w:t/>
            </w:r>
            <w:r w:rsidRPr="000E4C40">
              <w:rPr>
                <w:color w:val="000000"/>
                <w:kern w:val="0"/>
                <w:sz w:val="24"/>
              </w:rPr>
              <w:t/>
            </w:r>
            <w:proofErr w:type="spellEnd"/>
            <w:r w:rsidRPr="000E4C40">
              <w:rPr>
                <w:color w:val="000000"/>
                <w:kern w:val="0"/>
                <w:sz w:val="24"/>
              </w:rPr>
              <w:t>2,172,903,829.16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27FB0" w:rsidRPr="000E4C40">
              <w:rPr>
                <w:color w:val="000000"/>
                <w:kern w:val="0"/>
                <w:sz w:val="24"/>
              </w:rPr>
              <w:t/>
            </w:r>
            <w:r w:rsidRPr="000E4C40">
              <w:rPr>
                <w:color w:val="000000"/>
                <w:kern w:val="0"/>
                <w:sz w:val="24"/>
              </w:rPr>
              <w:t/>
            </w:r>
            <w:proofErr w:type="spellEnd"/>
            <w:r w:rsidRPr="000E4C40">
              <w:rPr>
                <w:color w:val="000000"/>
                <w:kern w:val="0"/>
                <w:sz w:val="24"/>
              </w:rPr>
              <w:t>28,136,352,638.17</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27FB0" w:rsidRPr="000E4C40">
              <w:rPr>
                <w:color w:val="000000"/>
                <w:kern w:val="0"/>
                <w:sz w:val="24"/>
              </w:rPr>
              <w:t/>
            </w:r>
            <w:r w:rsidRPr="000E4C40">
              <w:rPr>
                <w:color w:val="000000"/>
                <w:kern w:val="0"/>
                <w:sz w:val="24"/>
              </w:rPr>
              <w:t/>
            </w:r>
            <w:proofErr w:type="spellEnd"/>
            <w:r w:rsidRPr="000E4C40">
              <w:rPr>
                <w:color w:val="000000"/>
                <w:kern w:val="0"/>
                <w:sz w:val="24"/>
              </w:rPr>
              <w:t>1,955,635,929.23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27FB0" w:rsidRPr="000E4C40">
              <w:rPr>
                <w:color w:val="000000"/>
                <w:kern w:val="0"/>
                <w:sz w:val="24"/>
              </w:rPr>
              <w:t/>
            </w:r>
            <w:r w:rsidRPr="000E4C40">
              <w:rPr>
                <w:color w:val="000000"/>
                <w:kern w:val="0"/>
                <w:sz w:val="24"/>
              </w:rPr>
              <w:t/>
            </w:r>
            <w:proofErr w:type="spellEnd"/>
            <w:r w:rsidRPr="000E4C40">
              <w:rPr>
                <w:color w:val="000000"/>
                <w:kern w:val="0"/>
                <w:sz w:val="24"/>
              </w:rPr>
              <w:t>19,588,211,220.48</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1,203,430,532.35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27,641,493,156.53</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注：1、如果本报告期间发生转换入、份额级别调整、红利再投业务，则总申购份额中包含该业务；     </w:t>
      </w:r>
    </w:p>
    <w:p w:rsidR="00AA5B03" w:rsidRPr="000E4C40" w:rsidRDefault="00BE5584" w:rsidP="00281564">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r w:rsidR="00AA5B03" w:rsidRPr="000E4C40">
        <w:rPr>
          <w:color w:val="000000"/>
          <w:sz w:val="24"/>
        </w:rPr>
        <w:t/>
      </w:r>
      <w:proofErr w:type="spellEnd"/>
      <w:r w:rsidR="00AA5B03" w:rsidRPr="000E4C40">
        <w:rPr>
          <w:color w:val="000000"/>
          <w:sz w:val="24"/>
        </w:rPr>
        <w:t xml:space="preserve">    2、如果本报告期间发生转换出、份额级别调整业务，则总赎回份额中包含该业务。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F41AA6">
      <w:pPr>
        <w:pStyle w:val="1"/>
        <w:spacing w:beforeLines="100" w:after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roofErr w:type="spellStart"/>
            <w:r w:rsidRPr="000E4C40">
              <w:rPr>
                <w:color w:val="000000"/>
                <w:kern w:val="0"/>
              </w:rPr>
              <w:t/>
            </w:r>
            <w:proofErr w:type="spellEnd"/>
            <w:r w:rsidRPr="000E4C40">
              <w:rPr>
                <w:color w:val="000000"/>
                <w:kern w:val="0"/>
              </w:rPr>
              <w:t/>
            </w:r>
            <w:proofErr w:type="spellStart"/>
            <w:r w:rsidRPr="000E4C40">
              <w:rPr>
                <w:color w:val="000000"/>
                <w:kern w:val="0"/>
              </w:rPr>
              <w:t/>
            </w:r>
            <w:proofErr w:type="spellEnd"/>
            <w:r w:rsidRPr="000E4C40">
              <w:rPr>
                <w:color w:val="000000"/>
                <w:kern w:val="0"/>
              </w:rPr>
              <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红利再投</w:t>
            </w:r>
          </w:p>
        </w:tc>
        <w:tc>
          <w:tcPr>
            <w:vAlign w:val="center"/>
          </w:tcPr>
          <w:p>
            <w:pPr>
              <w:jc w:val="center"/>
            </w:pPr>
            <w:r>
              <w:rPr>
                <w:color w:val="000000"/>
                <w:sz w:val="24"/>
              </w:rPr>
              <w:t>2015-12-31</w:t>
            </w:r>
          </w:p>
        </w:tc>
        <w:tc>
          <w:tcPr>
            <w:vAlign w:val="center"/>
          </w:tcPr>
          <w:p>
            <w:pPr>
              <w:jc w:val="right"/>
            </w:pPr>
            <w:r>
              <w:rPr>
                <w:color w:val="000000"/>
                <w:sz w:val="24"/>
              </w:rPr>
              <w:t>414,793.57</w:t>
            </w:r>
          </w:p>
        </w:tc>
        <w:tc>
          <w:tcPr>
            <w:vAlign w:val="center"/>
          </w:tcPr>
          <w:p>
            <w:pPr>
              <w:jc w:val="right"/>
            </w:pPr>
            <w:r>
              <w:rPr>
                <w:color w:val="000000"/>
                <w:sz w:val="24"/>
              </w:rPr>
              <w:t>414,793.57</w:t>
            </w:r>
          </w:p>
        </w:tc>
        <w:tc>
          <w:tcPr>
            <w:vAlign w:val="center"/>
          </w:tcPr>
          <w:p>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414,793.57</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414,793.57</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注：1、本基金管理人本报告期末持有本基金份额60,858,789.62 份，占本基金期末总份额的0.21%；</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 xml:space="preserve">    2、本基金收益分配按月结转份额。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F41AA6">
      <w:pPr>
        <w:pStyle w:val="1"/>
        <w:spacing w:beforeLines="100" w:after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pPr>
        <w:spacing w:before="29" w:line="288" w:lineRule="auto"/>
        <w:ind w:firstLineChars="200" w:firstLine="480"/>
        <w:rPr>
          <w:color w:val="000000"/>
          <w:sz w:val="24"/>
        </w:rPr>
      </w:pPr>
      <w:r>
        <w:rPr>
          <w:color w:val="000000"/>
          <w:sz w:val="24"/>
        </w:rPr>
        <w:t xml:space="preserve">1、中国证监会批准交银施罗德货币市场证券投资基金募集的文件； </w:t>
      </w:r>
    </w:p>
    <w:p>
      <w:pPr>
        <w:spacing w:before="29" w:line="288" w:lineRule="auto"/>
        <w:ind w:firstLineChars="200" w:firstLine="480"/>
        <w:rPr>
          <w:color w:val="000000"/>
          <w:sz w:val="24"/>
        </w:rPr>
      </w:pPr>
      <w:r>
        <w:rPr>
          <w:color w:val="000000"/>
          <w:sz w:val="24"/>
        </w:rPr>
        <w:t xml:space="preserve">2、《交银施罗德货币市场证券投资基金基金合同》； </w:t>
      </w:r>
    </w:p>
    <w:p>
      <w:pPr>
        <w:spacing w:before="29" w:line="288" w:lineRule="auto"/>
        <w:ind w:firstLineChars="200" w:firstLine="480"/>
        <w:rPr>
          <w:color w:val="000000"/>
          <w:sz w:val="24"/>
        </w:rPr>
      </w:pPr>
      <w:r>
        <w:rPr>
          <w:color w:val="000000"/>
          <w:sz w:val="24"/>
        </w:rPr>
        <w:t xml:space="preserve">3、《交银施罗德货币市场证券投资基金招募说明书》； </w:t>
      </w:r>
    </w:p>
    <w:p>
      <w:pPr>
        <w:spacing w:before="29" w:line="288" w:lineRule="auto"/>
        <w:ind w:firstLineChars="200" w:firstLine="480"/>
        <w:rPr>
          <w:color w:val="000000"/>
          <w:sz w:val="24"/>
        </w:rPr>
      </w:pPr>
      <w:r>
        <w:rPr>
          <w:color w:val="000000"/>
          <w:sz w:val="24"/>
        </w:rPr>
        <w:t>4、《交银施罗德货币市场证券投资基金托管协议》；</w:t>
      </w:r>
    </w:p>
    <w:p>
      <w:pPr>
        <w:spacing w:before="29" w:line="288" w:lineRule="auto"/>
        <w:ind w:firstLineChars="200" w:firstLine="480"/>
        <w:rPr>
          <w:color w:val="000000"/>
          <w:sz w:val="24"/>
        </w:rPr>
      </w:pPr>
      <w:r>
        <w:rPr>
          <w:color w:val="000000"/>
          <w:sz w:val="24"/>
        </w:rPr>
        <w:t>5、关于募集交银施罗德货币市场证券投资基金之法律意见书；</w:t>
      </w:r>
    </w:p>
    <w:p>
      <w:pPr>
        <w:spacing w:before="29" w:line="288" w:lineRule="auto"/>
        <w:ind w:firstLineChars="200" w:firstLine="480"/>
        <w:rPr>
          <w:color w:val="000000"/>
          <w:sz w:val="24"/>
        </w:rPr>
      </w:pPr>
      <w:r>
        <w:rPr>
          <w:color w:val="000000"/>
          <w:sz w:val="24"/>
        </w:rPr>
        <w:t xml:space="preserve">6、基金管理人业务资格批件、营业执照； </w:t>
      </w:r>
    </w:p>
    <w:p>
      <w:pPr>
        <w:spacing w:before="29" w:line="288" w:lineRule="auto"/>
        <w:ind w:firstLineChars="200" w:firstLine="480"/>
        <w:rPr>
          <w:color w:val="000000"/>
          <w:sz w:val="24"/>
        </w:rPr>
      </w:pPr>
      <w:r>
        <w:rPr>
          <w:color w:val="000000"/>
          <w:sz w:val="24"/>
        </w:rPr>
        <w:t xml:space="preserve">7、基金托管人业务资格批件、营业执照； </w:t>
      </w:r>
    </w:p>
    <w:p w:rsidR="00AB373C" w:rsidRPr="000E4C40" w:rsidRDefault="00AB373C" w:rsidP="00281564">
      <w:pPr>
        <w:spacing w:before="29" w:line="288" w:lineRule="auto"/>
        <w:ind w:firstLineChars="200" w:firstLine="48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8、报告期内交银施罗德货币市场证券投资基金在指定报刊上各项公告的原稿。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pPr>
        <w:spacing w:before="29" w:line="288" w:lineRule="auto"/>
        <w:ind w:firstLineChars="200" w:firstLine="480"/>
        <w:rPr>
          <w:color w:val="000000"/>
          <w:sz w:val="24"/>
        </w:rPr>
      </w:pPr>
      <w:r>
        <w:rPr>
          <w:color w:val="000000"/>
          <w:sz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9D74FC" w:rsidRPr="000E4C40" w:rsidRDefault="00AB373C" w:rsidP="00281564">
      <w:pPr>
        <w:spacing w:before="29" w:line="288" w:lineRule="auto"/>
        <w:ind w:firstLineChars="200" w:firstLine="480"/>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EB2" w:rsidRDefault="00B12EB2">
      <w:r>
        <w:separator/>
      </w:r>
    </w:p>
  </w:endnote>
  <w:endnote w:type="continuationSeparator" w:id="0">
    <w:p w:rsidR="00B12EB2" w:rsidRDefault="00B12EB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363ED1">
      <w:rPr>
        <w:kern w:val="0"/>
        <w:szCs w:val="21"/>
      </w:rPr>
      <w:fldChar w:fldCharType="begin"/>
    </w:r>
    <w:r>
      <w:rPr>
        <w:kern w:val="0"/>
        <w:szCs w:val="21"/>
      </w:rPr>
      <w:instrText xml:space="preserve"> PAGE </w:instrText>
    </w:r>
    <w:r w:rsidR="00363ED1">
      <w:rPr>
        <w:kern w:val="0"/>
        <w:szCs w:val="21"/>
      </w:rPr>
      <w:fldChar w:fldCharType="separate"/>
    </w:r>
    <w:r w:rsidR="00855BA5">
      <w:rPr>
        <w:noProof/>
        <w:kern w:val="0"/>
        <w:szCs w:val="21"/>
      </w:rPr>
      <w:t>14</w:t>
    </w:r>
    <w:r w:rsidR="00363ED1">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363ED1">
      <w:rPr>
        <w:rFonts w:hint="eastAsia"/>
        <w:kern w:val="0"/>
        <w:szCs w:val="21"/>
      </w:rPr>
      <w:fldChar w:fldCharType="begin"/>
    </w:r>
    <w:r>
      <w:rPr>
        <w:kern w:val="0"/>
        <w:szCs w:val="21"/>
      </w:rPr>
      <w:instrText xml:space="preserve"> NUMPAGES </w:instrText>
    </w:r>
    <w:r w:rsidR="00363ED1">
      <w:rPr>
        <w:rFonts w:hint="eastAsia"/>
        <w:kern w:val="0"/>
        <w:szCs w:val="21"/>
      </w:rPr>
      <w:fldChar w:fldCharType="separate"/>
    </w:r>
    <w:r w:rsidR="00855BA5">
      <w:rPr>
        <w:noProof/>
        <w:kern w:val="0"/>
        <w:szCs w:val="21"/>
      </w:rPr>
      <w:t>21</w:t>
    </w:r>
    <w:r w:rsidR="00363ED1">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EB2" w:rsidRDefault="00B12EB2">
      <w:r>
        <w:separator/>
      </w:r>
    </w:p>
  </w:footnote>
  <w:footnote w:type="continuationSeparator" w:id="0">
    <w:p w:rsidR="00B12EB2" w:rsidRDefault="00B12EB2">
      <w:r>
        <w:continuationSeparator/>
      </w:r>
    </w:p>
  </w:footnote>
  <w:footnote w:type="separator" w:id="-1">
    <w:p w:rsidR="00B12EB2" w:rsidRDefault="00B12EB2">
      <w:r>
        <w:separator/>
      </w:r>
    </w:p>
  </w:footnote>
  <w:footnote w:type="continuationSeparator" w:id="0">
    <w:p w:rsidR="00B12EB2" w:rsidRDefault="00B12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6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911B4"/>
    <w:rsid w:val="000A2D74"/>
    <w:rsid w:val="000A7480"/>
    <w:rsid w:val="000B2044"/>
    <w:rsid w:val="000B2266"/>
    <w:rsid w:val="000B6615"/>
    <w:rsid w:val="000C469F"/>
    <w:rsid w:val="000D0F44"/>
    <w:rsid w:val="000D6294"/>
    <w:rsid w:val="000D66F0"/>
    <w:rsid w:val="000E0F6E"/>
    <w:rsid w:val="000E4C40"/>
    <w:rsid w:val="000F1795"/>
    <w:rsid w:val="000F2DA3"/>
    <w:rsid w:val="000F3C21"/>
    <w:rsid w:val="000F4826"/>
    <w:rsid w:val="000F5947"/>
    <w:rsid w:val="00101278"/>
    <w:rsid w:val="0010236C"/>
    <w:rsid w:val="001038EF"/>
    <w:rsid w:val="00103B93"/>
    <w:rsid w:val="001074D6"/>
    <w:rsid w:val="00113777"/>
    <w:rsid w:val="00114C97"/>
    <w:rsid w:val="00124BE3"/>
    <w:rsid w:val="0012707C"/>
    <w:rsid w:val="001302DB"/>
    <w:rsid w:val="00134628"/>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4942"/>
    <w:rsid w:val="0039276A"/>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r="http://schemas.openxmlformats.org/officeDocument/2006/relationships" xmlns:w="http://schemas.openxmlformats.org/wordprocessingml/2006/main">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fontTable" Target="fontTable.xml"/>
  <Relationship Id="rId13" Type="http://schemas.openxmlformats.org/officeDocument/2006/relationships/theme" Target="theme/theme1.xml"/>
  <Relationship Id="rId18"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19DA884-31D0-405B-ADC6-E8933324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21</Pages>
  <Words>2878</Words>
  <Characters>16411</Characters>
  <Application>Microsoft Office Word</Application>
  <DocSecurity>0</DocSecurity>
  <Lines>136</Lines>
  <Paragraphs>38</Paragraphs>
  <ScaleCrop>false</ScaleCrop>
  <Company>jysld</Company>
  <LinksUpToDate>false</LinksUpToDate>
  <CharactersWithSpaces>19251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2012-11-21T05:49:00Z</dcterms:created>
  <lastModifiedBy>韩永强</lastModifiedBy>
  <lastPrinted>2009-01-22T10:11:00Z</lastPrinted>
  <dcterms:modified xsi:type="dcterms:W3CDTF">2015-09-29T02:11:00Z</dcterms:modified>
  <revision>305</revision>
</coreProperties>
</file>