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2015</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2015</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二〇一六年一月二十一日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CE0AD2">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33542E" w:rsidRDefault="005C059E">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3542E" w:rsidRDefault="005C059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3542E" w:rsidRDefault="005C059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3542E" w:rsidRDefault="005C059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33542E" w:rsidRDefault="005C059E">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2015</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CE0AD2">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601,598,413.63</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CE0AD2">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E0AD2" w:rsidRPr="008640AE" w:rsidTr="00CE0AD2">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(2015</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-2015</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CE0AD2" w:rsidRPr="008640AE" w:rsidTr="00CE0AD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-1,362,155.33</w:t>
            </w:r>
          </w:p>
        </w:tc>
      </w:tr>
      <w:tr w:rsidR="00CE0AD2" w:rsidRPr="008640AE" w:rsidTr="00CE0AD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146,942,305.49</w:t>
            </w:r>
          </w:p>
        </w:tc>
      </w:tr>
      <w:tr w:rsidR="00CE0AD2" w:rsidRPr="008640AE" w:rsidTr="00CE0AD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0.2286</w:t>
            </w:r>
          </w:p>
        </w:tc>
      </w:tr>
      <w:tr w:rsidR="00CE0AD2" w:rsidRPr="008640AE" w:rsidTr="00CE0AD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581,868,615.24</w:t>
            </w:r>
          </w:p>
        </w:tc>
      </w:tr>
      <w:tr w:rsidR="00CE0AD2" w:rsidRPr="008640AE" w:rsidTr="00CE0AD2">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0.967</w:t>
            </w:r>
          </w:p>
        </w:tc>
      </w:tr>
    </w:tbl>
    <w:p w:rsidR="0033542E" w:rsidRDefault="005C059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33542E">
        <w:trPr>
          <w:jc w:val="center"/>
        </w:trPr>
        <w:tc>
          <w:tcPr>
            <w:tcW w:w="1701" w:type="dxa"/>
            <w:vAlign w:val="center"/>
          </w:tcPr>
          <w:p w:rsidR="0033542E" w:rsidRDefault="005C059E">
            <w:pPr>
              <w:jc w:val="left"/>
            </w:pPr>
            <w:r>
              <w:rPr>
                <w:color w:val="000000"/>
                <w:sz w:val="24"/>
              </w:rPr>
              <w:t>过去三个月</w:t>
            </w:r>
          </w:p>
        </w:tc>
        <w:tc>
          <w:tcPr>
            <w:tcW w:w="1194" w:type="dxa"/>
            <w:vAlign w:val="center"/>
          </w:tcPr>
          <w:p w:rsidR="0033542E" w:rsidRDefault="005C059E">
            <w:pPr>
              <w:jc w:val="right"/>
            </w:pPr>
            <w:r>
              <w:rPr>
                <w:color w:val="000000"/>
                <w:sz w:val="24"/>
              </w:rPr>
              <w:t>29.97%</w:t>
            </w:r>
          </w:p>
        </w:tc>
        <w:tc>
          <w:tcPr>
            <w:tcW w:w="1194" w:type="dxa"/>
            <w:vAlign w:val="center"/>
          </w:tcPr>
          <w:p w:rsidR="0033542E" w:rsidRDefault="005C059E">
            <w:pPr>
              <w:jc w:val="right"/>
            </w:pPr>
            <w:r>
              <w:rPr>
                <w:color w:val="000000"/>
                <w:sz w:val="24"/>
              </w:rPr>
              <w:t>1.61%</w:t>
            </w:r>
          </w:p>
        </w:tc>
        <w:tc>
          <w:tcPr>
            <w:tcW w:w="1194" w:type="dxa"/>
            <w:vAlign w:val="center"/>
          </w:tcPr>
          <w:p w:rsidR="0033542E" w:rsidRDefault="005C059E">
            <w:pPr>
              <w:jc w:val="right"/>
            </w:pPr>
            <w:r>
              <w:rPr>
                <w:color w:val="000000"/>
                <w:sz w:val="24"/>
              </w:rPr>
              <w:t>27.89%</w:t>
            </w:r>
          </w:p>
        </w:tc>
        <w:tc>
          <w:tcPr>
            <w:tcW w:w="1343" w:type="dxa"/>
            <w:vAlign w:val="center"/>
          </w:tcPr>
          <w:p w:rsidR="0033542E" w:rsidRDefault="005C059E">
            <w:pPr>
              <w:jc w:val="right"/>
            </w:pPr>
            <w:r>
              <w:rPr>
                <w:color w:val="000000"/>
                <w:sz w:val="24"/>
              </w:rPr>
              <w:t>1.63%</w:t>
            </w:r>
          </w:p>
        </w:tc>
        <w:tc>
          <w:tcPr>
            <w:tcW w:w="1194" w:type="dxa"/>
            <w:vAlign w:val="center"/>
          </w:tcPr>
          <w:p w:rsidR="0033542E" w:rsidRDefault="005C059E">
            <w:pPr>
              <w:jc w:val="right"/>
            </w:pPr>
            <w:r>
              <w:rPr>
                <w:color w:val="000000"/>
                <w:sz w:val="24"/>
              </w:rPr>
              <w:t>2.08%</w:t>
            </w:r>
          </w:p>
        </w:tc>
        <w:tc>
          <w:tcPr>
            <w:tcW w:w="1048" w:type="dxa"/>
            <w:vAlign w:val="center"/>
          </w:tcPr>
          <w:p w:rsidR="0033542E" w:rsidRDefault="005C059E">
            <w:pPr>
              <w:jc w:val="right"/>
            </w:pPr>
            <w:r>
              <w:rPr>
                <w:color w:val="000000"/>
                <w:sz w:val="24"/>
              </w:rPr>
              <w:t>-0.02%</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2015</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注：本基金基金合同生效日为</w:t>
      </w:r>
      <w:r w:rsidRPr="008640AE">
        <w:rPr>
          <w:color w:val="000000"/>
          <w:sz w:val="24"/>
        </w:rPr>
        <w:t>2015</w:t>
      </w:r>
      <w:r w:rsidRPr="008640AE">
        <w:rPr>
          <w:color w:val="000000"/>
          <w:sz w:val="24"/>
        </w:rPr>
        <w:t>年</w:t>
      </w:r>
      <w:r w:rsidRPr="008640AE">
        <w:rPr>
          <w:color w:val="000000"/>
          <w:sz w:val="24"/>
        </w:rPr>
        <w:t>5</w:t>
      </w:r>
      <w:r w:rsidRPr="008640AE">
        <w:rPr>
          <w:color w:val="000000"/>
          <w:sz w:val="24"/>
        </w:rPr>
        <w:t>月</w:t>
      </w:r>
      <w:r w:rsidRPr="008640AE">
        <w:rPr>
          <w:color w:val="000000"/>
          <w:sz w:val="24"/>
        </w:rPr>
        <w:t>27</w:t>
      </w:r>
      <w:r w:rsidRPr="008640AE">
        <w:rPr>
          <w:color w:val="000000"/>
          <w:sz w:val="24"/>
        </w:rPr>
        <w:t>日，基金合同生效日至报告期期末，本基金运作时间未满一年。本基金建仓期为自基金合同生效日起的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CE0AD2">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33542E">
        <w:trPr>
          <w:jc w:val="center"/>
        </w:trPr>
        <w:tc>
          <w:tcPr>
            <w:tcW w:w="846" w:type="dxa"/>
            <w:vAlign w:val="center"/>
          </w:tcPr>
          <w:p w:rsidR="0033542E" w:rsidRDefault="005C059E">
            <w:pPr>
              <w:jc w:val="center"/>
            </w:pPr>
            <w:r>
              <w:rPr>
                <w:color w:val="000000"/>
                <w:sz w:val="24"/>
              </w:rPr>
              <w:t>蔡铮</w:t>
            </w:r>
          </w:p>
        </w:tc>
        <w:tc>
          <w:tcPr>
            <w:tcW w:w="845" w:type="dxa"/>
            <w:vAlign w:val="center"/>
          </w:tcPr>
          <w:p w:rsidR="0033542E" w:rsidRDefault="005C059E">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33542E" w:rsidRDefault="005C059E">
            <w:pPr>
              <w:jc w:val="center"/>
            </w:pPr>
            <w:r>
              <w:rPr>
                <w:color w:val="000000"/>
                <w:sz w:val="24"/>
              </w:rPr>
              <w:t>2015-05-27</w:t>
            </w:r>
          </w:p>
        </w:tc>
        <w:tc>
          <w:tcPr>
            <w:tcW w:w="1548" w:type="dxa"/>
            <w:vAlign w:val="center"/>
          </w:tcPr>
          <w:p w:rsidR="0033542E" w:rsidRDefault="005C059E">
            <w:pPr>
              <w:jc w:val="center"/>
            </w:pPr>
            <w:r>
              <w:rPr>
                <w:color w:val="000000"/>
                <w:sz w:val="24"/>
              </w:rPr>
              <w:t>-</w:t>
            </w:r>
          </w:p>
        </w:tc>
        <w:tc>
          <w:tcPr>
            <w:tcW w:w="1407" w:type="dxa"/>
            <w:vAlign w:val="center"/>
          </w:tcPr>
          <w:p w:rsidR="0033542E" w:rsidRDefault="005C059E">
            <w:pPr>
              <w:jc w:val="center"/>
            </w:pPr>
            <w:r>
              <w:rPr>
                <w:color w:val="000000"/>
                <w:sz w:val="24"/>
              </w:rPr>
              <w:t>6</w:t>
            </w:r>
            <w:r>
              <w:rPr>
                <w:color w:val="000000"/>
                <w:sz w:val="24"/>
              </w:rPr>
              <w:t>年</w:t>
            </w:r>
          </w:p>
        </w:tc>
        <w:tc>
          <w:tcPr>
            <w:tcW w:w="2673" w:type="dxa"/>
            <w:vAlign w:val="center"/>
          </w:tcPr>
          <w:p w:rsidR="0033542E" w:rsidRDefault="005C059E">
            <w:pPr>
              <w:jc w:val="left"/>
            </w:pPr>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1855FD">
        <w:rPr>
          <w:b/>
          <w:color w:val="000000"/>
          <w:kern w:val="0"/>
          <w:sz w:val="24"/>
        </w:rPr>
        <w:t>2</w:t>
      </w:r>
      <w:r w:rsidR="001855FD"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1855FD">
        <w:rPr>
          <w:b/>
          <w:color w:val="000000"/>
          <w:kern w:val="0"/>
          <w:sz w:val="24"/>
        </w:rPr>
        <w:t>3</w:t>
      </w:r>
      <w:r w:rsidR="001855FD"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1855FD">
        <w:rPr>
          <w:sz w:val="24"/>
        </w:rPr>
        <w:t>3</w:t>
      </w:r>
      <w:r w:rsidR="00A32FDA" w:rsidRPr="008640AE">
        <w:rPr>
          <w:sz w:val="24"/>
        </w:rPr>
        <w:t>.1</w:t>
      </w:r>
      <w:r w:rsidRPr="008640AE">
        <w:rPr>
          <w:sz w:val="24"/>
        </w:rPr>
        <w:t>公平交易制度的执行情况</w:t>
      </w:r>
    </w:p>
    <w:p w:rsidR="0033542E" w:rsidRDefault="005C059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3542E" w:rsidRDefault="005C059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3542E" w:rsidRDefault="005C059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1855FD">
        <w:rPr>
          <w:sz w:val="24"/>
        </w:rPr>
        <w:t>3</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w:t>
      </w:r>
      <w:r w:rsidR="001855FD">
        <w:rPr>
          <w:b/>
          <w:color w:val="000000"/>
          <w:kern w:val="0"/>
          <w:sz w:val="24"/>
        </w:rPr>
        <w:t>4</w:t>
      </w:r>
      <w:r w:rsidR="001855FD" w:rsidRPr="008640AE">
        <w:rPr>
          <w:b/>
          <w:color w:val="000000"/>
          <w:kern w:val="0"/>
          <w:sz w:val="24"/>
        </w:rPr>
        <w:t xml:space="preserve"> </w:t>
      </w:r>
      <w:r w:rsidRPr="008640AE">
        <w:rPr>
          <w:b/>
          <w:color w:val="000000"/>
          <w:kern w:val="0"/>
          <w:sz w:val="24"/>
        </w:rPr>
        <w:t>报告期内基金的投资策略和业绩表现说明</w:t>
      </w:r>
    </w:p>
    <w:p w:rsidR="0033542E" w:rsidRDefault="005C059E">
      <w:pPr>
        <w:spacing w:before="29" w:line="288" w:lineRule="auto"/>
        <w:ind w:firstLineChars="200" w:firstLine="480"/>
        <w:rPr>
          <w:color w:val="000000"/>
          <w:sz w:val="24"/>
        </w:rPr>
      </w:pPr>
      <w:r>
        <w:rPr>
          <w:color w:val="000000"/>
          <w:sz w:val="24"/>
        </w:rPr>
        <w:t>2015</w:t>
      </w:r>
      <w:r>
        <w:rPr>
          <w:color w:val="000000"/>
          <w:sz w:val="24"/>
        </w:rPr>
        <w:t>年第四季度，国内经济先行指标出现企稳，但经济增长和企业盈利下行压力依然较大。在美联储加息预期逐步加强到最终靴子落地的过程中，全球资产风险偏好获得回升，特别是中概股从第四季度一开始就大幅上涨，获得喜人收益。作为跟踪中证海外中国互联网指数的指数基金，在第四季度基金总体呈现出上涨走势。</w:t>
      </w:r>
    </w:p>
    <w:p w:rsidR="00B0116D" w:rsidRPr="008640AE" w:rsidRDefault="00B0116D" w:rsidP="005546C0">
      <w:pPr>
        <w:spacing w:before="29" w:line="288" w:lineRule="auto"/>
        <w:ind w:firstLineChars="200" w:firstLine="480"/>
        <w:rPr>
          <w:color w:val="000000"/>
          <w:sz w:val="24"/>
        </w:rPr>
      </w:pPr>
      <w:r w:rsidRPr="008640AE">
        <w:rPr>
          <w:color w:val="000000"/>
          <w:sz w:val="24"/>
        </w:rPr>
        <w:t>展望未来，一些大的改革措施有望落地，整个经济环境因此有望从明显下滑过渡到稳步寻底回升，部分新经济业态有望走出初创阶段，因此我们有理由对未来市场特别是代表未来改革方向的中国互联网行业保持较乐观的态度。</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2015</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0.967</w:t>
      </w:r>
      <w:r w:rsidRPr="008640AE">
        <w:rPr>
          <w:color w:val="000000"/>
          <w:sz w:val="24"/>
        </w:rPr>
        <w:t>元，本报告期份额净值增长率为</w:t>
      </w:r>
      <w:r w:rsidRPr="008640AE">
        <w:rPr>
          <w:color w:val="000000"/>
          <w:sz w:val="24"/>
        </w:rPr>
        <w:t>29.97%</w:t>
      </w:r>
      <w:r w:rsidRPr="008640AE">
        <w:rPr>
          <w:color w:val="000000"/>
          <w:sz w:val="24"/>
        </w:rPr>
        <w:t>，同期业绩比较基准增长率为</w:t>
      </w:r>
      <w:r w:rsidRPr="008640AE">
        <w:rPr>
          <w:color w:val="000000"/>
          <w:sz w:val="24"/>
        </w:rPr>
        <w:t>27.89%</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w:t>
      </w:r>
      <w:r w:rsidR="001855FD">
        <w:rPr>
          <w:b/>
          <w:color w:val="000000"/>
          <w:kern w:val="0"/>
          <w:sz w:val="24"/>
        </w:rPr>
        <w:t>5</w:t>
      </w:r>
      <w:r w:rsidR="00F67B62">
        <w:rPr>
          <w:b/>
          <w:color w:val="000000"/>
          <w:kern w:val="0"/>
          <w:sz w:val="24"/>
        </w:rPr>
        <w:t xml:space="preserve"> </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CE0AD2">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543,635,256.72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90.43</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130,357,560.33</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21.68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413,277,696.39</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68.75</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49,204,779.35</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8.19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8,306,584.14</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1.38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601,146,620.21</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33542E">
        <w:trPr>
          <w:jc w:val="center"/>
        </w:trPr>
        <w:tc>
          <w:tcPr>
            <w:tcW w:w="2484" w:type="dxa"/>
            <w:vAlign w:val="center"/>
          </w:tcPr>
          <w:p w:rsidR="0033542E" w:rsidRDefault="005C059E">
            <w:pPr>
              <w:jc w:val="left"/>
            </w:pPr>
            <w:r>
              <w:rPr>
                <w:color w:val="000000"/>
                <w:sz w:val="24"/>
              </w:rPr>
              <w:t>美国</w:t>
            </w:r>
          </w:p>
        </w:tc>
        <w:tc>
          <w:tcPr>
            <w:tcW w:w="3214" w:type="dxa"/>
            <w:vAlign w:val="center"/>
          </w:tcPr>
          <w:p w:rsidR="0033542E" w:rsidRDefault="005C059E">
            <w:pPr>
              <w:jc w:val="right"/>
            </w:pPr>
            <w:r>
              <w:rPr>
                <w:color w:val="000000"/>
                <w:sz w:val="24"/>
              </w:rPr>
              <w:t>446,707,784.54</w:t>
            </w:r>
          </w:p>
        </w:tc>
        <w:tc>
          <w:tcPr>
            <w:tcW w:w="3170" w:type="dxa"/>
            <w:vAlign w:val="center"/>
          </w:tcPr>
          <w:p w:rsidR="0033542E" w:rsidRDefault="005C059E">
            <w:pPr>
              <w:jc w:val="right"/>
            </w:pPr>
            <w:r>
              <w:rPr>
                <w:color w:val="000000"/>
                <w:sz w:val="24"/>
              </w:rPr>
              <w:t>76.77</w:t>
            </w:r>
          </w:p>
        </w:tc>
      </w:tr>
      <w:tr w:rsidR="0033542E">
        <w:trPr>
          <w:jc w:val="center"/>
        </w:trPr>
        <w:tc>
          <w:tcPr>
            <w:tcW w:w="2484" w:type="dxa"/>
            <w:vAlign w:val="center"/>
          </w:tcPr>
          <w:p w:rsidR="0033542E" w:rsidRDefault="005C059E">
            <w:pPr>
              <w:jc w:val="left"/>
            </w:pPr>
            <w:r>
              <w:rPr>
                <w:color w:val="000000"/>
                <w:sz w:val="24"/>
              </w:rPr>
              <w:t>香港</w:t>
            </w:r>
          </w:p>
        </w:tc>
        <w:tc>
          <w:tcPr>
            <w:tcW w:w="3214" w:type="dxa"/>
            <w:vAlign w:val="center"/>
          </w:tcPr>
          <w:p w:rsidR="0033542E" w:rsidRDefault="005C059E">
            <w:pPr>
              <w:jc w:val="right"/>
            </w:pPr>
            <w:r>
              <w:rPr>
                <w:color w:val="000000"/>
                <w:sz w:val="24"/>
              </w:rPr>
              <w:t>96,927,472.18</w:t>
            </w:r>
          </w:p>
        </w:tc>
        <w:tc>
          <w:tcPr>
            <w:tcW w:w="3170" w:type="dxa"/>
            <w:vAlign w:val="center"/>
          </w:tcPr>
          <w:p w:rsidR="0033542E" w:rsidRDefault="005C059E">
            <w:pPr>
              <w:jc w:val="right"/>
            </w:pPr>
            <w:r>
              <w:rPr>
                <w:color w:val="000000"/>
                <w:sz w:val="24"/>
              </w:rPr>
              <w:t>16.66</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543,635,256.72</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93.43</w:t>
            </w:r>
          </w:p>
        </w:tc>
      </w:tr>
    </w:tbl>
    <w:p w:rsidR="0033542E" w:rsidRDefault="005C059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33542E">
        <w:tc>
          <w:tcPr>
            <w:tcW w:w="2787" w:type="dxa"/>
            <w:vAlign w:val="center"/>
          </w:tcPr>
          <w:p w:rsidR="0033542E" w:rsidRDefault="005C059E">
            <w:pPr>
              <w:jc w:val="left"/>
            </w:pPr>
            <w:r>
              <w:rPr>
                <w:color w:val="000000"/>
                <w:sz w:val="24"/>
              </w:rPr>
              <w:t>信息技术</w:t>
            </w:r>
          </w:p>
        </w:tc>
        <w:tc>
          <w:tcPr>
            <w:tcW w:w="2976" w:type="dxa"/>
            <w:vAlign w:val="center"/>
          </w:tcPr>
          <w:p w:rsidR="0033542E" w:rsidRDefault="005C059E">
            <w:pPr>
              <w:jc w:val="right"/>
            </w:pPr>
            <w:r>
              <w:rPr>
                <w:color w:val="000000"/>
                <w:sz w:val="24"/>
              </w:rPr>
              <w:t>401,369,696.70</w:t>
            </w:r>
          </w:p>
        </w:tc>
        <w:tc>
          <w:tcPr>
            <w:tcW w:w="3261" w:type="dxa"/>
            <w:vAlign w:val="center"/>
          </w:tcPr>
          <w:p w:rsidR="0033542E" w:rsidRDefault="005C059E">
            <w:pPr>
              <w:jc w:val="right"/>
            </w:pPr>
            <w:r>
              <w:rPr>
                <w:color w:val="000000"/>
                <w:sz w:val="24"/>
              </w:rPr>
              <w:t>68.98</w:t>
            </w:r>
          </w:p>
        </w:tc>
      </w:tr>
      <w:tr w:rsidR="0033542E">
        <w:tc>
          <w:tcPr>
            <w:tcW w:w="2787" w:type="dxa"/>
            <w:vAlign w:val="center"/>
          </w:tcPr>
          <w:p w:rsidR="0033542E" w:rsidRDefault="005C059E">
            <w:pPr>
              <w:jc w:val="left"/>
            </w:pPr>
            <w:r>
              <w:rPr>
                <w:color w:val="000000"/>
                <w:sz w:val="24"/>
              </w:rPr>
              <w:t>非必需消费品</w:t>
            </w:r>
          </w:p>
        </w:tc>
        <w:tc>
          <w:tcPr>
            <w:tcW w:w="2976" w:type="dxa"/>
            <w:vAlign w:val="center"/>
          </w:tcPr>
          <w:p w:rsidR="0033542E" w:rsidRDefault="005C059E">
            <w:pPr>
              <w:jc w:val="right"/>
            </w:pPr>
            <w:r>
              <w:rPr>
                <w:color w:val="000000"/>
                <w:sz w:val="24"/>
              </w:rPr>
              <w:t>135,183,610.38</w:t>
            </w:r>
          </w:p>
        </w:tc>
        <w:tc>
          <w:tcPr>
            <w:tcW w:w="3261" w:type="dxa"/>
            <w:vAlign w:val="center"/>
          </w:tcPr>
          <w:p w:rsidR="0033542E" w:rsidRDefault="005C059E">
            <w:pPr>
              <w:jc w:val="right"/>
            </w:pPr>
            <w:r>
              <w:rPr>
                <w:color w:val="000000"/>
                <w:sz w:val="24"/>
              </w:rPr>
              <w:t>23.23</w:t>
            </w:r>
          </w:p>
        </w:tc>
      </w:tr>
      <w:tr w:rsidR="0033542E">
        <w:tc>
          <w:tcPr>
            <w:tcW w:w="2787" w:type="dxa"/>
            <w:vAlign w:val="center"/>
          </w:tcPr>
          <w:p w:rsidR="0033542E" w:rsidRDefault="005C059E">
            <w:pPr>
              <w:jc w:val="left"/>
            </w:pPr>
            <w:r>
              <w:rPr>
                <w:color w:val="000000"/>
                <w:sz w:val="24"/>
              </w:rPr>
              <w:t>工业</w:t>
            </w:r>
          </w:p>
        </w:tc>
        <w:tc>
          <w:tcPr>
            <w:tcW w:w="2976" w:type="dxa"/>
            <w:vAlign w:val="center"/>
          </w:tcPr>
          <w:p w:rsidR="0033542E" w:rsidRDefault="005C059E">
            <w:pPr>
              <w:jc w:val="right"/>
            </w:pPr>
            <w:r>
              <w:rPr>
                <w:color w:val="000000"/>
                <w:sz w:val="24"/>
              </w:rPr>
              <w:t>7,081,949.64</w:t>
            </w:r>
          </w:p>
        </w:tc>
        <w:tc>
          <w:tcPr>
            <w:tcW w:w="3261" w:type="dxa"/>
            <w:vAlign w:val="center"/>
          </w:tcPr>
          <w:p w:rsidR="0033542E" w:rsidRDefault="005C059E">
            <w:pPr>
              <w:jc w:val="right"/>
            </w:pPr>
            <w:r>
              <w:rPr>
                <w:color w:val="000000"/>
                <w:sz w:val="24"/>
              </w:rPr>
              <w:t>1.22</w:t>
            </w:r>
          </w:p>
        </w:tc>
      </w:tr>
      <w:tr w:rsidR="00C612DC" w:rsidRPr="00C612DC" w:rsidTr="00DB2E09">
        <w:tc>
          <w:tcPr>
            <w:tcW w:w="2787" w:type="dxa"/>
            <w:vAlign w:val="center"/>
          </w:tcPr>
          <w:p w:rsidR="00C612DC" w:rsidRPr="00C612DC" w:rsidRDefault="00C612DC" w:rsidP="002056E3">
            <w:pPr>
              <w:autoSpaceDE w:val="0"/>
              <w:autoSpaceDN w:val="0"/>
              <w:adjustRightInd w:val="0"/>
              <w:spacing w:before="29" w:line="288" w:lineRule="auto"/>
              <w:jc w:val="left"/>
              <w:rPr>
                <w:color w:val="000000"/>
                <w:sz w:val="24"/>
              </w:rPr>
            </w:pPr>
            <w:r w:rsidRPr="00C612DC">
              <w:rPr>
                <w:rFonts w:hint="eastAsia"/>
                <w:color w:val="000000"/>
                <w:sz w:val="24"/>
              </w:rPr>
              <w:t>合计</w:t>
            </w:r>
          </w:p>
        </w:tc>
        <w:tc>
          <w:tcPr>
            <w:tcW w:w="2976" w:type="dxa"/>
            <w:vAlign w:val="center"/>
          </w:tcPr>
          <w:p w:rsidR="00C612DC" w:rsidRPr="00C612DC" w:rsidRDefault="00C612DC" w:rsidP="002056E3">
            <w:pPr>
              <w:autoSpaceDE w:val="0"/>
              <w:autoSpaceDN w:val="0"/>
              <w:adjustRightInd w:val="0"/>
              <w:spacing w:before="29" w:line="288" w:lineRule="auto"/>
              <w:jc w:val="right"/>
              <w:rPr>
                <w:color w:val="000000"/>
                <w:sz w:val="24"/>
              </w:rPr>
            </w:pPr>
            <w:r w:rsidRPr="00C612DC">
              <w:rPr>
                <w:color w:val="000000"/>
                <w:sz w:val="24"/>
              </w:rPr>
              <w:t>543,635,256.72</w:t>
            </w:r>
          </w:p>
        </w:tc>
        <w:tc>
          <w:tcPr>
            <w:tcW w:w="3261" w:type="dxa"/>
            <w:vAlign w:val="center"/>
          </w:tcPr>
          <w:p w:rsidR="00C612DC" w:rsidRPr="00C612DC" w:rsidRDefault="00C612DC" w:rsidP="002056E3">
            <w:pPr>
              <w:autoSpaceDE w:val="0"/>
              <w:autoSpaceDN w:val="0"/>
              <w:adjustRightInd w:val="0"/>
              <w:spacing w:before="29" w:line="288" w:lineRule="auto"/>
              <w:jc w:val="right"/>
              <w:rPr>
                <w:color w:val="000000"/>
                <w:sz w:val="24"/>
              </w:rPr>
            </w:pPr>
            <w:r w:rsidRPr="00C612DC">
              <w:rPr>
                <w:color w:val="000000"/>
                <w:sz w:val="24"/>
              </w:rPr>
              <w:t>93.43</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 xml:space="preserve"> </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16"/>
        <w:gridCol w:w="1737"/>
        <w:gridCol w:w="1017"/>
        <w:gridCol w:w="983"/>
        <w:gridCol w:w="654"/>
        <w:gridCol w:w="743"/>
        <w:gridCol w:w="1010"/>
        <w:gridCol w:w="1596"/>
        <w:gridCol w:w="971"/>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33542E">
        <w:tc>
          <w:tcPr>
            <w:tcW w:w="0" w:type="auto"/>
            <w:vAlign w:val="center"/>
          </w:tcPr>
          <w:p w:rsidR="0033542E" w:rsidRDefault="005C059E">
            <w:pPr>
              <w:jc w:val="center"/>
            </w:pPr>
            <w:r>
              <w:rPr>
                <w:color w:val="000000"/>
                <w:sz w:val="24"/>
              </w:rPr>
              <w:t>1</w:t>
            </w:r>
          </w:p>
        </w:tc>
        <w:tc>
          <w:tcPr>
            <w:tcW w:w="0" w:type="auto"/>
            <w:vAlign w:val="center"/>
          </w:tcPr>
          <w:p w:rsidR="0033542E" w:rsidRDefault="005C059E">
            <w:pPr>
              <w:jc w:val="center"/>
            </w:pPr>
            <w:r>
              <w:rPr>
                <w:color w:val="000000"/>
                <w:sz w:val="24"/>
              </w:rPr>
              <w:t>Tencent Holdings Limited</w:t>
            </w:r>
          </w:p>
        </w:tc>
        <w:tc>
          <w:tcPr>
            <w:tcW w:w="0" w:type="auto"/>
            <w:vAlign w:val="center"/>
          </w:tcPr>
          <w:p w:rsidR="0033542E" w:rsidRDefault="005C059E">
            <w:pPr>
              <w:jc w:val="center"/>
            </w:pPr>
            <w:r>
              <w:rPr>
                <w:color w:val="000000"/>
                <w:sz w:val="24"/>
              </w:rPr>
              <w:t>腾讯控股有限公司</w:t>
            </w:r>
          </w:p>
        </w:tc>
        <w:tc>
          <w:tcPr>
            <w:tcW w:w="0" w:type="auto"/>
            <w:vAlign w:val="center"/>
          </w:tcPr>
          <w:p w:rsidR="0033542E" w:rsidRDefault="005C059E">
            <w:pPr>
              <w:jc w:val="center"/>
            </w:pPr>
            <w:r>
              <w:rPr>
                <w:color w:val="000000"/>
                <w:sz w:val="24"/>
              </w:rPr>
              <w:t>700 HK</w:t>
            </w:r>
          </w:p>
        </w:tc>
        <w:tc>
          <w:tcPr>
            <w:tcW w:w="0" w:type="auto"/>
            <w:vAlign w:val="center"/>
          </w:tcPr>
          <w:p w:rsidR="0033542E" w:rsidRDefault="005C059E">
            <w:pPr>
              <w:jc w:val="center"/>
            </w:pPr>
            <w:r>
              <w:rPr>
                <w:color w:val="000000"/>
                <w:sz w:val="24"/>
              </w:rPr>
              <w:t>香港证券交易所</w:t>
            </w:r>
          </w:p>
        </w:tc>
        <w:tc>
          <w:tcPr>
            <w:tcW w:w="0" w:type="auto"/>
            <w:vAlign w:val="center"/>
          </w:tcPr>
          <w:p w:rsidR="0033542E" w:rsidRDefault="005C059E">
            <w:pPr>
              <w:jc w:val="center"/>
            </w:pPr>
            <w:r>
              <w:rPr>
                <w:color w:val="000000"/>
                <w:sz w:val="24"/>
              </w:rPr>
              <w:t>香港</w:t>
            </w:r>
          </w:p>
        </w:tc>
        <w:tc>
          <w:tcPr>
            <w:tcW w:w="0" w:type="auto"/>
            <w:vAlign w:val="center"/>
          </w:tcPr>
          <w:p w:rsidR="0033542E" w:rsidRDefault="005C059E">
            <w:pPr>
              <w:jc w:val="right"/>
            </w:pPr>
            <w:r>
              <w:rPr>
                <w:color w:val="000000"/>
                <w:sz w:val="24"/>
              </w:rPr>
              <w:t>430,900</w:t>
            </w:r>
          </w:p>
        </w:tc>
        <w:tc>
          <w:tcPr>
            <w:tcW w:w="0" w:type="auto"/>
            <w:vAlign w:val="center"/>
          </w:tcPr>
          <w:p w:rsidR="0033542E" w:rsidRDefault="005C059E">
            <w:pPr>
              <w:jc w:val="right"/>
            </w:pPr>
            <w:r>
              <w:rPr>
                <w:color w:val="000000"/>
                <w:sz w:val="24"/>
              </w:rPr>
              <w:t>55,054,003.77</w:t>
            </w:r>
          </w:p>
        </w:tc>
        <w:tc>
          <w:tcPr>
            <w:tcW w:w="0" w:type="auto"/>
            <w:vAlign w:val="center"/>
          </w:tcPr>
          <w:p w:rsidR="0033542E" w:rsidRDefault="005C059E">
            <w:pPr>
              <w:jc w:val="right"/>
            </w:pPr>
            <w:r>
              <w:rPr>
                <w:color w:val="000000"/>
                <w:sz w:val="24"/>
              </w:rPr>
              <w:t>9.46</w:t>
            </w:r>
          </w:p>
        </w:tc>
      </w:tr>
      <w:tr w:rsidR="0033542E">
        <w:tc>
          <w:tcPr>
            <w:tcW w:w="0" w:type="auto"/>
            <w:vAlign w:val="center"/>
          </w:tcPr>
          <w:p w:rsidR="0033542E" w:rsidRDefault="005C059E">
            <w:pPr>
              <w:jc w:val="center"/>
            </w:pPr>
            <w:r>
              <w:rPr>
                <w:color w:val="000000"/>
                <w:sz w:val="24"/>
              </w:rPr>
              <w:t>2</w:t>
            </w:r>
          </w:p>
        </w:tc>
        <w:tc>
          <w:tcPr>
            <w:tcW w:w="0" w:type="auto"/>
            <w:vAlign w:val="center"/>
          </w:tcPr>
          <w:p w:rsidR="0033542E" w:rsidRDefault="005C059E">
            <w:pPr>
              <w:jc w:val="center"/>
            </w:pPr>
            <w:r>
              <w:rPr>
                <w:color w:val="000000"/>
                <w:sz w:val="24"/>
              </w:rPr>
              <w:t>Alibaba Group Holding Limited</w:t>
            </w:r>
          </w:p>
        </w:tc>
        <w:tc>
          <w:tcPr>
            <w:tcW w:w="0" w:type="auto"/>
            <w:vAlign w:val="center"/>
          </w:tcPr>
          <w:p w:rsidR="0033542E" w:rsidRDefault="005C059E">
            <w:pPr>
              <w:jc w:val="center"/>
            </w:pPr>
            <w:r>
              <w:rPr>
                <w:color w:val="000000"/>
                <w:sz w:val="24"/>
              </w:rPr>
              <w:t>阿里巴巴集团控股有限公司</w:t>
            </w:r>
          </w:p>
        </w:tc>
        <w:tc>
          <w:tcPr>
            <w:tcW w:w="0" w:type="auto"/>
            <w:vAlign w:val="center"/>
          </w:tcPr>
          <w:p w:rsidR="0033542E" w:rsidRDefault="005C059E">
            <w:pPr>
              <w:jc w:val="center"/>
            </w:pPr>
            <w:r>
              <w:rPr>
                <w:color w:val="000000"/>
                <w:sz w:val="24"/>
              </w:rPr>
              <w:t>BABA US</w:t>
            </w:r>
          </w:p>
        </w:tc>
        <w:tc>
          <w:tcPr>
            <w:tcW w:w="0" w:type="auto"/>
            <w:vAlign w:val="center"/>
          </w:tcPr>
          <w:p w:rsidR="0033542E" w:rsidRDefault="005C059E">
            <w:pPr>
              <w:jc w:val="center"/>
            </w:pPr>
            <w:r>
              <w:rPr>
                <w:color w:val="000000"/>
                <w:sz w:val="24"/>
              </w:rPr>
              <w:t>美国证券交易所</w:t>
            </w:r>
          </w:p>
        </w:tc>
        <w:tc>
          <w:tcPr>
            <w:tcW w:w="0" w:type="auto"/>
            <w:vAlign w:val="center"/>
          </w:tcPr>
          <w:p w:rsidR="0033542E" w:rsidRDefault="005C059E">
            <w:pPr>
              <w:jc w:val="center"/>
            </w:pPr>
            <w:r>
              <w:rPr>
                <w:color w:val="000000"/>
                <w:sz w:val="24"/>
              </w:rPr>
              <w:t>美国</w:t>
            </w:r>
          </w:p>
        </w:tc>
        <w:tc>
          <w:tcPr>
            <w:tcW w:w="0" w:type="auto"/>
            <w:vAlign w:val="center"/>
          </w:tcPr>
          <w:p w:rsidR="0033542E" w:rsidRDefault="005C059E">
            <w:pPr>
              <w:jc w:val="right"/>
            </w:pPr>
            <w:r>
              <w:rPr>
                <w:color w:val="000000"/>
                <w:sz w:val="24"/>
              </w:rPr>
              <w:t>89,767</w:t>
            </w:r>
          </w:p>
        </w:tc>
        <w:tc>
          <w:tcPr>
            <w:tcW w:w="0" w:type="auto"/>
            <w:vAlign w:val="center"/>
          </w:tcPr>
          <w:p w:rsidR="0033542E" w:rsidRDefault="005C059E">
            <w:pPr>
              <w:jc w:val="right"/>
            </w:pPr>
            <w:r>
              <w:rPr>
                <w:color w:val="000000"/>
                <w:sz w:val="24"/>
              </w:rPr>
              <w:t>47,373,176.25</w:t>
            </w:r>
          </w:p>
        </w:tc>
        <w:tc>
          <w:tcPr>
            <w:tcW w:w="0" w:type="auto"/>
            <w:vAlign w:val="center"/>
          </w:tcPr>
          <w:p w:rsidR="0033542E" w:rsidRDefault="005C059E">
            <w:pPr>
              <w:jc w:val="right"/>
            </w:pPr>
            <w:r>
              <w:rPr>
                <w:color w:val="000000"/>
                <w:sz w:val="24"/>
              </w:rPr>
              <w:t>8.14</w:t>
            </w:r>
          </w:p>
        </w:tc>
      </w:tr>
      <w:tr w:rsidR="0033542E">
        <w:tc>
          <w:tcPr>
            <w:tcW w:w="0" w:type="auto"/>
            <w:vAlign w:val="center"/>
          </w:tcPr>
          <w:p w:rsidR="0033542E" w:rsidRDefault="005C059E">
            <w:pPr>
              <w:jc w:val="center"/>
            </w:pPr>
            <w:r>
              <w:rPr>
                <w:color w:val="000000"/>
                <w:sz w:val="24"/>
              </w:rPr>
              <w:t>3</w:t>
            </w:r>
          </w:p>
        </w:tc>
        <w:tc>
          <w:tcPr>
            <w:tcW w:w="0" w:type="auto"/>
            <w:vAlign w:val="center"/>
          </w:tcPr>
          <w:p w:rsidR="0033542E" w:rsidRDefault="005C059E">
            <w:pPr>
              <w:jc w:val="center"/>
            </w:pPr>
            <w:r>
              <w:rPr>
                <w:color w:val="000000"/>
                <w:sz w:val="24"/>
              </w:rPr>
              <w:t>Baidu Inc.</w:t>
            </w:r>
          </w:p>
        </w:tc>
        <w:tc>
          <w:tcPr>
            <w:tcW w:w="0" w:type="auto"/>
            <w:vAlign w:val="center"/>
          </w:tcPr>
          <w:p w:rsidR="0033542E" w:rsidRDefault="005C059E">
            <w:pPr>
              <w:jc w:val="center"/>
            </w:pPr>
            <w:r>
              <w:rPr>
                <w:color w:val="000000"/>
                <w:sz w:val="24"/>
              </w:rPr>
              <w:t>百度股份有限公司</w:t>
            </w:r>
          </w:p>
        </w:tc>
        <w:tc>
          <w:tcPr>
            <w:tcW w:w="0" w:type="auto"/>
            <w:vAlign w:val="center"/>
          </w:tcPr>
          <w:p w:rsidR="0033542E" w:rsidRDefault="005C059E">
            <w:pPr>
              <w:jc w:val="center"/>
            </w:pPr>
            <w:r>
              <w:rPr>
                <w:color w:val="000000"/>
                <w:sz w:val="24"/>
              </w:rPr>
              <w:t>BIDU US</w:t>
            </w:r>
          </w:p>
        </w:tc>
        <w:tc>
          <w:tcPr>
            <w:tcW w:w="0" w:type="auto"/>
            <w:vAlign w:val="center"/>
          </w:tcPr>
          <w:p w:rsidR="0033542E" w:rsidRDefault="005C059E">
            <w:pPr>
              <w:jc w:val="center"/>
            </w:pPr>
            <w:r>
              <w:rPr>
                <w:color w:val="000000"/>
                <w:sz w:val="24"/>
              </w:rPr>
              <w:t>美国证券交易所</w:t>
            </w:r>
          </w:p>
        </w:tc>
        <w:tc>
          <w:tcPr>
            <w:tcW w:w="0" w:type="auto"/>
            <w:vAlign w:val="center"/>
          </w:tcPr>
          <w:p w:rsidR="0033542E" w:rsidRDefault="005C059E">
            <w:pPr>
              <w:jc w:val="center"/>
            </w:pPr>
            <w:r>
              <w:rPr>
                <w:color w:val="000000"/>
                <w:sz w:val="24"/>
              </w:rPr>
              <w:t>美国</w:t>
            </w:r>
          </w:p>
        </w:tc>
        <w:tc>
          <w:tcPr>
            <w:tcW w:w="0" w:type="auto"/>
            <w:vAlign w:val="center"/>
          </w:tcPr>
          <w:p w:rsidR="0033542E" w:rsidRDefault="005C059E">
            <w:pPr>
              <w:jc w:val="right"/>
            </w:pPr>
            <w:r>
              <w:rPr>
                <w:color w:val="000000"/>
                <w:sz w:val="24"/>
              </w:rPr>
              <w:t>32,432</w:t>
            </w:r>
          </w:p>
        </w:tc>
        <w:tc>
          <w:tcPr>
            <w:tcW w:w="0" w:type="auto"/>
            <w:vAlign w:val="center"/>
          </w:tcPr>
          <w:p w:rsidR="0033542E" w:rsidRDefault="005C059E">
            <w:pPr>
              <w:jc w:val="right"/>
            </w:pPr>
            <w:r>
              <w:rPr>
                <w:color w:val="000000"/>
                <w:sz w:val="24"/>
              </w:rPr>
              <w:t>39,811,906.27</w:t>
            </w:r>
          </w:p>
        </w:tc>
        <w:tc>
          <w:tcPr>
            <w:tcW w:w="0" w:type="auto"/>
            <w:vAlign w:val="center"/>
          </w:tcPr>
          <w:p w:rsidR="0033542E" w:rsidRDefault="005C059E">
            <w:pPr>
              <w:jc w:val="right"/>
            </w:pPr>
            <w:r>
              <w:rPr>
                <w:color w:val="000000"/>
                <w:sz w:val="24"/>
              </w:rPr>
              <w:t>6.84</w:t>
            </w:r>
          </w:p>
        </w:tc>
      </w:tr>
      <w:tr w:rsidR="0033542E">
        <w:tc>
          <w:tcPr>
            <w:tcW w:w="0" w:type="auto"/>
            <w:vAlign w:val="center"/>
          </w:tcPr>
          <w:p w:rsidR="0033542E" w:rsidRDefault="005C059E">
            <w:pPr>
              <w:jc w:val="center"/>
            </w:pPr>
            <w:r>
              <w:rPr>
                <w:color w:val="000000"/>
                <w:sz w:val="24"/>
              </w:rPr>
              <w:t>4</w:t>
            </w:r>
          </w:p>
        </w:tc>
        <w:tc>
          <w:tcPr>
            <w:tcW w:w="0" w:type="auto"/>
            <w:vAlign w:val="center"/>
          </w:tcPr>
          <w:p w:rsidR="0033542E" w:rsidRDefault="005C059E">
            <w:pPr>
              <w:jc w:val="center"/>
            </w:pPr>
            <w:r>
              <w:rPr>
                <w:color w:val="000000"/>
                <w:sz w:val="24"/>
              </w:rPr>
              <w:t>Ctrip.Com International, Ltd.</w:t>
            </w:r>
          </w:p>
        </w:tc>
        <w:tc>
          <w:tcPr>
            <w:tcW w:w="0" w:type="auto"/>
            <w:vAlign w:val="center"/>
          </w:tcPr>
          <w:p w:rsidR="0033542E" w:rsidRDefault="005C059E">
            <w:pPr>
              <w:jc w:val="center"/>
            </w:pPr>
            <w:r>
              <w:rPr>
                <w:color w:val="000000"/>
                <w:sz w:val="24"/>
              </w:rPr>
              <w:t>携程旅行网</w:t>
            </w:r>
          </w:p>
        </w:tc>
        <w:tc>
          <w:tcPr>
            <w:tcW w:w="0" w:type="auto"/>
            <w:vAlign w:val="center"/>
          </w:tcPr>
          <w:p w:rsidR="0033542E" w:rsidRDefault="005C059E">
            <w:pPr>
              <w:jc w:val="center"/>
            </w:pPr>
            <w:r>
              <w:rPr>
                <w:color w:val="000000"/>
                <w:sz w:val="24"/>
              </w:rPr>
              <w:t>CTRP US</w:t>
            </w:r>
          </w:p>
        </w:tc>
        <w:tc>
          <w:tcPr>
            <w:tcW w:w="0" w:type="auto"/>
            <w:vAlign w:val="center"/>
          </w:tcPr>
          <w:p w:rsidR="0033542E" w:rsidRDefault="005C059E">
            <w:pPr>
              <w:jc w:val="center"/>
            </w:pPr>
            <w:r>
              <w:rPr>
                <w:color w:val="000000"/>
                <w:sz w:val="24"/>
              </w:rPr>
              <w:t>美国证券交易所</w:t>
            </w:r>
          </w:p>
        </w:tc>
        <w:tc>
          <w:tcPr>
            <w:tcW w:w="0" w:type="auto"/>
            <w:vAlign w:val="center"/>
          </w:tcPr>
          <w:p w:rsidR="0033542E" w:rsidRDefault="005C059E">
            <w:pPr>
              <w:jc w:val="center"/>
            </w:pPr>
            <w:r>
              <w:rPr>
                <w:color w:val="000000"/>
                <w:sz w:val="24"/>
              </w:rPr>
              <w:t>美国</w:t>
            </w:r>
          </w:p>
        </w:tc>
        <w:tc>
          <w:tcPr>
            <w:tcW w:w="0" w:type="auto"/>
            <w:vAlign w:val="center"/>
          </w:tcPr>
          <w:p w:rsidR="0033542E" w:rsidRDefault="005C059E">
            <w:pPr>
              <w:jc w:val="right"/>
            </w:pPr>
            <w:r>
              <w:rPr>
                <w:color w:val="000000"/>
                <w:sz w:val="24"/>
              </w:rPr>
              <w:t>111,399</w:t>
            </w:r>
          </w:p>
        </w:tc>
        <w:tc>
          <w:tcPr>
            <w:tcW w:w="0" w:type="auto"/>
            <w:vAlign w:val="center"/>
          </w:tcPr>
          <w:p w:rsidR="0033542E" w:rsidRDefault="005C059E">
            <w:pPr>
              <w:jc w:val="right"/>
            </w:pPr>
            <w:r>
              <w:rPr>
                <w:color w:val="000000"/>
                <w:sz w:val="24"/>
              </w:rPr>
              <w:t>33,514,220.71</w:t>
            </w:r>
          </w:p>
        </w:tc>
        <w:tc>
          <w:tcPr>
            <w:tcW w:w="0" w:type="auto"/>
            <w:vAlign w:val="center"/>
          </w:tcPr>
          <w:p w:rsidR="0033542E" w:rsidRDefault="005C059E">
            <w:pPr>
              <w:jc w:val="right"/>
            </w:pPr>
            <w:r>
              <w:rPr>
                <w:color w:val="000000"/>
                <w:sz w:val="24"/>
              </w:rPr>
              <w:t>5.76</w:t>
            </w:r>
          </w:p>
        </w:tc>
      </w:tr>
      <w:tr w:rsidR="0033542E">
        <w:tc>
          <w:tcPr>
            <w:tcW w:w="0" w:type="auto"/>
            <w:vAlign w:val="center"/>
          </w:tcPr>
          <w:p w:rsidR="0033542E" w:rsidRDefault="005C059E">
            <w:pPr>
              <w:jc w:val="center"/>
            </w:pPr>
            <w:r>
              <w:rPr>
                <w:color w:val="000000"/>
                <w:sz w:val="24"/>
              </w:rPr>
              <w:t>5</w:t>
            </w:r>
          </w:p>
        </w:tc>
        <w:tc>
          <w:tcPr>
            <w:tcW w:w="0" w:type="auto"/>
            <w:vAlign w:val="center"/>
          </w:tcPr>
          <w:p w:rsidR="0033542E" w:rsidRDefault="005C059E">
            <w:pPr>
              <w:jc w:val="center"/>
            </w:pPr>
            <w:r>
              <w:rPr>
                <w:color w:val="000000"/>
                <w:sz w:val="24"/>
              </w:rPr>
              <w:t>Jd.Com Inc.</w:t>
            </w:r>
          </w:p>
        </w:tc>
        <w:tc>
          <w:tcPr>
            <w:tcW w:w="0" w:type="auto"/>
            <w:vAlign w:val="center"/>
          </w:tcPr>
          <w:p w:rsidR="0033542E" w:rsidRDefault="005C059E">
            <w:pPr>
              <w:jc w:val="center"/>
            </w:pPr>
            <w:r>
              <w:rPr>
                <w:color w:val="000000"/>
                <w:sz w:val="24"/>
              </w:rPr>
              <w:t>京东集团</w:t>
            </w:r>
          </w:p>
        </w:tc>
        <w:tc>
          <w:tcPr>
            <w:tcW w:w="0" w:type="auto"/>
            <w:vAlign w:val="center"/>
          </w:tcPr>
          <w:p w:rsidR="0033542E" w:rsidRDefault="005C059E">
            <w:pPr>
              <w:jc w:val="center"/>
            </w:pPr>
            <w:r>
              <w:rPr>
                <w:color w:val="000000"/>
                <w:sz w:val="24"/>
              </w:rPr>
              <w:t>JD US</w:t>
            </w:r>
          </w:p>
        </w:tc>
        <w:tc>
          <w:tcPr>
            <w:tcW w:w="0" w:type="auto"/>
            <w:vAlign w:val="center"/>
          </w:tcPr>
          <w:p w:rsidR="0033542E" w:rsidRDefault="005C059E">
            <w:pPr>
              <w:jc w:val="center"/>
            </w:pPr>
            <w:r>
              <w:rPr>
                <w:color w:val="000000"/>
                <w:sz w:val="24"/>
              </w:rPr>
              <w:t>美国证券交易所</w:t>
            </w:r>
          </w:p>
        </w:tc>
        <w:tc>
          <w:tcPr>
            <w:tcW w:w="0" w:type="auto"/>
            <w:vAlign w:val="center"/>
          </w:tcPr>
          <w:p w:rsidR="0033542E" w:rsidRDefault="005C059E">
            <w:pPr>
              <w:jc w:val="center"/>
            </w:pPr>
            <w:r>
              <w:rPr>
                <w:color w:val="000000"/>
                <w:sz w:val="24"/>
              </w:rPr>
              <w:t>美国</w:t>
            </w:r>
          </w:p>
        </w:tc>
        <w:tc>
          <w:tcPr>
            <w:tcW w:w="0" w:type="auto"/>
            <w:vAlign w:val="center"/>
          </w:tcPr>
          <w:p w:rsidR="0033542E" w:rsidRDefault="005C059E">
            <w:pPr>
              <w:jc w:val="right"/>
            </w:pPr>
            <w:r>
              <w:rPr>
                <w:color w:val="000000"/>
                <w:sz w:val="24"/>
              </w:rPr>
              <w:t>155,927</w:t>
            </w:r>
          </w:p>
        </w:tc>
        <w:tc>
          <w:tcPr>
            <w:tcW w:w="0" w:type="auto"/>
            <w:vAlign w:val="center"/>
          </w:tcPr>
          <w:p w:rsidR="0033542E" w:rsidRDefault="005C059E">
            <w:pPr>
              <w:jc w:val="right"/>
            </w:pPr>
            <w:r>
              <w:rPr>
                <w:color w:val="000000"/>
                <w:sz w:val="24"/>
              </w:rPr>
              <w:t>32,669,201.99</w:t>
            </w:r>
          </w:p>
        </w:tc>
        <w:tc>
          <w:tcPr>
            <w:tcW w:w="0" w:type="auto"/>
            <w:vAlign w:val="center"/>
          </w:tcPr>
          <w:p w:rsidR="0033542E" w:rsidRDefault="005C059E">
            <w:pPr>
              <w:jc w:val="right"/>
            </w:pPr>
            <w:r>
              <w:rPr>
                <w:color w:val="000000"/>
                <w:sz w:val="24"/>
              </w:rPr>
              <w:t>5.61</w:t>
            </w:r>
          </w:p>
        </w:tc>
      </w:tr>
      <w:tr w:rsidR="0033542E">
        <w:tc>
          <w:tcPr>
            <w:tcW w:w="0" w:type="auto"/>
            <w:vAlign w:val="center"/>
          </w:tcPr>
          <w:p w:rsidR="0033542E" w:rsidRDefault="005C059E">
            <w:pPr>
              <w:jc w:val="center"/>
            </w:pPr>
            <w:r>
              <w:rPr>
                <w:color w:val="000000"/>
                <w:sz w:val="24"/>
              </w:rPr>
              <w:t>6</w:t>
            </w:r>
          </w:p>
        </w:tc>
        <w:tc>
          <w:tcPr>
            <w:tcW w:w="0" w:type="auto"/>
            <w:vAlign w:val="center"/>
          </w:tcPr>
          <w:p w:rsidR="0033542E" w:rsidRDefault="005C059E">
            <w:pPr>
              <w:jc w:val="center"/>
            </w:pPr>
            <w:r>
              <w:rPr>
                <w:color w:val="000000"/>
                <w:sz w:val="24"/>
              </w:rPr>
              <w:t>58.Com Inc.</w:t>
            </w:r>
          </w:p>
        </w:tc>
        <w:tc>
          <w:tcPr>
            <w:tcW w:w="0" w:type="auto"/>
            <w:vAlign w:val="center"/>
          </w:tcPr>
          <w:p w:rsidR="0033542E" w:rsidRDefault="005C059E">
            <w:pPr>
              <w:jc w:val="center"/>
            </w:pPr>
            <w:r>
              <w:rPr>
                <w:color w:val="000000"/>
                <w:sz w:val="24"/>
              </w:rPr>
              <w:t>58</w:t>
            </w:r>
            <w:r>
              <w:rPr>
                <w:color w:val="000000"/>
                <w:sz w:val="24"/>
              </w:rPr>
              <w:t>同城网</w:t>
            </w:r>
          </w:p>
        </w:tc>
        <w:tc>
          <w:tcPr>
            <w:tcW w:w="0" w:type="auto"/>
            <w:vAlign w:val="center"/>
          </w:tcPr>
          <w:p w:rsidR="0033542E" w:rsidRDefault="005C059E">
            <w:pPr>
              <w:jc w:val="center"/>
            </w:pPr>
            <w:r>
              <w:rPr>
                <w:color w:val="000000"/>
                <w:sz w:val="24"/>
              </w:rPr>
              <w:t>WUBA US</w:t>
            </w:r>
          </w:p>
        </w:tc>
        <w:tc>
          <w:tcPr>
            <w:tcW w:w="0" w:type="auto"/>
            <w:vAlign w:val="center"/>
          </w:tcPr>
          <w:p w:rsidR="0033542E" w:rsidRDefault="005C059E">
            <w:pPr>
              <w:jc w:val="center"/>
            </w:pPr>
            <w:r>
              <w:rPr>
                <w:color w:val="000000"/>
                <w:sz w:val="24"/>
              </w:rPr>
              <w:t>美国证券交易所</w:t>
            </w:r>
          </w:p>
        </w:tc>
        <w:tc>
          <w:tcPr>
            <w:tcW w:w="0" w:type="auto"/>
            <w:vAlign w:val="center"/>
          </w:tcPr>
          <w:p w:rsidR="0033542E" w:rsidRDefault="005C059E">
            <w:pPr>
              <w:jc w:val="center"/>
            </w:pPr>
            <w:r>
              <w:rPr>
                <w:color w:val="000000"/>
                <w:sz w:val="24"/>
              </w:rPr>
              <w:t>美国</w:t>
            </w:r>
          </w:p>
        </w:tc>
        <w:tc>
          <w:tcPr>
            <w:tcW w:w="0" w:type="auto"/>
            <w:vAlign w:val="center"/>
          </w:tcPr>
          <w:p w:rsidR="0033542E" w:rsidRDefault="005C059E">
            <w:pPr>
              <w:jc w:val="right"/>
            </w:pPr>
            <w:r>
              <w:rPr>
                <w:color w:val="000000"/>
                <w:sz w:val="24"/>
              </w:rPr>
              <w:t>55,070</w:t>
            </w:r>
          </w:p>
        </w:tc>
        <w:tc>
          <w:tcPr>
            <w:tcW w:w="0" w:type="auto"/>
            <w:vAlign w:val="center"/>
          </w:tcPr>
          <w:p w:rsidR="0033542E" w:rsidRDefault="005C059E">
            <w:pPr>
              <w:jc w:val="right"/>
            </w:pPr>
            <w:r>
              <w:rPr>
                <w:color w:val="000000"/>
                <w:sz w:val="24"/>
              </w:rPr>
              <w:t>23,587,464.33</w:t>
            </w:r>
          </w:p>
        </w:tc>
        <w:tc>
          <w:tcPr>
            <w:tcW w:w="0" w:type="auto"/>
            <w:vAlign w:val="center"/>
          </w:tcPr>
          <w:p w:rsidR="0033542E" w:rsidRDefault="005C059E">
            <w:pPr>
              <w:jc w:val="right"/>
            </w:pPr>
            <w:r>
              <w:rPr>
                <w:color w:val="000000"/>
                <w:sz w:val="24"/>
              </w:rPr>
              <w:t>4.05</w:t>
            </w:r>
          </w:p>
        </w:tc>
      </w:tr>
      <w:tr w:rsidR="0033542E">
        <w:tc>
          <w:tcPr>
            <w:tcW w:w="0" w:type="auto"/>
            <w:vAlign w:val="center"/>
          </w:tcPr>
          <w:p w:rsidR="0033542E" w:rsidRDefault="005C059E">
            <w:pPr>
              <w:jc w:val="center"/>
            </w:pPr>
            <w:r>
              <w:rPr>
                <w:color w:val="000000"/>
                <w:sz w:val="24"/>
              </w:rPr>
              <w:t>7</w:t>
            </w:r>
          </w:p>
        </w:tc>
        <w:tc>
          <w:tcPr>
            <w:tcW w:w="0" w:type="auto"/>
            <w:vAlign w:val="center"/>
          </w:tcPr>
          <w:p w:rsidR="0033542E" w:rsidRDefault="005C059E">
            <w:pPr>
              <w:jc w:val="center"/>
            </w:pPr>
            <w:r>
              <w:rPr>
                <w:color w:val="000000"/>
                <w:sz w:val="24"/>
              </w:rPr>
              <w:t>Qihoo 360 Technology Co Ltd.</w:t>
            </w:r>
          </w:p>
        </w:tc>
        <w:tc>
          <w:tcPr>
            <w:tcW w:w="0" w:type="auto"/>
            <w:vAlign w:val="center"/>
          </w:tcPr>
          <w:p w:rsidR="0033542E" w:rsidRDefault="005C059E">
            <w:pPr>
              <w:jc w:val="center"/>
            </w:pPr>
            <w:r>
              <w:rPr>
                <w:color w:val="000000"/>
                <w:sz w:val="24"/>
              </w:rPr>
              <w:t>北京奇虎科技有限公司</w:t>
            </w:r>
          </w:p>
        </w:tc>
        <w:tc>
          <w:tcPr>
            <w:tcW w:w="0" w:type="auto"/>
            <w:vAlign w:val="center"/>
          </w:tcPr>
          <w:p w:rsidR="0033542E" w:rsidRDefault="005C059E">
            <w:pPr>
              <w:jc w:val="center"/>
            </w:pPr>
            <w:r>
              <w:rPr>
                <w:color w:val="000000"/>
                <w:sz w:val="24"/>
              </w:rPr>
              <w:t>QIHU US</w:t>
            </w:r>
          </w:p>
        </w:tc>
        <w:tc>
          <w:tcPr>
            <w:tcW w:w="0" w:type="auto"/>
            <w:vAlign w:val="center"/>
          </w:tcPr>
          <w:p w:rsidR="0033542E" w:rsidRDefault="005C059E">
            <w:pPr>
              <w:jc w:val="center"/>
            </w:pPr>
            <w:r>
              <w:rPr>
                <w:color w:val="000000"/>
                <w:sz w:val="24"/>
              </w:rPr>
              <w:t>美国证券交易所</w:t>
            </w:r>
          </w:p>
        </w:tc>
        <w:tc>
          <w:tcPr>
            <w:tcW w:w="0" w:type="auto"/>
            <w:vAlign w:val="center"/>
          </w:tcPr>
          <w:p w:rsidR="0033542E" w:rsidRDefault="005C059E">
            <w:pPr>
              <w:jc w:val="center"/>
            </w:pPr>
            <w:r>
              <w:rPr>
                <w:color w:val="000000"/>
                <w:sz w:val="24"/>
              </w:rPr>
              <w:t>美国</w:t>
            </w:r>
          </w:p>
        </w:tc>
        <w:tc>
          <w:tcPr>
            <w:tcW w:w="0" w:type="auto"/>
            <w:vAlign w:val="center"/>
          </w:tcPr>
          <w:p w:rsidR="0033542E" w:rsidRDefault="005C059E">
            <w:pPr>
              <w:jc w:val="right"/>
            </w:pPr>
            <w:r>
              <w:rPr>
                <w:color w:val="000000"/>
                <w:sz w:val="24"/>
              </w:rPr>
              <w:t>47,509</w:t>
            </w:r>
          </w:p>
        </w:tc>
        <w:tc>
          <w:tcPr>
            <w:tcW w:w="0" w:type="auto"/>
            <w:vAlign w:val="center"/>
          </w:tcPr>
          <w:p w:rsidR="0033542E" w:rsidRDefault="005C059E">
            <w:pPr>
              <w:jc w:val="right"/>
            </w:pPr>
            <w:r>
              <w:rPr>
                <w:color w:val="000000"/>
                <w:sz w:val="24"/>
              </w:rPr>
              <w:t>22,462,208.45</w:t>
            </w:r>
          </w:p>
        </w:tc>
        <w:tc>
          <w:tcPr>
            <w:tcW w:w="0" w:type="auto"/>
            <w:vAlign w:val="center"/>
          </w:tcPr>
          <w:p w:rsidR="0033542E" w:rsidRDefault="005C059E">
            <w:pPr>
              <w:jc w:val="right"/>
            </w:pPr>
            <w:r>
              <w:rPr>
                <w:color w:val="000000"/>
                <w:sz w:val="24"/>
              </w:rPr>
              <w:t>3.86</w:t>
            </w:r>
          </w:p>
        </w:tc>
      </w:tr>
      <w:tr w:rsidR="0033542E">
        <w:tc>
          <w:tcPr>
            <w:tcW w:w="0" w:type="auto"/>
            <w:vAlign w:val="center"/>
          </w:tcPr>
          <w:p w:rsidR="0033542E" w:rsidRDefault="005C059E">
            <w:pPr>
              <w:jc w:val="center"/>
            </w:pPr>
            <w:r>
              <w:rPr>
                <w:color w:val="000000"/>
                <w:sz w:val="24"/>
              </w:rPr>
              <w:t>8</w:t>
            </w:r>
          </w:p>
        </w:tc>
        <w:tc>
          <w:tcPr>
            <w:tcW w:w="0" w:type="auto"/>
            <w:vAlign w:val="center"/>
          </w:tcPr>
          <w:p w:rsidR="0033542E" w:rsidRDefault="005C059E">
            <w:pPr>
              <w:jc w:val="center"/>
            </w:pPr>
            <w:r>
              <w:rPr>
                <w:color w:val="000000"/>
                <w:sz w:val="24"/>
              </w:rPr>
              <w:t>Netease.Com Inc.</w:t>
            </w:r>
          </w:p>
        </w:tc>
        <w:tc>
          <w:tcPr>
            <w:tcW w:w="0" w:type="auto"/>
            <w:vAlign w:val="center"/>
          </w:tcPr>
          <w:p w:rsidR="0033542E" w:rsidRDefault="005C059E">
            <w:pPr>
              <w:jc w:val="center"/>
            </w:pPr>
            <w:r>
              <w:rPr>
                <w:color w:val="000000"/>
                <w:sz w:val="24"/>
              </w:rPr>
              <w:t>网易公司</w:t>
            </w:r>
          </w:p>
        </w:tc>
        <w:tc>
          <w:tcPr>
            <w:tcW w:w="0" w:type="auto"/>
            <w:vAlign w:val="center"/>
          </w:tcPr>
          <w:p w:rsidR="0033542E" w:rsidRDefault="005C059E">
            <w:pPr>
              <w:jc w:val="center"/>
            </w:pPr>
            <w:r>
              <w:rPr>
                <w:color w:val="000000"/>
                <w:sz w:val="24"/>
              </w:rPr>
              <w:t>NTES US</w:t>
            </w:r>
          </w:p>
        </w:tc>
        <w:tc>
          <w:tcPr>
            <w:tcW w:w="0" w:type="auto"/>
            <w:vAlign w:val="center"/>
          </w:tcPr>
          <w:p w:rsidR="0033542E" w:rsidRDefault="005C059E">
            <w:pPr>
              <w:jc w:val="center"/>
            </w:pPr>
            <w:r>
              <w:rPr>
                <w:color w:val="000000"/>
                <w:sz w:val="24"/>
              </w:rPr>
              <w:t>美国证券交易所</w:t>
            </w:r>
          </w:p>
        </w:tc>
        <w:tc>
          <w:tcPr>
            <w:tcW w:w="0" w:type="auto"/>
            <w:vAlign w:val="center"/>
          </w:tcPr>
          <w:p w:rsidR="0033542E" w:rsidRDefault="005C059E">
            <w:pPr>
              <w:jc w:val="center"/>
            </w:pPr>
            <w:r>
              <w:rPr>
                <w:color w:val="000000"/>
                <w:sz w:val="24"/>
              </w:rPr>
              <w:t>美国</w:t>
            </w:r>
          </w:p>
        </w:tc>
        <w:tc>
          <w:tcPr>
            <w:tcW w:w="0" w:type="auto"/>
            <w:vAlign w:val="center"/>
          </w:tcPr>
          <w:p w:rsidR="0033542E" w:rsidRDefault="005C059E">
            <w:pPr>
              <w:jc w:val="right"/>
            </w:pPr>
            <w:r>
              <w:rPr>
                <w:color w:val="000000"/>
                <w:sz w:val="24"/>
              </w:rPr>
              <w:t>19,007</w:t>
            </w:r>
          </w:p>
        </w:tc>
        <w:tc>
          <w:tcPr>
            <w:tcW w:w="0" w:type="auto"/>
            <w:vAlign w:val="center"/>
          </w:tcPr>
          <w:p w:rsidR="0033542E" w:rsidRDefault="005C059E">
            <w:pPr>
              <w:jc w:val="right"/>
            </w:pPr>
            <w:r>
              <w:rPr>
                <w:color w:val="000000"/>
                <w:sz w:val="24"/>
              </w:rPr>
              <w:t>22,369,339.52</w:t>
            </w:r>
          </w:p>
        </w:tc>
        <w:tc>
          <w:tcPr>
            <w:tcW w:w="0" w:type="auto"/>
            <w:vAlign w:val="center"/>
          </w:tcPr>
          <w:p w:rsidR="0033542E" w:rsidRDefault="005C059E">
            <w:pPr>
              <w:jc w:val="right"/>
            </w:pPr>
            <w:r>
              <w:rPr>
                <w:color w:val="000000"/>
                <w:sz w:val="24"/>
              </w:rPr>
              <w:t>3.84</w:t>
            </w:r>
          </w:p>
        </w:tc>
      </w:tr>
      <w:tr w:rsidR="0033542E">
        <w:tc>
          <w:tcPr>
            <w:tcW w:w="0" w:type="auto"/>
            <w:vAlign w:val="center"/>
          </w:tcPr>
          <w:p w:rsidR="0033542E" w:rsidRDefault="005C059E">
            <w:pPr>
              <w:jc w:val="center"/>
            </w:pPr>
            <w:r>
              <w:rPr>
                <w:color w:val="000000"/>
                <w:sz w:val="24"/>
              </w:rPr>
              <w:t>9</w:t>
            </w:r>
          </w:p>
        </w:tc>
        <w:tc>
          <w:tcPr>
            <w:tcW w:w="0" w:type="auto"/>
            <w:vAlign w:val="center"/>
          </w:tcPr>
          <w:p w:rsidR="0033542E" w:rsidRDefault="005C059E">
            <w:pPr>
              <w:jc w:val="center"/>
            </w:pPr>
            <w:r>
              <w:rPr>
                <w:color w:val="000000"/>
                <w:sz w:val="24"/>
              </w:rPr>
              <w:t>Youku Tudou Inc.</w:t>
            </w:r>
          </w:p>
        </w:tc>
        <w:tc>
          <w:tcPr>
            <w:tcW w:w="0" w:type="auto"/>
            <w:vAlign w:val="center"/>
          </w:tcPr>
          <w:p w:rsidR="0033542E" w:rsidRDefault="005C059E">
            <w:pPr>
              <w:jc w:val="center"/>
            </w:pPr>
            <w:r>
              <w:rPr>
                <w:color w:val="000000"/>
                <w:sz w:val="24"/>
              </w:rPr>
              <w:t>优酷土豆股份有限公司</w:t>
            </w:r>
          </w:p>
        </w:tc>
        <w:tc>
          <w:tcPr>
            <w:tcW w:w="0" w:type="auto"/>
            <w:vAlign w:val="center"/>
          </w:tcPr>
          <w:p w:rsidR="0033542E" w:rsidRDefault="005C059E">
            <w:pPr>
              <w:jc w:val="center"/>
            </w:pPr>
            <w:r>
              <w:rPr>
                <w:color w:val="000000"/>
                <w:sz w:val="24"/>
              </w:rPr>
              <w:t>YOKU US</w:t>
            </w:r>
          </w:p>
        </w:tc>
        <w:tc>
          <w:tcPr>
            <w:tcW w:w="0" w:type="auto"/>
            <w:vAlign w:val="center"/>
          </w:tcPr>
          <w:p w:rsidR="0033542E" w:rsidRDefault="005C059E">
            <w:pPr>
              <w:jc w:val="center"/>
            </w:pPr>
            <w:r>
              <w:rPr>
                <w:color w:val="000000"/>
                <w:sz w:val="24"/>
              </w:rPr>
              <w:t>美国证券交易所</w:t>
            </w:r>
          </w:p>
        </w:tc>
        <w:tc>
          <w:tcPr>
            <w:tcW w:w="0" w:type="auto"/>
            <w:vAlign w:val="center"/>
          </w:tcPr>
          <w:p w:rsidR="0033542E" w:rsidRDefault="005C059E">
            <w:pPr>
              <w:jc w:val="center"/>
            </w:pPr>
            <w:r>
              <w:rPr>
                <w:color w:val="000000"/>
                <w:sz w:val="24"/>
              </w:rPr>
              <w:t>美国</w:t>
            </w:r>
          </w:p>
        </w:tc>
        <w:tc>
          <w:tcPr>
            <w:tcW w:w="0" w:type="auto"/>
            <w:vAlign w:val="center"/>
          </w:tcPr>
          <w:p w:rsidR="0033542E" w:rsidRDefault="005C059E">
            <w:pPr>
              <w:jc w:val="right"/>
            </w:pPr>
            <w:r>
              <w:rPr>
                <w:color w:val="000000"/>
                <w:sz w:val="24"/>
              </w:rPr>
              <w:t>125,306</w:t>
            </w:r>
          </w:p>
        </w:tc>
        <w:tc>
          <w:tcPr>
            <w:tcW w:w="0" w:type="auto"/>
            <w:vAlign w:val="center"/>
          </w:tcPr>
          <w:p w:rsidR="0033542E" w:rsidRDefault="005C059E">
            <w:pPr>
              <w:jc w:val="right"/>
            </w:pPr>
            <w:r>
              <w:rPr>
                <w:color w:val="000000"/>
                <w:sz w:val="24"/>
              </w:rPr>
              <w:t>22,075,329.44</w:t>
            </w:r>
          </w:p>
        </w:tc>
        <w:tc>
          <w:tcPr>
            <w:tcW w:w="0" w:type="auto"/>
            <w:vAlign w:val="center"/>
          </w:tcPr>
          <w:p w:rsidR="0033542E" w:rsidRDefault="005C059E">
            <w:pPr>
              <w:jc w:val="right"/>
            </w:pPr>
            <w:r>
              <w:rPr>
                <w:color w:val="000000"/>
                <w:sz w:val="24"/>
              </w:rPr>
              <w:t>3.79</w:t>
            </w:r>
          </w:p>
        </w:tc>
      </w:tr>
      <w:tr w:rsidR="0033542E">
        <w:tc>
          <w:tcPr>
            <w:tcW w:w="0" w:type="auto"/>
            <w:vAlign w:val="center"/>
          </w:tcPr>
          <w:p w:rsidR="0033542E" w:rsidRDefault="005C059E">
            <w:pPr>
              <w:jc w:val="center"/>
            </w:pPr>
            <w:r>
              <w:rPr>
                <w:color w:val="000000"/>
                <w:sz w:val="24"/>
              </w:rPr>
              <w:t>10</w:t>
            </w:r>
          </w:p>
        </w:tc>
        <w:tc>
          <w:tcPr>
            <w:tcW w:w="0" w:type="auto"/>
            <w:vAlign w:val="center"/>
          </w:tcPr>
          <w:p w:rsidR="0033542E" w:rsidRDefault="005C059E">
            <w:pPr>
              <w:jc w:val="center"/>
            </w:pPr>
            <w:r>
              <w:rPr>
                <w:color w:val="000000"/>
                <w:sz w:val="24"/>
              </w:rPr>
              <w:t>Vipshop Holdings Ltd.</w:t>
            </w:r>
          </w:p>
        </w:tc>
        <w:tc>
          <w:tcPr>
            <w:tcW w:w="0" w:type="auto"/>
            <w:vAlign w:val="center"/>
          </w:tcPr>
          <w:p w:rsidR="0033542E" w:rsidRDefault="005C059E">
            <w:pPr>
              <w:jc w:val="center"/>
            </w:pPr>
            <w:r>
              <w:rPr>
                <w:color w:val="000000"/>
                <w:sz w:val="24"/>
              </w:rPr>
              <w:t>唯品会控股有限公司</w:t>
            </w:r>
          </w:p>
        </w:tc>
        <w:tc>
          <w:tcPr>
            <w:tcW w:w="0" w:type="auto"/>
            <w:vAlign w:val="center"/>
          </w:tcPr>
          <w:p w:rsidR="0033542E" w:rsidRDefault="005C059E">
            <w:pPr>
              <w:jc w:val="center"/>
            </w:pPr>
            <w:r>
              <w:rPr>
                <w:color w:val="000000"/>
                <w:sz w:val="24"/>
              </w:rPr>
              <w:t>VIPS US</w:t>
            </w:r>
          </w:p>
        </w:tc>
        <w:tc>
          <w:tcPr>
            <w:tcW w:w="0" w:type="auto"/>
            <w:vAlign w:val="center"/>
          </w:tcPr>
          <w:p w:rsidR="0033542E" w:rsidRDefault="005C059E">
            <w:pPr>
              <w:jc w:val="center"/>
            </w:pPr>
            <w:r>
              <w:rPr>
                <w:color w:val="000000"/>
                <w:sz w:val="24"/>
              </w:rPr>
              <w:t>美国证券交易所</w:t>
            </w:r>
          </w:p>
        </w:tc>
        <w:tc>
          <w:tcPr>
            <w:tcW w:w="0" w:type="auto"/>
            <w:vAlign w:val="center"/>
          </w:tcPr>
          <w:p w:rsidR="0033542E" w:rsidRDefault="005C059E">
            <w:pPr>
              <w:jc w:val="center"/>
            </w:pPr>
            <w:r>
              <w:rPr>
                <w:color w:val="000000"/>
                <w:sz w:val="24"/>
              </w:rPr>
              <w:t>美国</w:t>
            </w:r>
          </w:p>
        </w:tc>
        <w:tc>
          <w:tcPr>
            <w:tcW w:w="0" w:type="auto"/>
            <w:vAlign w:val="center"/>
          </w:tcPr>
          <w:p w:rsidR="0033542E" w:rsidRDefault="005C059E">
            <w:pPr>
              <w:jc w:val="right"/>
            </w:pPr>
            <w:r>
              <w:rPr>
                <w:color w:val="000000"/>
                <w:sz w:val="24"/>
              </w:rPr>
              <w:t>209,545</w:t>
            </w:r>
          </w:p>
        </w:tc>
        <w:tc>
          <w:tcPr>
            <w:tcW w:w="0" w:type="auto"/>
            <w:vAlign w:val="center"/>
          </w:tcPr>
          <w:p w:rsidR="0033542E" w:rsidRDefault="005C059E">
            <w:pPr>
              <w:jc w:val="right"/>
            </w:pPr>
            <w:r>
              <w:rPr>
                <w:color w:val="000000"/>
                <w:sz w:val="24"/>
              </w:rPr>
              <w:t>20,777,910.56</w:t>
            </w:r>
          </w:p>
        </w:tc>
        <w:tc>
          <w:tcPr>
            <w:tcW w:w="0" w:type="auto"/>
            <w:vAlign w:val="center"/>
          </w:tcPr>
          <w:p w:rsidR="0033542E" w:rsidRDefault="005C059E">
            <w:pPr>
              <w:jc w:val="right"/>
            </w:pPr>
            <w:r>
              <w:rPr>
                <w:color w:val="000000"/>
                <w:sz w:val="24"/>
              </w:rPr>
              <w:t>3.57</w:t>
            </w:r>
          </w:p>
        </w:tc>
      </w:tr>
    </w:tbl>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注：前十名股票及存托凭证的排名是按照上市公司不同的上市交易所合并计算排列所得。</w:t>
      </w:r>
    </w:p>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DB2E09">
          <w:rPr>
            <w:rFonts w:hint="eastAsia"/>
            <w:b/>
            <w:color w:val="000000"/>
            <w:kern w:val="0"/>
            <w:sz w:val="24"/>
          </w:rPr>
          <w:t>5.4.2</w:t>
        </w:r>
        <w:r w:rsidR="0043363E">
          <w:rPr>
            <w:rFonts w:hint="eastAsia"/>
            <w:b/>
            <w:color w:val="000000"/>
            <w:kern w:val="0"/>
            <w:sz w:val="24"/>
          </w:rPr>
          <w:t xml:space="preserve"> </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3A7261">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8,260,004.33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3,427.23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43,152.58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8,306,584.14</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3A7261">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3A7261">
        <w:rPr>
          <w:color w:val="000000"/>
          <w:kern w:val="0"/>
          <w:sz w:val="24"/>
        </w:rPr>
        <w:t>报告期末</w:t>
      </w:r>
      <w:r w:rsidR="005F690D" w:rsidRPr="003A7261">
        <w:rPr>
          <w:rFonts w:hint="eastAsia"/>
          <w:color w:val="000000"/>
          <w:kern w:val="0"/>
          <w:sz w:val="24"/>
        </w:rPr>
        <w:t>投资的</w:t>
      </w:r>
      <w:r w:rsidR="003E4E68" w:rsidRPr="003A7261">
        <w:rPr>
          <w:color w:val="000000"/>
          <w:kern w:val="0"/>
          <w:sz w:val="24"/>
        </w:rPr>
        <w:t>股票</w:t>
      </w:r>
      <w:r w:rsidRPr="003A7261">
        <w:rPr>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3A7261">
        <w:rPr>
          <w:rFonts w:hint="eastAsia"/>
          <w:color w:val="000000"/>
          <w:kern w:val="0"/>
          <w:sz w:val="24"/>
        </w:rPr>
        <w:t>报告期末指数投资前十名股票中存在流通受限情况的说明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3A7261">
        <w:rPr>
          <w:rFonts w:hint="eastAsia"/>
          <w:color w:val="000000"/>
          <w:kern w:val="0"/>
          <w:sz w:val="24"/>
        </w:rPr>
        <w:t>报告</w:t>
      </w:r>
      <w:r w:rsidRPr="003A7261">
        <w:rPr>
          <w:color w:val="000000"/>
          <w:kern w:val="0"/>
          <w:sz w:val="24"/>
        </w:rPr>
        <w:t>期末</w:t>
      </w:r>
      <w:r w:rsidRPr="003A7261">
        <w:rPr>
          <w:rFonts w:hint="eastAsia"/>
          <w:color w:val="000000"/>
          <w:kern w:val="0"/>
          <w:sz w:val="24"/>
        </w:rPr>
        <w:t>积极投资</w:t>
      </w:r>
      <w:r w:rsidRPr="003A7261">
        <w:rPr>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CE0AD2">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672,253,194.20</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16,698,194.49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87,352,975.06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601,598,413.63</w:t>
            </w:r>
          </w:p>
        </w:tc>
      </w:tr>
    </w:tbl>
    <w:p w:rsidR="0033542E" w:rsidRDefault="005C059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CE0AD2">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C059E">
      <w:pPr>
        <w:autoSpaceDE w:val="0"/>
        <w:autoSpaceDN w:val="0"/>
        <w:adjustRightInd w:val="0"/>
        <w:spacing w:before="29" w:line="288" w:lineRule="auto"/>
        <w:ind w:firstLineChars="200" w:firstLine="480"/>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CE0AD2">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33542E" w:rsidRDefault="005C059E">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33542E" w:rsidRDefault="005C059E">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33542E" w:rsidRDefault="005C059E">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33542E" w:rsidRDefault="005C059E">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33542E" w:rsidRDefault="005C059E">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33542E" w:rsidRDefault="005C059E">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33542E" w:rsidRDefault="005C059E">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33542E" w:rsidRDefault="005C059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C31" w:rsidRDefault="00592C31">
      <w:r>
        <w:separator/>
      </w:r>
    </w:p>
  </w:endnote>
  <w:endnote w:type="continuationSeparator" w:id="0">
    <w:p w:rsidR="00592C31" w:rsidRDefault="0059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Pr>
        <w:rFonts w:hint="eastAsia"/>
        <w:kern w:val="0"/>
        <w:szCs w:val="21"/>
      </w:rPr>
      <w:t xml:space="preserve"> </w:t>
    </w:r>
    <w:r w:rsidR="0033542E">
      <w:rPr>
        <w:kern w:val="0"/>
        <w:szCs w:val="21"/>
      </w:rPr>
      <w:fldChar w:fldCharType="begin"/>
    </w:r>
    <w:r>
      <w:rPr>
        <w:kern w:val="0"/>
        <w:szCs w:val="21"/>
      </w:rPr>
      <w:instrText xml:space="preserve"> PAGE </w:instrText>
    </w:r>
    <w:r w:rsidR="0033542E">
      <w:rPr>
        <w:kern w:val="0"/>
        <w:szCs w:val="21"/>
      </w:rPr>
      <w:fldChar w:fldCharType="separate"/>
    </w:r>
    <w:r w:rsidR="002056E3">
      <w:rPr>
        <w:noProof/>
        <w:kern w:val="0"/>
        <w:szCs w:val="21"/>
      </w:rPr>
      <w:t>1</w:t>
    </w:r>
    <w:r w:rsidR="0033542E">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3542E">
      <w:rPr>
        <w:kern w:val="0"/>
        <w:szCs w:val="21"/>
      </w:rPr>
      <w:fldChar w:fldCharType="begin"/>
    </w:r>
    <w:r>
      <w:rPr>
        <w:kern w:val="0"/>
        <w:szCs w:val="21"/>
      </w:rPr>
      <w:instrText xml:space="preserve"> NUMPAGES </w:instrText>
    </w:r>
    <w:r w:rsidR="0033542E">
      <w:rPr>
        <w:kern w:val="0"/>
        <w:szCs w:val="21"/>
      </w:rPr>
      <w:fldChar w:fldCharType="separate"/>
    </w:r>
    <w:r w:rsidR="002056E3">
      <w:rPr>
        <w:noProof/>
        <w:kern w:val="0"/>
        <w:szCs w:val="21"/>
      </w:rPr>
      <w:t>13</w:t>
    </w:r>
    <w:r w:rsidR="0033542E">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33542E">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C31" w:rsidRDefault="00592C31">
      <w:r>
        <w:separator/>
      </w:r>
    </w:p>
  </w:footnote>
  <w:footnote w:type="continuationSeparator" w:id="0">
    <w:p w:rsidR="00592C31" w:rsidRDefault="00592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207EBF" w:rsidRDefault="004C1FC8"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55FD"/>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56E3"/>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3542E"/>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A7261"/>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C31"/>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059E"/>
    <w:rsid w:val="005C470D"/>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45B7"/>
    <w:rsid w:val="00CC4CB4"/>
    <w:rsid w:val="00CE0AD2"/>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67B62"/>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E3276CB1-FAD4-4371-9480-54B9ACD4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135</TotalTime>
  <Pages>13</Pages>
  <Words>1047</Words>
  <Characters>5970</Characters>
  <Application>Microsoft Office Word</Application>
  <DocSecurity>0</DocSecurity>
  <Lines>49</Lines>
  <Paragraphs>14</Paragraphs>
  <ScaleCrop>false</ScaleCrop>
  <Company>TRT. Ltd. Co.</Company>
  <LinksUpToDate>false</LinksUpToDate>
  <CharactersWithSpaces>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304</cp:revision>
  <cp:lastPrinted>2007-07-19T00:46:00Z</cp:lastPrinted>
  <dcterms:created xsi:type="dcterms:W3CDTF">2013-08-01T05:26:00Z</dcterms:created>
  <dcterms:modified xsi:type="dcterms:W3CDTF">2016-01-18T07:05:00Z</dcterms:modified>
</cp:coreProperties>
</file>