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交银施罗德定期支付双息平衡混合型证券投资基金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bookmarkStart w:id="0" w:name="_GoBack"/>
      <w:bookmarkEnd w:id="0"/>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二〇一五年十月二十七日</w:t>
      </w:r>
    </w:p>
    <w:p w:rsidR="004061AC" w:rsidRPr="00414345" w:rsidRDefault="004061AC" w:rsidP="00321650">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351D17" w:rsidRDefault="00321650">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p>
    <w:p w:rsidR="00351D17" w:rsidRDefault="00321650">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2015</w:t>
      </w:r>
      <w:r>
        <w:rPr>
          <w:color w:val="000000"/>
          <w:sz w:val="24"/>
          <w:szCs w:val="24"/>
        </w:rPr>
        <w:t>年</w:t>
      </w:r>
      <w:r>
        <w:rPr>
          <w:color w:val="000000"/>
          <w:sz w:val="24"/>
          <w:szCs w:val="24"/>
        </w:rPr>
        <w:t>10</w:t>
      </w:r>
      <w:r>
        <w:rPr>
          <w:color w:val="000000"/>
          <w:sz w:val="24"/>
          <w:szCs w:val="24"/>
        </w:rPr>
        <w:t>月</w:t>
      </w:r>
      <w:r>
        <w:rPr>
          <w:color w:val="000000"/>
          <w:sz w:val="24"/>
          <w:szCs w:val="24"/>
        </w:rPr>
        <w:t>26</w:t>
      </w:r>
      <w:r>
        <w:rPr>
          <w:color w:val="000000"/>
          <w:sz w:val="24"/>
          <w:szCs w:val="24"/>
        </w:rPr>
        <w:t xml:space="preserve">日复核了本报告中的财务指标、净值表现和投资组合报告等内容，保证复核内容不存在虚假记载、误导性陈述或者重大遗漏。　　</w:t>
      </w:r>
    </w:p>
    <w:p w:rsidR="00351D17" w:rsidRDefault="00321650">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p>
    <w:p w:rsidR="00351D17" w:rsidRDefault="00321650">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p>
    <w:p w:rsidR="00351D17" w:rsidRDefault="00321650">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321650">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交银定期支付双息平衡混合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519732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60,343,646.61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本基金精选具有长期增长潜力和较好分红能力的股票，以及具有较高息票率的债券，力争实现基金资产的长期增值。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中证红利指数收益率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本基金是一只混合型基金，在证券投资基金中属于较高风险的品种，其长期平均风险和预期收益高于货币</w:t>
            </w:r>
            <w:r w:rsidRPr="00414345">
              <w:rPr>
                <w:color w:val="000000"/>
                <w:kern w:val="0"/>
                <w:sz w:val="24"/>
                <w:szCs w:val="24"/>
              </w:rPr>
              <w:lastRenderedPageBreak/>
              <w:t>市场基金和债券型基金，低于股票型基金。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321650">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321650" w:rsidRPr="00414345" w:rsidTr="00321650">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321650" w:rsidRPr="00414345" w:rsidTr="0032165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-3,012,506.05</w:t>
            </w:r>
          </w:p>
        </w:tc>
      </w:tr>
      <w:tr w:rsidR="00321650" w:rsidRPr="00414345" w:rsidTr="0032165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-22,735,028.48</w:t>
            </w:r>
          </w:p>
        </w:tc>
      </w:tr>
      <w:tr w:rsidR="00321650" w:rsidRPr="00414345" w:rsidTr="0032165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-0.3486</w:t>
            </w:r>
          </w:p>
        </w:tc>
      </w:tr>
      <w:tr w:rsidR="00321650" w:rsidRPr="00414345" w:rsidTr="0032165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94,662,118.91</w:t>
            </w:r>
          </w:p>
        </w:tc>
      </w:tr>
      <w:tr w:rsidR="00321650" w:rsidRPr="00414345" w:rsidTr="00321650">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1.569</w:t>
            </w:r>
          </w:p>
        </w:tc>
      </w:tr>
    </w:tbl>
    <w:p w:rsidR="00351D17" w:rsidRDefault="0032165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351D17">
        <w:trPr>
          <w:jc w:val="center"/>
        </w:trPr>
        <w:tc>
          <w:tcPr>
            <w:tcW w:w="1701" w:type="dxa"/>
            <w:vAlign w:val="center"/>
          </w:tcPr>
          <w:p w:rsidR="00351D17" w:rsidRDefault="00321650">
            <w:pPr>
              <w:jc w:val="left"/>
            </w:pPr>
            <w:r>
              <w:rPr>
                <w:color w:val="000000"/>
                <w:sz w:val="24"/>
                <w:szCs w:val="24"/>
              </w:rPr>
              <w:t>过去三个月</w:t>
            </w:r>
          </w:p>
        </w:tc>
        <w:tc>
          <w:tcPr>
            <w:tcW w:w="1045" w:type="dxa"/>
            <w:vAlign w:val="center"/>
          </w:tcPr>
          <w:p w:rsidR="00351D17" w:rsidRDefault="00321650">
            <w:pPr>
              <w:jc w:val="center"/>
            </w:pPr>
            <w:r>
              <w:rPr>
                <w:color w:val="000000"/>
                <w:sz w:val="24"/>
                <w:szCs w:val="24"/>
              </w:rPr>
              <w:t>-15.83%</w:t>
            </w:r>
          </w:p>
        </w:tc>
        <w:tc>
          <w:tcPr>
            <w:tcW w:w="1344" w:type="dxa"/>
            <w:vAlign w:val="center"/>
          </w:tcPr>
          <w:p w:rsidR="00351D17" w:rsidRDefault="00321650">
            <w:pPr>
              <w:jc w:val="center"/>
            </w:pPr>
            <w:r>
              <w:rPr>
                <w:color w:val="000000"/>
                <w:sz w:val="24"/>
                <w:szCs w:val="24"/>
              </w:rPr>
              <w:t>2.33%</w:t>
            </w:r>
          </w:p>
        </w:tc>
        <w:tc>
          <w:tcPr>
            <w:tcW w:w="1194" w:type="dxa"/>
            <w:vAlign w:val="center"/>
          </w:tcPr>
          <w:p w:rsidR="00351D17" w:rsidRDefault="00321650">
            <w:pPr>
              <w:jc w:val="center"/>
            </w:pPr>
            <w:r>
              <w:rPr>
                <w:color w:val="000000"/>
                <w:sz w:val="24"/>
                <w:szCs w:val="24"/>
              </w:rPr>
              <w:t>-14.81%</w:t>
            </w:r>
          </w:p>
        </w:tc>
        <w:tc>
          <w:tcPr>
            <w:tcW w:w="1492" w:type="dxa"/>
            <w:vAlign w:val="center"/>
          </w:tcPr>
          <w:p w:rsidR="00351D17" w:rsidRDefault="00321650">
            <w:pPr>
              <w:jc w:val="center"/>
            </w:pPr>
            <w:r>
              <w:rPr>
                <w:color w:val="000000"/>
                <w:sz w:val="24"/>
                <w:szCs w:val="24"/>
              </w:rPr>
              <w:t>1.85%</w:t>
            </w:r>
          </w:p>
        </w:tc>
        <w:tc>
          <w:tcPr>
            <w:tcW w:w="1194" w:type="dxa"/>
            <w:vAlign w:val="center"/>
          </w:tcPr>
          <w:p w:rsidR="00351D17" w:rsidRDefault="00321650">
            <w:pPr>
              <w:jc w:val="center"/>
            </w:pPr>
            <w:r>
              <w:rPr>
                <w:color w:val="000000"/>
                <w:sz w:val="24"/>
                <w:szCs w:val="24"/>
              </w:rPr>
              <w:t>-1.02%</w:t>
            </w:r>
          </w:p>
        </w:tc>
        <w:tc>
          <w:tcPr>
            <w:tcW w:w="898" w:type="dxa"/>
            <w:vAlign w:val="center"/>
          </w:tcPr>
          <w:p w:rsidR="00351D17" w:rsidRDefault="00321650">
            <w:pPr>
              <w:jc w:val="center"/>
            </w:pPr>
            <w:r>
              <w:rPr>
                <w:color w:val="000000"/>
                <w:sz w:val="24"/>
                <w:szCs w:val="24"/>
              </w:rPr>
              <w:t>0.48%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交银施罗德定期支付双息平衡混合型证券投资基金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4061AC" w:rsidRPr="00414345" w:rsidRDefault="004061AC" w:rsidP="00321650">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351D17">
        <w:trPr>
          <w:jc w:val="center"/>
        </w:trPr>
        <w:tc>
          <w:tcPr>
            <w:tcW w:w="846" w:type="dxa"/>
            <w:vAlign w:val="center"/>
          </w:tcPr>
          <w:p w:rsidR="00351D17" w:rsidRDefault="00321650">
            <w:pPr>
              <w:jc w:val="center"/>
            </w:pPr>
            <w:r>
              <w:rPr>
                <w:color w:val="000000"/>
                <w:sz w:val="24"/>
                <w:szCs w:val="24"/>
              </w:rPr>
              <w:t>张迎军</w:t>
            </w:r>
          </w:p>
        </w:tc>
        <w:tc>
          <w:tcPr>
            <w:tcW w:w="845" w:type="dxa"/>
            <w:vAlign w:val="center"/>
          </w:tcPr>
          <w:p w:rsidR="00351D17" w:rsidRDefault="00321650">
            <w:pPr>
              <w:jc w:val="center"/>
            </w:pPr>
            <w:r>
              <w:rPr>
                <w:color w:val="000000"/>
                <w:sz w:val="24"/>
                <w:szCs w:val="24"/>
              </w:rPr>
              <w:t>交银蓝筹股票、交银优势行业混合、交银定期支付双息平衡混合的基金经理，公</w:t>
            </w:r>
            <w:r>
              <w:rPr>
                <w:color w:val="000000"/>
                <w:sz w:val="24"/>
                <w:szCs w:val="24"/>
              </w:rPr>
              <w:lastRenderedPageBreak/>
              <w:t>司投资副总监</w:t>
            </w:r>
          </w:p>
        </w:tc>
        <w:tc>
          <w:tcPr>
            <w:tcW w:w="1549" w:type="dxa"/>
            <w:vAlign w:val="center"/>
          </w:tcPr>
          <w:p w:rsidR="00351D17" w:rsidRDefault="00321650">
            <w:pPr>
              <w:jc w:val="center"/>
            </w:pPr>
            <w:r>
              <w:rPr>
                <w:color w:val="000000"/>
                <w:sz w:val="24"/>
                <w:szCs w:val="24"/>
              </w:rPr>
              <w:lastRenderedPageBreak/>
              <w:t>2013-09-04</w:t>
            </w:r>
          </w:p>
        </w:tc>
        <w:tc>
          <w:tcPr>
            <w:tcW w:w="1548" w:type="dxa"/>
            <w:vAlign w:val="center"/>
          </w:tcPr>
          <w:p w:rsidR="00351D17" w:rsidRDefault="00321650">
            <w:pPr>
              <w:jc w:val="center"/>
            </w:pPr>
            <w:r>
              <w:rPr>
                <w:color w:val="000000"/>
                <w:sz w:val="24"/>
                <w:szCs w:val="24"/>
              </w:rPr>
              <w:t>2015-07-11</w:t>
            </w:r>
          </w:p>
        </w:tc>
        <w:tc>
          <w:tcPr>
            <w:tcW w:w="1407" w:type="dxa"/>
            <w:vAlign w:val="center"/>
          </w:tcPr>
          <w:p w:rsidR="00351D17" w:rsidRDefault="00321650">
            <w:pPr>
              <w:jc w:val="center"/>
            </w:pPr>
            <w:r>
              <w:rPr>
                <w:color w:val="000000"/>
                <w:sz w:val="24"/>
                <w:szCs w:val="24"/>
              </w:rPr>
              <w:t>15</w:t>
            </w:r>
            <w:r>
              <w:rPr>
                <w:color w:val="000000"/>
                <w:sz w:val="24"/>
                <w:szCs w:val="24"/>
              </w:rPr>
              <w:t>年</w:t>
            </w:r>
          </w:p>
        </w:tc>
        <w:tc>
          <w:tcPr>
            <w:tcW w:w="2673" w:type="dxa"/>
            <w:vAlign w:val="center"/>
          </w:tcPr>
          <w:p w:rsidR="00351D17" w:rsidRDefault="00321650">
            <w:r>
              <w:rPr>
                <w:color w:val="000000"/>
                <w:sz w:val="24"/>
                <w:szCs w:val="24"/>
              </w:rPr>
              <w:t>张迎军先生，经济学硕士。历任申银万国证券研究所市场研究部、策略研究部研究员，中国太平洋保险（集团）股份有限公司资金运用管理中心投资经理，太平洋资产管理有限公司组合管理部组合经理。</w:t>
            </w:r>
            <w:r>
              <w:rPr>
                <w:color w:val="000000"/>
                <w:sz w:val="24"/>
                <w:szCs w:val="24"/>
              </w:rPr>
              <w:t>2008</w:t>
            </w:r>
            <w:r>
              <w:rPr>
                <w:color w:val="000000"/>
                <w:sz w:val="24"/>
                <w:szCs w:val="24"/>
              </w:rPr>
              <w:t>年加入交银施罗德基金管理有限公司，历任固定收益部副总经理、权益部副总经理。</w:t>
            </w:r>
            <w:r>
              <w:rPr>
                <w:color w:val="000000"/>
                <w:sz w:val="24"/>
                <w:szCs w:val="24"/>
              </w:rPr>
              <w:t>2009</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日至</w:t>
            </w:r>
            <w:r>
              <w:rPr>
                <w:color w:val="000000"/>
                <w:sz w:val="24"/>
                <w:szCs w:val="24"/>
              </w:rPr>
              <w:t>2012</w:t>
            </w:r>
            <w:r>
              <w:rPr>
                <w:color w:val="000000"/>
                <w:sz w:val="24"/>
                <w:szCs w:val="24"/>
              </w:rPr>
              <w:t>年</w:t>
            </w:r>
            <w:r>
              <w:rPr>
                <w:color w:val="000000"/>
                <w:sz w:val="24"/>
                <w:szCs w:val="24"/>
              </w:rPr>
              <w:t>2</w:t>
            </w:r>
            <w:r>
              <w:rPr>
                <w:color w:val="000000"/>
                <w:sz w:val="24"/>
                <w:szCs w:val="24"/>
              </w:rPr>
              <w:t>月</w:t>
            </w:r>
            <w:r>
              <w:rPr>
                <w:color w:val="000000"/>
                <w:sz w:val="24"/>
                <w:szCs w:val="24"/>
              </w:rPr>
              <w:t>2</w:t>
            </w:r>
            <w:r>
              <w:rPr>
                <w:color w:val="000000"/>
                <w:sz w:val="24"/>
                <w:szCs w:val="24"/>
              </w:rPr>
              <w:t>日担任交银施罗德优势行业灵活</w:t>
            </w:r>
            <w:r>
              <w:rPr>
                <w:color w:val="000000"/>
                <w:sz w:val="24"/>
                <w:szCs w:val="24"/>
              </w:rPr>
              <w:lastRenderedPageBreak/>
              <w:t>配置混合型证券投资基金转型前的交银施罗德保本混合型证券投资基金基金经理，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w:t>
            </w:r>
            <w:r>
              <w:rPr>
                <w:color w:val="000000"/>
                <w:sz w:val="24"/>
                <w:szCs w:val="24"/>
              </w:rPr>
              <w:t>3</w:t>
            </w:r>
            <w:r>
              <w:rPr>
                <w:color w:val="000000"/>
                <w:sz w:val="24"/>
                <w:szCs w:val="24"/>
              </w:rPr>
              <w:t>日至</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2</w:t>
            </w:r>
            <w:r>
              <w:rPr>
                <w:color w:val="000000"/>
                <w:sz w:val="24"/>
                <w:szCs w:val="24"/>
              </w:rPr>
              <w:t>日担任交银施罗德趋势优先股票证券投资基金基金经理。</w:t>
            </w:r>
            <w:r>
              <w:rPr>
                <w:color w:val="000000"/>
                <w:sz w:val="24"/>
                <w:szCs w:val="24"/>
              </w:rPr>
              <w:t>2012</w:t>
            </w:r>
            <w:r>
              <w:rPr>
                <w:color w:val="000000"/>
                <w:sz w:val="24"/>
                <w:szCs w:val="24"/>
              </w:rPr>
              <w:t>年</w:t>
            </w:r>
            <w:r>
              <w:rPr>
                <w:color w:val="000000"/>
                <w:sz w:val="24"/>
                <w:szCs w:val="24"/>
              </w:rPr>
              <w:t>2</w:t>
            </w:r>
            <w:r>
              <w:rPr>
                <w:color w:val="000000"/>
                <w:sz w:val="24"/>
                <w:szCs w:val="24"/>
              </w:rPr>
              <w:t>月</w:t>
            </w:r>
            <w:r>
              <w:rPr>
                <w:color w:val="000000"/>
                <w:sz w:val="24"/>
                <w:szCs w:val="24"/>
              </w:rPr>
              <w:t>3</w:t>
            </w:r>
            <w:r>
              <w:rPr>
                <w:color w:val="000000"/>
                <w:sz w:val="24"/>
                <w:szCs w:val="24"/>
              </w:rPr>
              <w:t>日至</w:t>
            </w:r>
            <w:r>
              <w:rPr>
                <w:color w:val="000000"/>
                <w:sz w:val="24"/>
                <w:szCs w:val="24"/>
              </w:rPr>
              <w:t>2015</w:t>
            </w:r>
            <w:r>
              <w:rPr>
                <w:color w:val="000000"/>
                <w:sz w:val="24"/>
                <w:szCs w:val="24"/>
              </w:rPr>
              <w:t>年</w:t>
            </w:r>
            <w:r>
              <w:rPr>
                <w:color w:val="000000"/>
                <w:sz w:val="24"/>
                <w:szCs w:val="24"/>
              </w:rPr>
              <w:t>7</w:t>
            </w:r>
            <w:r>
              <w:rPr>
                <w:color w:val="000000"/>
                <w:sz w:val="24"/>
                <w:szCs w:val="24"/>
              </w:rPr>
              <w:t>月</w:t>
            </w:r>
            <w:r>
              <w:rPr>
                <w:color w:val="000000"/>
                <w:sz w:val="24"/>
                <w:szCs w:val="24"/>
              </w:rPr>
              <w:t>10</w:t>
            </w:r>
            <w:r>
              <w:rPr>
                <w:color w:val="000000"/>
                <w:sz w:val="24"/>
                <w:szCs w:val="24"/>
              </w:rPr>
              <w:t>日担任交银施罗德优势行业灵活配置混合型证券投资基金基金经理，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4</w:t>
            </w:r>
            <w:r>
              <w:rPr>
                <w:color w:val="000000"/>
                <w:sz w:val="24"/>
                <w:szCs w:val="24"/>
              </w:rPr>
              <w:t>日至</w:t>
            </w:r>
            <w:r>
              <w:rPr>
                <w:color w:val="000000"/>
                <w:sz w:val="24"/>
                <w:szCs w:val="24"/>
              </w:rPr>
              <w:t>2015</w:t>
            </w:r>
            <w:r>
              <w:rPr>
                <w:color w:val="000000"/>
                <w:sz w:val="24"/>
                <w:szCs w:val="24"/>
              </w:rPr>
              <w:t>年</w:t>
            </w:r>
            <w:r>
              <w:rPr>
                <w:color w:val="000000"/>
                <w:sz w:val="24"/>
                <w:szCs w:val="24"/>
              </w:rPr>
              <w:t>7</w:t>
            </w:r>
            <w:r>
              <w:rPr>
                <w:color w:val="000000"/>
                <w:sz w:val="24"/>
                <w:szCs w:val="24"/>
              </w:rPr>
              <w:t>月</w:t>
            </w:r>
            <w:r>
              <w:rPr>
                <w:color w:val="000000"/>
                <w:sz w:val="24"/>
                <w:szCs w:val="24"/>
              </w:rPr>
              <w:t>10</w:t>
            </w:r>
            <w:r>
              <w:rPr>
                <w:color w:val="000000"/>
                <w:sz w:val="24"/>
                <w:szCs w:val="24"/>
              </w:rPr>
              <w:t>日担任交银施罗德定期支付双息平衡混合型证券投资基金基金经理，</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22</w:t>
            </w:r>
            <w:r>
              <w:rPr>
                <w:color w:val="000000"/>
                <w:sz w:val="24"/>
                <w:szCs w:val="24"/>
              </w:rPr>
              <w:t>日至</w:t>
            </w:r>
            <w:r>
              <w:rPr>
                <w:color w:val="000000"/>
                <w:sz w:val="24"/>
                <w:szCs w:val="24"/>
              </w:rPr>
              <w:t>2015</w:t>
            </w:r>
            <w:r>
              <w:rPr>
                <w:color w:val="000000"/>
                <w:sz w:val="24"/>
                <w:szCs w:val="24"/>
              </w:rPr>
              <w:t>年</w:t>
            </w:r>
            <w:r>
              <w:rPr>
                <w:color w:val="000000"/>
                <w:sz w:val="24"/>
                <w:szCs w:val="24"/>
              </w:rPr>
              <w:t>7</w:t>
            </w:r>
            <w:r>
              <w:rPr>
                <w:color w:val="000000"/>
                <w:sz w:val="24"/>
                <w:szCs w:val="24"/>
              </w:rPr>
              <w:t>月</w:t>
            </w:r>
            <w:r>
              <w:rPr>
                <w:color w:val="000000"/>
                <w:sz w:val="24"/>
                <w:szCs w:val="24"/>
              </w:rPr>
              <w:t>10</w:t>
            </w:r>
            <w:r>
              <w:rPr>
                <w:color w:val="000000"/>
                <w:sz w:val="24"/>
                <w:szCs w:val="24"/>
              </w:rPr>
              <w:t>日担任交银施罗德蓝筹股票证券投资基金基金经理。</w:t>
            </w:r>
          </w:p>
        </w:tc>
      </w:tr>
      <w:tr w:rsidR="00351D17">
        <w:trPr>
          <w:jc w:val="center"/>
        </w:trPr>
        <w:tc>
          <w:tcPr>
            <w:tcW w:w="846" w:type="dxa"/>
            <w:vAlign w:val="center"/>
          </w:tcPr>
          <w:p w:rsidR="00351D17" w:rsidRDefault="00321650">
            <w:pPr>
              <w:jc w:val="center"/>
            </w:pPr>
            <w:r>
              <w:rPr>
                <w:color w:val="000000"/>
                <w:sz w:val="24"/>
                <w:szCs w:val="24"/>
              </w:rPr>
              <w:lastRenderedPageBreak/>
              <w:t>李德亮</w:t>
            </w:r>
          </w:p>
        </w:tc>
        <w:tc>
          <w:tcPr>
            <w:tcW w:w="845" w:type="dxa"/>
            <w:vAlign w:val="center"/>
          </w:tcPr>
          <w:p w:rsidR="00351D17" w:rsidRDefault="00321650">
            <w:pPr>
              <w:jc w:val="center"/>
            </w:pPr>
            <w:r>
              <w:rPr>
                <w:color w:val="000000"/>
                <w:sz w:val="24"/>
                <w:szCs w:val="24"/>
              </w:rPr>
              <w:t>交银蓝筹混合、交银消费新驱动股票、交银定期支付双息平衡混合、交银强化回报债券的基金经理</w:t>
            </w:r>
          </w:p>
        </w:tc>
        <w:tc>
          <w:tcPr>
            <w:tcW w:w="1549" w:type="dxa"/>
            <w:vAlign w:val="center"/>
          </w:tcPr>
          <w:p w:rsidR="00351D17" w:rsidRDefault="00321650">
            <w:pPr>
              <w:jc w:val="center"/>
            </w:pPr>
            <w:r>
              <w:rPr>
                <w:color w:val="000000"/>
                <w:sz w:val="24"/>
                <w:szCs w:val="24"/>
              </w:rPr>
              <w:t>2013-09-04</w:t>
            </w:r>
          </w:p>
        </w:tc>
        <w:tc>
          <w:tcPr>
            <w:tcW w:w="1548" w:type="dxa"/>
            <w:vAlign w:val="center"/>
          </w:tcPr>
          <w:p w:rsidR="00351D17" w:rsidRDefault="00321650">
            <w:pPr>
              <w:jc w:val="center"/>
            </w:pPr>
            <w:r>
              <w:rPr>
                <w:color w:val="000000"/>
                <w:sz w:val="24"/>
                <w:szCs w:val="24"/>
              </w:rPr>
              <w:t>2015-08-29</w:t>
            </w:r>
          </w:p>
        </w:tc>
        <w:tc>
          <w:tcPr>
            <w:tcW w:w="1407" w:type="dxa"/>
            <w:vAlign w:val="center"/>
          </w:tcPr>
          <w:p w:rsidR="00351D17" w:rsidRDefault="00321650">
            <w:pPr>
              <w:jc w:val="center"/>
            </w:pPr>
            <w:r>
              <w:rPr>
                <w:color w:val="000000"/>
                <w:sz w:val="24"/>
                <w:szCs w:val="24"/>
              </w:rPr>
              <w:t>9</w:t>
            </w:r>
            <w:r>
              <w:rPr>
                <w:color w:val="000000"/>
                <w:sz w:val="24"/>
                <w:szCs w:val="24"/>
              </w:rPr>
              <w:t>年</w:t>
            </w:r>
          </w:p>
        </w:tc>
        <w:tc>
          <w:tcPr>
            <w:tcW w:w="2673" w:type="dxa"/>
            <w:vAlign w:val="center"/>
          </w:tcPr>
          <w:p w:rsidR="00351D17" w:rsidRDefault="00321650">
            <w:r>
              <w:rPr>
                <w:color w:val="000000"/>
                <w:sz w:val="24"/>
                <w:szCs w:val="24"/>
              </w:rPr>
              <w:t>李德亮先生，同济大学管理学学士，中国人民银行研究生部金融学硕士。</w:t>
            </w:r>
            <w:r>
              <w:rPr>
                <w:color w:val="000000"/>
                <w:sz w:val="24"/>
                <w:szCs w:val="24"/>
              </w:rPr>
              <w:t>2006</w:t>
            </w:r>
            <w:r>
              <w:rPr>
                <w:color w:val="000000"/>
                <w:sz w:val="24"/>
                <w:szCs w:val="24"/>
              </w:rPr>
              <w:t>年加入交银施罗德基金管理有限公司，历任行业分析师、基金经理助理。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4</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28</w:t>
            </w:r>
            <w:r>
              <w:rPr>
                <w:color w:val="000000"/>
                <w:sz w:val="24"/>
                <w:szCs w:val="24"/>
              </w:rPr>
              <w:t>日担任交银施罗德定期支付双息平衡混合型证券投资基金基金经理，</w:t>
            </w:r>
            <w:r>
              <w:rPr>
                <w:color w:val="000000"/>
                <w:sz w:val="24"/>
                <w:szCs w:val="24"/>
              </w:rPr>
              <w:t>2014</w:t>
            </w:r>
            <w:r>
              <w:rPr>
                <w:color w:val="000000"/>
                <w:sz w:val="24"/>
                <w:szCs w:val="24"/>
              </w:rPr>
              <w:t>年</w:t>
            </w:r>
            <w:r>
              <w:rPr>
                <w:color w:val="000000"/>
                <w:sz w:val="24"/>
                <w:szCs w:val="24"/>
              </w:rPr>
              <w:t>1</w:t>
            </w:r>
            <w:r>
              <w:rPr>
                <w:color w:val="000000"/>
                <w:sz w:val="24"/>
                <w:szCs w:val="24"/>
              </w:rPr>
              <w:t>月</w:t>
            </w:r>
            <w:r>
              <w:rPr>
                <w:color w:val="000000"/>
                <w:sz w:val="24"/>
                <w:szCs w:val="24"/>
              </w:rPr>
              <w:t>28</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28</w:t>
            </w:r>
            <w:r>
              <w:rPr>
                <w:color w:val="000000"/>
                <w:sz w:val="24"/>
                <w:szCs w:val="24"/>
              </w:rPr>
              <w:t>日担任交银施罗德强化回报债券型证券投资基金基金经理，</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22</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28</w:t>
            </w:r>
            <w:r>
              <w:rPr>
                <w:color w:val="000000"/>
                <w:sz w:val="24"/>
                <w:szCs w:val="24"/>
              </w:rPr>
              <w:t>日担任交银施罗德蓝筹混合型证券投资基金（原交银施罗德蓝筹股票证券投资基金）基金经理，</w:t>
            </w:r>
            <w:r>
              <w:rPr>
                <w:color w:val="000000"/>
                <w:sz w:val="24"/>
                <w:szCs w:val="24"/>
              </w:rPr>
              <w:t>2015</w:t>
            </w:r>
            <w:r>
              <w:rPr>
                <w:color w:val="000000"/>
                <w:sz w:val="24"/>
                <w:szCs w:val="24"/>
              </w:rPr>
              <w:t>年</w:t>
            </w:r>
            <w:r>
              <w:rPr>
                <w:color w:val="000000"/>
                <w:sz w:val="24"/>
                <w:szCs w:val="24"/>
              </w:rPr>
              <w:t>7</w:t>
            </w:r>
            <w:r>
              <w:rPr>
                <w:color w:val="000000"/>
                <w:sz w:val="24"/>
                <w:szCs w:val="24"/>
              </w:rPr>
              <w:t>月</w:t>
            </w:r>
            <w:r>
              <w:rPr>
                <w:color w:val="000000"/>
                <w:sz w:val="24"/>
                <w:szCs w:val="24"/>
              </w:rPr>
              <w:t>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28</w:t>
            </w:r>
            <w:r>
              <w:rPr>
                <w:color w:val="000000"/>
                <w:sz w:val="24"/>
                <w:szCs w:val="24"/>
              </w:rPr>
              <w:t>日担</w:t>
            </w:r>
            <w:r>
              <w:rPr>
                <w:color w:val="000000"/>
                <w:sz w:val="24"/>
                <w:szCs w:val="24"/>
              </w:rPr>
              <w:lastRenderedPageBreak/>
              <w:t>任交银施罗德消费新驱动股票型证券投资基金基金经理。</w:t>
            </w:r>
          </w:p>
        </w:tc>
      </w:tr>
      <w:tr w:rsidR="00351D17">
        <w:trPr>
          <w:jc w:val="center"/>
        </w:trPr>
        <w:tc>
          <w:tcPr>
            <w:tcW w:w="846" w:type="dxa"/>
            <w:vAlign w:val="center"/>
          </w:tcPr>
          <w:p w:rsidR="00351D17" w:rsidRDefault="00321650">
            <w:pPr>
              <w:jc w:val="center"/>
            </w:pPr>
            <w:r>
              <w:rPr>
                <w:color w:val="000000"/>
                <w:sz w:val="24"/>
                <w:szCs w:val="24"/>
              </w:rPr>
              <w:lastRenderedPageBreak/>
              <w:t>杨浩</w:t>
            </w:r>
          </w:p>
        </w:tc>
        <w:tc>
          <w:tcPr>
            <w:tcW w:w="845" w:type="dxa"/>
            <w:vAlign w:val="center"/>
          </w:tcPr>
          <w:p w:rsidR="00351D17" w:rsidRDefault="00321650">
            <w:pPr>
              <w:jc w:val="center"/>
            </w:pPr>
            <w:r>
              <w:rPr>
                <w:color w:val="000000"/>
                <w:sz w:val="24"/>
                <w:szCs w:val="24"/>
              </w:rPr>
              <w:t>交银定期支付双息平衡混合的基金经理</w:t>
            </w:r>
          </w:p>
        </w:tc>
        <w:tc>
          <w:tcPr>
            <w:tcW w:w="1549" w:type="dxa"/>
            <w:vAlign w:val="center"/>
          </w:tcPr>
          <w:p w:rsidR="00351D17" w:rsidRDefault="00321650">
            <w:pPr>
              <w:jc w:val="center"/>
            </w:pPr>
            <w:r>
              <w:rPr>
                <w:color w:val="000000"/>
                <w:sz w:val="24"/>
                <w:szCs w:val="24"/>
              </w:rPr>
              <w:t>2015-08-15</w:t>
            </w:r>
          </w:p>
        </w:tc>
        <w:tc>
          <w:tcPr>
            <w:tcW w:w="1548" w:type="dxa"/>
            <w:vAlign w:val="center"/>
          </w:tcPr>
          <w:p w:rsidR="00351D17" w:rsidRDefault="00321650">
            <w:pPr>
              <w:jc w:val="center"/>
            </w:pPr>
            <w:r>
              <w:rPr>
                <w:color w:val="000000"/>
                <w:sz w:val="24"/>
                <w:szCs w:val="24"/>
              </w:rPr>
              <w:t>-</w:t>
            </w:r>
          </w:p>
        </w:tc>
        <w:tc>
          <w:tcPr>
            <w:tcW w:w="1407" w:type="dxa"/>
            <w:vAlign w:val="center"/>
          </w:tcPr>
          <w:p w:rsidR="00351D17" w:rsidRDefault="00321650">
            <w:pPr>
              <w:jc w:val="center"/>
            </w:pPr>
            <w:r>
              <w:rPr>
                <w:color w:val="000000"/>
                <w:sz w:val="24"/>
                <w:szCs w:val="24"/>
              </w:rPr>
              <w:t>5</w:t>
            </w:r>
            <w:r>
              <w:rPr>
                <w:color w:val="000000"/>
                <w:sz w:val="24"/>
                <w:szCs w:val="24"/>
              </w:rPr>
              <w:t>年</w:t>
            </w:r>
          </w:p>
        </w:tc>
        <w:tc>
          <w:tcPr>
            <w:tcW w:w="2673" w:type="dxa"/>
            <w:vAlign w:val="center"/>
          </w:tcPr>
          <w:p w:rsidR="00351D17" w:rsidRDefault="00321650">
            <w:r>
              <w:rPr>
                <w:color w:val="000000"/>
                <w:sz w:val="24"/>
                <w:szCs w:val="24"/>
              </w:rPr>
              <w:t>杨浩先生，北京邮电大学通信与信息系统专业硕士。</w:t>
            </w:r>
            <w:r>
              <w:rPr>
                <w:color w:val="000000"/>
                <w:sz w:val="24"/>
                <w:szCs w:val="24"/>
              </w:rPr>
              <w:t>2010</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351D17" w:rsidRDefault="00321650">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351D17" w:rsidRDefault="00321650">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351D17" w:rsidRDefault="00321650">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lastRenderedPageBreak/>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351D17" w:rsidRDefault="00321650">
      <w:pPr>
        <w:spacing w:before="29" w:line="288" w:lineRule="auto"/>
        <w:ind w:firstLineChars="200" w:firstLine="480"/>
        <w:rPr>
          <w:color w:val="000000"/>
          <w:sz w:val="24"/>
          <w:szCs w:val="24"/>
        </w:rPr>
      </w:pPr>
      <w:r>
        <w:rPr>
          <w:color w:val="000000"/>
          <w:sz w:val="24"/>
          <w:szCs w:val="24"/>
        </w:rPr>
        <w:t>三季度，工业增加值和</w:t>
      </w:r>
      <w:r>
        <w:rPr>
          <w:color w:val="000000"/>
          <w:sz w:val="24"/>
          <w:szCs w:val="24"/>
        </w:rPr>
        <w:t>PPI</w:t>
      </w:r>
      <w:r>
        <w:rPr>
          <w:color w:val="000000"/>
          <w:sz w:val="24"/>
          <w:szCs w:val="24"/>
        </w:rPr>
        <w:t>继续回落，企业盈利增速下行压力较大。受到监管层扩大配资清理的力度和人民币汇率波动较大的影响，市场对于创新与管理之间的磨合产生焦虑情绪，在龙头行业的缺失下，本季度大盘延续了</w:t>
      </w:r>
      <w:r>
        <w:rPr>
          <w:color w:val="000000"/>
          <w:sz w:val="24"/>
          <w:szCs w:val="24"/>
        </w:rPr>
        <w:t>6</w:t>
      </w:r>
      <w:r>
        <w:rPr>
          <w:color w:val="000000"/>
          <w:sz w:val="24"/>
          <w:szCs w:val="24"/>
        </w:rPr>
        <w:t>月以来的下行趋势，</w:t>
      </w:r>
      <w:r>
        <w:rPr>
          <w:color w:val="000000"/>
          <w:sz w:val="24"/>
          <w:szCs w:val="24"/>
        </w:rPr>
        <w:t>7</w:t>
      </w:r>
      <w:r>
        <w:rPr>
          <w:color w:val="000000"/>
          <w:sz w:val="24"/>
          <w:szCs w:val="24"/>
        </w:rPr>
        <w:t>、</w:t>
      </w:r>
      <w:r>
        <w:rPr>
          <w:color w:val="000000"/>
          <w:sz w:val="24"/>
          <w:szCs w:val="24"/>
        </w:rPr>
        <w:t>8</w:t>
      </w:r>
      <w:r>
        <w:rPr>
          <w:color w:val="000000"/>
          <w:sz w:val="24"/>
          <w:szCs w:val="24"/>
        </w:rPr>
        <w:t>月份，上半年涨幅较大的板块如互联网、</w:t>
      </w:r>
      <w:r>
        <w:rPr>
          <w:color w:val="000000"/>
          <w:sz w:val="24"/>
          <w:szCs w:val="24"/>
        </w:rPr>
        <w:t>IT</w:t>
      </w:r>
      <w:r>
        <w:rPr>
          <w:color w:val="000000"/>
          <w:sz w:val="24"/>
          <w:szCs w:val="24"/>
        </w:rPr>
        <w:t>软硬件跌幅甚于大盘，直至</w:t>
      </w:r>
      <w:r>
        <w:rPr>
          <w:color w:val="000000"/>
          <w:sz w:val="24"/>
          <w:szCs w:val="24"/>
        </w:rPr>
        <w:t>9</w:t>
      </w:r>
      <w:r>
        <w:rPr>
          <w:color w:val="000000"/>
          <w:sz w:val="24"/>
          <w:szCs w:val="24"/>
        </w:rPr>
        <w:t>月有业绩驱动的成长股开始出现企稳的迹象。</w:t>
      </w:r>
    </w:p>
    <w:p w:rsidR="00351D17" w:rsidRDefault="00321650">
      <w:pPr>
        <w:spacing w:before="29" w:line="288" w:lineRule="auto"/>
        <w:ind w:firstLineChars="200" w:firstLine="480"/>
        <w:rPr>
          <w:color w:val="000000"/>
          <w:sz w:val="24"/>
          <w:szCs w:val="24"/>
        </w:rPr>
      </w:pPr>
      <w:r>
        <w:rPr>
          <w:color w:val="000000"/>
          <w:sz w:val="24"/>
          <w:szCs w:val="24"/>
        </w:rPr>
        <w:t>三季度本基金维持中性较低仓位，通过仓位控制有效防御了系统性风险，在</w:t>
      </w:r>
      <w:r>
        <w:rPr>
          <w:color w:val="000000"/>
          <w:sz w:val="24"/>
          <w:szCs w:val="24"/>
        </w:rPr>
        <w:t>9</w:t>
      </w:r>
      <w:r>
        <w:rPr>
          <w:color w:val="000000"/>
          <w:sz w:val="24"/>
          <w:szCs w:val="24"/>
        </w:rPr>
        <w:t>月开始逐步加仓。为中长期考虑，配置上仍倾向于投资中长期投资价值的新兴产业成长股。业绩的确定性、成长逻辑的严密性和可跟踪性成为个股选择的重要考量。</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我们认为四季度市场表现较三季度乐观，从基本面角度来看，经济依旧低迷，盈利层面对市场的支持力度有限，但较低的利率水平使得市场仍可能会</w:t>
      </w:r>
      <w:r w:rsidRPr="00414345">
        <w:rPr>
          <w:color w:val="000000"/>
          <w:sz w:val="24"/>
          <w:szCs w:val="24"/>
        </w:rPr>
        <w:t>“</w:t>
      </w:r>
      <w:r w:rsidRPr="00414345">
        <w:rPr>
          <w:color w:val="000000"/>
          <w:sz w:val="24"/>
          <w:szCs w:val="24"/>
        </w:rPr>
        <w:t>嘉奖</w:t>
      </w:r>
      <w:r w:rsidRPr="00414345">
        <w:rPr>
          <w:color w:val="000000"/>
          <w:sz w:val="24"/>
          <w:szCs w:val="24"/>
        </w:rPr>
        <w:t>”</w:t>
      </w:r>
      <w:r w:rsidRPr="00414345">
        <w:rPr>
          <w:color w:val="000000"/>
          <w:sz w:val="24"/>
          <w:szCs w:val="24"/>
        </w:rPr>
        <w:t>稀缺的成长股，细分行业的刺激政策亦可称为阶段性投资热点。在经历前期大幅</w:t>
      </w:r>
      <w:r w:rsidRPr="00414345">
        <w:rPr>
          <w:color w:val="000000"/>
          <w:sz w:val="24"/>
          <w:szCs w:val="24"/>
        </w:rPr>
        <w:t>“</w:t>
      </w:r>
      <w:r w:rsidRPr="00414345">
        <w:rPr>
          <w:color w:val="000000"/>
          <w:sz w:val="24"/>
          <w:szCs w:val="24"/>
        </w:rPr>
        <w:t>挤泡沫</w:t>
      </w:r>
      <w:r w:rsidRPr="00414345">
        <w:rPr>
          <w:color w:val="000000"/>
          <w:sz w:val="24"/>
          <w:szCs w:val="24"/>
        </w:rPr>
        <w:t>”</w:t>
      </w:r>
      <w:r w:rsidRPr="00414345">
        <w:rPr>
          <w:color w:val="000000"/>
          <w:sz w:val="24"/>
          <w:szCs w:val="24"/>
        </w:rPr>
        <w:t>的下跌后，优质的成长股逐步进入可投资的区间，本基金关注泛互联网、新生代、中产新消费门类、环保等行业的投资机会。</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1.569</w:t>
      </w:r>
      <w:r w:rsidRPr="00414345">
        <w:rPr>
          <w:color w:val="000000"/>
          <w:sz w:val="24"/>
          <w:szCs w:val="24"/>
        </w:rPr>
        <w:t>元，本报告期份额净值增长率为</w:t>
      </w:r>
      <w:r w:rsidRPr="00414345">
        <w:rPr>
          <w:color w:val="000000"/>
          <w:sz w:val="24"/>
          <w:szCs w:val="24"/>
        </w:rPr>
        <w:t>-15.83%</w:t>
      </w:r>
      <w:r w:rsidRPr="00414345">
        <w:rPr>
          <w:color w:val="000000"/>
          <w:sz w:val="24"/>
          <w:szCs w:val="24"/>
        </w:rPr>
        <w:t>，同期业绩比较基准增长率为</w:t>
      </w:r>
      <w:r w:rsidRPr="00414345">
        <w:rPr>
          <w:color w:val="000000"/>
          <w:sz w:val="24"/>
          <w:szCs w:val="24"/>
        </w:rPr>
        <w:t>-14.81%</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321650">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49,166,471.89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51.36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49,166,471.89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51.36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20,498,734.70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21.41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20,498,734.70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21.41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25,621,980.59</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26.76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451,131.18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0.47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95,738,318.36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31,720,971.28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1,518,750.00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1,491,486.00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916,740.00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1,154,650.20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9,083,363.35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9.60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657.36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321650" w:rsidP="00C15CAC">
            <w:pPr>
              <w:spacing w:before="29" w:line="288" w:lineRule="auto"/>
              <w:jc w:val="right"/>
              <w:rPr>
                <w:sz w:val="24"/>
                <w:szCs w:val="24"/>
              </w:rPr>
            </w:pPr>
            <w:r>
              <w:rPr>
                <w:rFonts w:hint="eastAsia"/>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1,792,981.70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1,486,872.00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49,166,471.89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51.94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351D17">
        <w:trPr>
          <w:jc w:val="center"/>
        </w:trPr>
        <w:tc>
          <w:tcPr>
            <w:tcW w:w="855" w:type="dxa"/>
            <w:vAlign w:val="center"/>
          </w:tcPr>
          <w:p w:rsidR="00351D17" w:rsidRDefault="00321650">
            <w:pPr>
              <w:jc w:val="center"/>
            </w:pPr>
            <w:r>
              <w:rPr>
                <w:color w:val="000000"/>
                <w:sz w:val="24"/>
                <w:szCs w:val="24"/>
              </w:rPr>
              <w:t>1</w:t>
            </w:r>
          </w:p>
        </w:tc>
        <w:tc>
          <w:tcPr>
            <w:tcW w:w="1334" w:type="dxa"/>
            <w:vAlign w:val="center"/>
          </w:tcPr>
          <w:p w:rsidR="00351D17" w:rsidRDefault="00321650">
            <w:pPr>
              <w:jc w:val="center"/>
            </w:pPr>
            <w:r>
              <w:rPr>
                <w:color w:val="000000"/>
                <w:sz w:val="24"/>
                <w:szCs w:val="24"/>
              </w:rPr>
              <w:t>002131</w:t>
            </w:r>
          </w:p>
        </w:tc>
        <w:tc>
          <w:tcPr>
            <w:tcW w:w="1777" w:type="dxa"/>
            <w:vAlign w:val="center"/>
          </w:tcPr>
          <w:p w:rsidR="00351D17" w:rsidRDefault="00321650">
            <w:pPr>
              <w:jc w:val="center"/>
            </w:pPr>
            <w:r>
              <w:rPr>
                <w:color w:val="000000"/>
                <w:sz w:val="24"/>
                <w:szCs w:val="24"/>
              </w:rPr>
              <w:t>利欧股份</w:t>
            </w:r>
          </w:p>
        </w:tc>
        <w:tc>
          <w:tcPr>
            <w:tcW w:w="1334" w:type="dxa"/>
            <w:vAlign w:val="center"/>
          </w:tcPr>
          <w:p w:rsidR="00351D17" w:rsidRDefault="00321650">
            <w:pPr>
              <w:jc w:val="right"/>
            </w:pPr>
            <w:r>
              <w:rPr>
                <w:color w:val="000000"/>
                <w:sz w:val="24"/>
                <w:szCs w:val="24"/>
              </w:rPr>
              <w:t>312,700</w:t>
            </w:r>
          </w:p>
        </w:tc>
        <w:tc>
          <w:tcPr>
            <w:tcW w:w="1924" w:type="dxa"/>
            <w:vAlign w:val="center"/>
          </w:tcPr>
          <w:p w:rsidR="00351D17" w:rsidRDefault="00321650">
            <w:pPr>
              <w:jc w:val="right"/>
            </w:pPr>
            <w:r>
              <w:rPr>
                <w:color w:val="000000"/>
                <w:sz w:val="24"/>
                <w:szCs w:val="24"/>
              </w:rPr>
              <w:t>4,487,245.00</w:t>
            </w:r>
          </w:p>
        </w:tc>
        <w:tc>
          <w:tcPr>
            <w:tcW w:w="1644" w:type="dxa"/>
            <w:vAlign w:val="center"/>
          </w:tcPr>
          <w:p w:rsidR="00351D17" w:rsidRDefault="00321650">
            <w:pPr>
              <w:jc w:val="right"/>
            </w:pPr>
            <w:r>
              <w:rPr>
                <w:color w:val="000000"/>
                <w:sz w:val="24"/>
                <w:szCs w:val="24"/>
              </w:rPr>
              <w:t>4.74</w:t>
            </w:r>
          </w:p>
        </w:tc>
      </w:tr>
      <w:tr w:rsidR="00351D17">
        <w:trPr>
          <w:jc w:val="center"/>
        </w:trPr>
        <w:tc>
          <w:tcPr>
            <w:tcW w:w="855" w:type="dxa"/>
            <w:vAlign w:val="center"/>
          </w:tcPr>
          <w:p w:rsidR="00351D17" w:rsidRDefault="00321650">
            <w:pPr>
              <w:jc w:val="center"/>
            </w:pPr>
            <w:r>
              <w:rPr>
                <w:color w:val="000000"/>
                <w:sz w:val="24"/>
                <w:szCs w:val="24"/>
              </w:rPr>
              <w:t>2</w:t>
            </w:r>
          </w:p>
        </w:tc>
        <w:tc>
          <w:tcPr>
            <w:tcW w:w="1334" w:type="dxa"/>
            <w:vAlign w:val="center"/>
          </w:tcPr>
          <w:p w:rsidR="00351D17" w:rsidRDefault="00321650">
            <w:pPr>
              <w:jc w:val="center"/>
            </w:pPr>
            <w:r>
              <w:rPr>
                <w:color w:val="000000"/>
                <w:sz w:val="24"/>
                <w:szCs w:val="24"/>
              </w:rPr>
              <w:t>600074</w:t>
            </w:r>
          </w:p>
        </w:tc>
        <w:tc>
          <w:tcPr>
            <w:tcW w:w="1777" w:type="dxa"/>
            <w:vAlign w:val="center"/>
          </w:tcPr>
          <w:p w:rsidR="00351D17" w:rsidRDefault="00321650">
            <w:pPr>
              <w:jc w:val="center"/>
            </w:pPr>
            <w:r>
              <w:rPr>
                <w:color w:val="000000"/>
                <w:sz w:val="24"/>
                <w:szCs w:val="24"/>
              </w:rPr>
              <w:t>保千里</w:t>
            </w:r>
          </w:p>
        </w:tc>
        <w:tc>
          <w:tcPr>
            <w:tcW w:w="1334" w:type="dxa"/>
            <w:vAlign w:val="center"/>
          </w:tcPr>
          <w:p w:rsidR="00351D17" w:rsidRDefault="00321650">
            <w:pPr>
              <w:jc w:val="right"/>
            </w:pPr>
            <w:r>
              <w:rPr>
                <w:color w:val="000000"/>
                <w:sz w:val="24"/>
                <w:szCs w:val="24"/>
              </w:rPr>
              <w:t>306,460</w:t>
            </w:r>
          </w:p>
        </w:tc>
        <w:tc>
          <w:tcPr>
            <w:tcW w:w="1924" w:type="dxa"/>
            <w:vAlign w:val="center"/>
          </w:tcPr>
          <w:p w:rsidR="00351D17" w:rsidRDefault="00321650">
            <w:pPr>
              <w:jc w:val="right"/>
            </w:pPr>
            <w:r>
              <w:rPr>
                <w:color w:val="000000"/>
                <w:sz w:val="24"/>
                <w:szCs w:val="24"/>
              </w:rPr>
              <w:t>3,723,489.00</w:t>
            </w:r>
          </w:p>
        </w:tc>
        <w:tc>
          <w:tcPr>
            <w:tcW w:w="1644" w:type="dxa"/>
            <w:vAlign w:val="center"/>
          </w:tcPr>
          <w:p w:rsidR="00351D17" w:rsidRDefault="00321650">
            <w:pPr>
              <w:jc w:val="right"/>
            </w:pPr>
            <w:r>
              <w:rPr>
                <w:color w:val="000000"/>
                <w:sz w:val="24"/>
                <w:szCs w:val="24"/>
              </w:rPr>
              <w:t>3.93</w:t>
            </w:r>
          </w:p>
        </w:tc>
      </w:tr>
      <w:tr w:rsidR="00351D17">
        <w:trPr>
          <w:jc w:val="center"/>
        </w:trPr>
        <w:tc>
          <w:tcPr>
            <w:tcW w:w="855" w:type="dxa"/>
            <w:vAlign w:val="center"/>
          </w:tcPr>
          <w:p w:rsidR="00351D17" w:rsidRDefault="00321650">
            <w:pPr>
              <w:jc w:val="center"/>
            </w:pPr>
            <w:r>
              <w:rPr>
                <w:color w:val="000000"/>
                <w:sz w:val="24"/>
                <w:szCs w:val="24"/>
              </w:rPr>
              <w:t>3</w:t>
            </w:r>
          </w:p>
        </w:tc>
        <w:tc>
          <w:tcPr>
            <w:tcW w:w="1334" w:type="dxa"/>
            <w:vAlign w:val="center"/>
          </w:tcPr>
          <w:p w:rsidR="00351D17" w:rsidRDefault="00321650">
            <w:pPr>
              <w:jc w:val="center"/>
            </w:pPr>
            <w:r>
              <w:rPr>
                <w:color w:val="000000"/>
                <w:sz w:val="24"/>
                <w:szCs w:val="24"/>
              </w:rPr>
              <w:t>300182</w:t>
            </w:r>
          </w:p>
        </w:tc>
        <w:tc>
          <w:tcPr>
            <w:tcW w:w="1777" w:type="dxa"/>
            <w:vAlign w:val="center"/>
          </w:tcPr>
          <w:p w:rsidR="00351D17" w:rsidRDefault="00321650">
            <w:pPr>
              <w:jc w:val="center"/>
            </w:pPr>
            <w:r>
              <w:rPr>
                <w:color w:val="000000"/>
                <w:sz w:val="24"/>
                <w:szCs w:val="24"/>
              </w:rPr>
              <w:t>捷成股份</w:t>
            </w:r>
          </w:p>
        </w:tc>
        <w:tc>
          <w:tcPr>
            <w:tcW w:w="1334" w:type="dxa"/>
            <w:vAlign w:val="center"/>
          </w:tcPr>
          <w:p w:rsidR="00351D17" w:rsidRDefault="00321650">
            <w:pPr>
              <w:jc w:val="right"/>
            </w:pPr>
            <w:r>
              <w:rPr>
                <w:color w:val="000000"/>
                <w:sz w:val="24"/>
                <w:szCs w:val="24"/>
              </w:rPr>
              <w:t>76,117</w:t>
            </w:r>
          </w:p>
        </w:tc>
        <w:tc>
          <w:tcPr>
            <w:tcW w:w="1924" w:type="dxa"/>
            <w:vAlign w:val="center"/>
          </w:tcPr>
          <w:p w:rsidR="00351D17" w:rsidRDefault="00321650">
            <w:pPr>
              <w:jc w:val="right"/>
            </w:pPr>
            <w:r>
              <w:rPr>
                <w:color w:val="000000"/>
                <w:sz w:val="24"/>
                <w:szCs w:val="24"/>
              </w:rPr>
              <w:t>3,311,850.67</w:t>
            </w:r>
          </w:p>
        </w:tc>
        <w:tc>
          <w:tcPr>
            <w:tcW w:w="1644" w:type="dxa"/>
            <w:vAlign w:val="center"/>
          </w:tcPr>
          <w:p w:rsidR="00351D17" w:rsidRDefault="00321650">
            <w:pPr>
              <w:jc w:val="right"/>
            </w:pPr>
            <w:r>
              <w:rPr>
                <w:color w:val="000000"/>
                <w:sz w:val="24"/>
                <w:szCs w:val="24"/>
              </w:rPr>
              <w:t>3.50</w:t>
            </w:r>
          </w:p>
        </w:tc>
      </w:tr>
      <w:tr w:rsidR="00351D17">
        <w:trPr>
          <w:jc w:val="center"/>
        </w:trPr>
        <w:tc>
          <w:tcPr>
            <w:tcW w:w="855" w:type="dxa"/>
            <w:vAlign w:val="center"/>
          </w:tcPr>
          <w:p w:rsidR="00351D17" w:rsidRDefault="00321650">
            <w:pPr>
              <w:jc w:val="center"/>
            </w:pPr>
            <w:r>
              <w:rPr>
                <w:color w:val="000000"/>
                <w:sz w:val="24"/>
                <w:szCs w:val="24"/>
              </w:rPr>
              <w:t>4</w:t>
            </w:r>
          </w:p>
        </w:tc>
        <w:tc>
          <w:tcPr>
            <w:tcW w:w="1334" w:type="dxa"/>
            <w:vAlign w:val="center"/>
          </w:tcPr>
          <w:p w:rsidR="00351D17" w:rsidRDefault="00321650">
            <w:pPr>
              <w:jc w:val="center"/>
            </w:pPr>
            <w:r>
              <w:rPr>
                <w:color w:val="000000"/>
                <w:sz w:val="24"/>
                <w:szCs w:val="24"/>
              </w:rPr>
              <w:t>002180</w:t>
            </w:r>
          </w:p>
        </w:tc>
        <w:tc>
          <w:tcPr>
            <w:tcW w:w="1777" w:type="dxa"/>
            <w:vAlign w:val="center"/>
          </w:tcPr>
          <w:p w:rsidR="00351D17" w:rsidRDefault="00321650">
            <w:pPr>
              <w:jc w:val="center"/>
            </w:pPr>
            <w:r>
              <w:rPr>
                <w:color w:val="000000"/>
                <w:sz w:val="24"/>
                <w:szCs w:val="24"/>
              </w:rPr>
              <w:t>艾派克</w:t>
            </w:r>
          </w:p>
        </w:tc>
        <w:tc>
          <w:tcPr>
            <w:tcW w:w="1334" w:type="dxa"/>
            <w:vAlign w:val="center"/>
          </w:tcPr>
          <w:p w:rsidR="00351D17" w:rsidRDefault="00321650">
            <w:pPr>
              <w:jc w:val="right"/>
            </w:pPr>
            <w:r>
              <w:rPr>
                <w:color w:val="000000"/>
                <w:sz w:val="24"/>
                <w:szCs w:val="24"/>
              </w:rPr>
              <w:t>61,150</w:t>
            </w:r>
          </w:p>
        </w:tc>
        <w:tc>
          <w:tcPr>
            <w:tcW w:w="1924" w:type="dxa"/>
            <w:vAlign w:val="center"/>
          </w:tcPr>
          <w:p w:rsidR="00351D17" w:rsidRDefault="00321650">
            <w:pPr>
              <w:jc w:val="right"/>
            </w:pPr>
            <w:r>
              <w:rPr>
                <w:color w:val="000000"/>
                <w:sz w:val="24"/>
                <w:szCs w:val="24"/>
              </w:rPr>
              <w:t>2,201,400.00</w:t>
            </w:r>
          </w:p>
        </w:tc>
        <w:tc>
          <w:tcPr>
            <w:tcW w:w="1644" w:type="dxa"/>
            <w:vAlign w:val="center"/>
          </w:tcPr>
          <w:p w:rsidR="00351D17" w:rsidRDefault="00321650">
            <w:pPr>
              <w:jc w:val="right"/>
            </w:pPr>
            <w:r>
              <w:rPr>
                <w:color w:val="000000"/>
                <w:sz w:val="24"/>
                <w:szCs w:val="24"/>
              </w:rPr>
              <w:t>2.33</w:t>
            </w:r>
          </w:p>
        </w:tc>
      </w:tr>
      <w:tr w:rsidR="00351D17">
        <w:trPr>
          <w:jc w:val="center"/>
        </w:trPr>
        <w:tc>
          <w:tcPr>
            <w:tcW w:w="855" w:type="dxa"/>
            <w:vAlign w:val="center"/>
          </w:tcPr>
          <w:p w:rsidR="00351D17" w:rsidRDefault="00321650">
            <w:pPr>
              <w:jc w:val="center"/>
            </w:pPr>
            <w:r>
              <w:rPr>
                <w:color w:val="000000"/>
                <w:sz w:val="24"/>
                <w:szCs w:val="24"/>
              </w:rPr>
              <w:t>5</w:t>
            </w:r>
          </w:p>
        </w:tc>
        <w:tc>
          <w:tcPr>
            <w:tcW w:w="1334" w:type="dxa"/>
            <w:vAlign w:val="center"/>
          </w:tcPr>
          <w:p w:rsidR="00351D17" w:rsidRDefault="00321650">
            <w:pPr>
              <w:jc w:val="center"/>
            </w:pPr>
            <w:r>
              <w:rPr>
                <w:color w:val="000000"/>
                <w:sz w:val="24"/>
                <w:szCs w:val="24"/>
              </w:rPr>
              <w:t>300017</w:t>
            </w:r>
          </w:p>
        </w:tc>
        <w:tc>
          <w:tcPr>
            <w:tcW w:w="1777" w:type="dxa"/>
            <w:vAlign w:val="center"/>
          </w:tcPr>
          <w:p w:rsidR="00351D17" w:rsidRDefault="00321650">
            <w:pPr>
              <w:jc w:val="center"/>
            </w:pPr>
            <w:r>
              <w:rPr>
                <w:color w:val="000000"/>
                <w:sz w:val="24"/>
                <w:szCs w:val="24"/>
              </w:rPr>
              <w:t>网宿科技</w:t>
            </w:r>
          </w:p>
        </w:tc>
        <w:tc>
          <w:tcPr>
            <w:tcW w:w="1334" w:type="dxa"/>
            <w:vAlign w:val="center"/>
          </w:tcPr>
          <w:p w:rsidR="00351D17" w:rsidRDefault="00321650">
            <w:pPr>
              <w:jc w:val="right"/>
            </w:pPr>
            <w:r>
              <w:rPr>
                <w:color w:val="000000"/>
                <w:sz w:val="24"/>
                <w:szCs w:val="24"/>
              </w:rPr>
              <w:t>41,100</w:t>
            </w:r>
          </w:p>
        </w:tc>
        <w:tc>
          <w:tcPr>
            <w:tcW w:w="1924" w:type="dxa"/>
            <w:vAlign w:val="center"/>
          </w:tcPr>
          <w:p w:rsidR="00351D17" w:rsidRDefault="00321650">
            <w:pPr>
              <w:jc w:val="right"/>
            </w:pPr>
            <w:r>
              <w:rPr>
                <w:color w:val="000000"/>
                <w:sz w:val="24"/>
                <w:szCs w:val="24"/>
              </w:rPr>
              <w:t>2,166,381.00</w:t>
            </w:r>
          </w:p>
        </w:tc>
        <w:tc>
          <w:tcPr>
            <w:tcW w:w="1644" w:type="dxa"/>
            <w:vAlign w:val="center"/>
          </w:tcPr>
          <w:p w:rsidR="00351D17" w:rsidRDefault="00321650">
            <w:pPr>
              <w:jc w:val="right"/>
            </w:pPr>
            <w:r>
              <w:rPr>
                <w:color w:val="000000"/>
                <w:sz w:val="24"/>
                <w:szCs w:val="24"/>
              </w:rPr>
              <w:t>2.29</w:t>
            </w:r>
          </w:p>
        </w:tc>
      </w:tr>
      <w:tr w:rsidR="00351D17">
        <w:trPr>
          <w:jc w:val="center"/>
        </w:trPr>
        <w:tc>
          <w:tcPr>
            <w:tcW w:w="855" w:type="dxa"/>
            <w:vAlign w:val="center"/>
          </w:tcPr>
          <w:p w:rsidR="00351D17" w:rsidRDefault="00321650">
            <w:pPr>
              <w:jc w:val="center"/>
            </w:pPr>
            <w:r>
              <w:rPr>
                <w:color w:val="000000"/>
                <w:sz w:val="24"/>
                <w:szCs w:val="24"/>
              </w:rPr>
              <w:t>6</w:t>
            </w:r>
          </w:p>
        </w:tc>
        <w:tc>
          <w:tcPr>
            <w:tcW w:w="1334" w:type="dxa"/>
            <w:vAlign w:val="center"/>
          </w:tcPr>
          <w:p w:rsidR="00351D17" w:rsidRDefault="00321650">
            <w:pPr>
              <w:jc w:val="center"/>
            </w:pPr>
            <w:r>
              <w:rPr>
                <w:color w:val="000000"/>
                <w:sz w:val="24"/>
                <w:szCs w:val="24"/>
              </w:rPr>
              <w:t>002280</w:t>
            </w:r>
          </w:p>
        </w:tc>
        <w:tc>
          <w:tcPr>
            <w:tcW w:w="1777" w:type="dxa"/>
            <w:vAlign w:val="center"/>
          </w:tcPr>
          <w:p w:rsidR="00351D17" w:rsidRDefault="00321650">
            <w:pPr>
              <w:jc w:val="center"/>
            </w:pPr>
            <w:r>
              <w:rPr>
                <w:color w:val="000000"/>
                <w:sz w:val="24"/>
                <w:szCs w:val="24"/>
              </w:rPr>
              <w:t>联络互动</w:t>
            </w:r>
          </w:p>
        </w:tc>
        <w:tc>
          <w:tcPr>
            <w:tcW w:w="1334" w:type="dxa"/>
            <w:vAlign w:val="center"/>
          </w:tcPr>
          <w:p w:rsidR="00351D17" w:rsidRDefault="00321650">
            <w:pPr>
              <w:jc w:val="right"/>
            </w:pPr>
            <w:r>
              <w:rPr>
                <w:color w:val="000000"/>
                <w:sz w:val="24"/>
                <w:szCs w:val="24"/>
              </w:rPr>
              <w:t>55,946</w:t>
            </w:r>
          </w:p>
        </w:tc>
        <w:tc>
          <w:tcPr>
            <w:tcW w:w="1924" w:type="dxa"/>
            <w:vAlign w:val="center"/>
          </w:tcPr>
          <w:p w:rsidR="00351D17" w:rsidRDefault="00321650">
            <w:pPr>
              <w:jc w:val="right"/>
            </w:pPr>
            <w:r>
              <w:rPr>
                <w:color w:val="000000"/>
                <w:sz w:val="24"/>
                <w:szCs w:val="24"/>
              </w:rPr>
              <w:t>1,972,655.96</w:t>
            </w:r>
          </w:p>
        </w:tc>
        <w:tc>
          <w:tcPr>
            <w:tcW w:w="1644" w:type="dxa"/>
            <w:vAlign w:val="center"/>
          </w:tcPr>
          <w:p w:rsidR="00351D17" w:rsidRDefault="00321650">
            <w:pPr>
              <w:jc w:val="right"/>
            </w:pPr>
            <w:r>
              <w:rPr>
                <w:color w:val="000000"/>
                <w:sz w:val="24"/>
                <w:szCs w:val="24"/>
              </w:rPr>
              <w:t>2.08</w:t>
            </w:r>
          </w:p>
        </w:tc>
      </w:tr>
      <w:tr w:rsidR="00351D17">
        <w:trPr>
          <w:jc w:val="center"/>
        </w:trPr>
        <w:tc>
          <w:tcPr>
            <w:tcW w:w="855" w:type="dxa"/>
            <w:vAlign w:val="center"/>
          </w:tcPr>
          <w:p w:rsidR="00351D17" w:rsidRDefault="00321650">
            <w:pPr>
              <w:jc w:val="center"/>
            </w:pPr>
            <w:r>
              <w:rPr>
                <w:color w:val="000000"/>
                <w:sz w:val="24"/>
                <w:szCs w:val="24"/>
              </w:rPr>
              <w:t>7</w:t>
            </w:r>
          </w:p>
        </w:tc>
        <w:tc>
          <w:tcPr>
            <w:tcW w:w="1334" w:type="dxa"/>
            <w:vAlign w:val="center"/>
          </w:tcPr>
          <w:p w:rsidR="00351D17" w:rsidRDefault="00321650">
            <w:pPr>
              <w:jc w:val="center"/>
            </w:pPr>
            <w:r>
              <w:rPr>
                <w:color w:val="000000"/>
                <w:sz w:val="24"/>
                <w:szCs w:val="24"/>
              </w:rPr>
              <w:t>300327</w:t>
            </w:r>
          </w:p>
        </w:tc>
        <w:tc>
          <w:tcPr>
            <w:tcW w:w="1777" w:type="dxa"/>
            <w:vAlign w:val="center"/>
          </w:tcPr>
          <w:p w:rsidR="00351D17" w:rsidRDefault="00321650">
            <w:pPr>
              <w:jc w:val="center"/>
            </w:pPr>
            <w:r>
              <w:rPr>
                <w:color w:val="000000"/>
                <w:sz w:val="24"/>
                <w:szCs w:val="24"/>
              </w:rPr>
              <w:t>中颖电子</w:t>
            </w:r>
          </w:p>
        </w:tc>
        <w:tc>
          <w:tcPr>
            <w:tcW w:w="1334" w:type="dxa"/>
            <w:vAlign w:val="center"/>
          </w:tcPr>
          <w:p w:rsidR="00351D17" w:rsidRDefault="00321650">
            <w:pPr>
              <w:jc w:val="right"/>
            </w:pPr>
            <w:r>
              <w:rPr>
                <w:color w:val="000000"/>
                <w:sz w:val="24"/>
                <w:szCs w:val="24"/>
              </w:rPr>
              <w:t>114,100</w:t>
            </w:r>
          </w:p>
        </w:tc>
        <w:tc>
          <w:tcPr>
            <w:tcW w:w="1924" w:type="dxa"/>
            <w:vAlign w:val="center"/>
          </w:tcPr>
          <w:p w:rsidR="00351D17" w:rsidRDefault="00321650">
            <w:pPr>
              <w:jc w:val="right"/>
            </w:pPr>
            <w:r>
              <w:rPr>
                <w:color w:val="000000"/>
                <w:sz w:val="24"/>
                <w:szCs w:val="24"/>
              </w:rPr>
              <w:t>1,968,225.00</w:t>
            </w:r>
          </w:p>
        </w:tc>
        <w:tc>
          <w:tcPr>
            <w:tcW w:w="1644" w:type="dxa"/>
            <w:vAlign w:val="center"/>
          </w:tcPr>
          <w:p w:rsidR="00351D17" w:rsidRDefault="00321650">
            <w:pPr>
              <w:jc w:val="right"/>
            </w:pPr>
            <w:r>
              <w:rPr>
                <w:color w:val="000000"/>
                <w:sz w:val="24"/>
                <w:szCs w:val="24"/>
              </w:rPr>
              <w:t>2.08</w:t>
            </w:r>
          </w:p>
        </w:tc>
      </w:tr>
      <w:tr w:rsidR="00351D17">
        <w:trPr>
          <w:jc w:val="center"/>
        </w:trPr>
        <w:tc>
          <w:tcPr>
            <w:tcW w:w="855" w:type="dxa"/>
            <w:vAlign w:val="center"/>
          </w:tcPr>
          <w:p w:rsidR="00351D17" w:rsidRDefault="00321650">
            <w:pPr>
              <w:jc w:val="center"/>
            </w:pPr>
            <w:r>
              <w:rPr>
                <w:color w:val="000000"/>
                <w:sz w:val="24"/>
                <w:szCs w:val="24"/>
              </w:rPr>
              <w:t>8</w:t>
            </w:r>
          </w:p>
        </w:tc>
        <w:tc>
          <w:tcPr>
            <w:tcW w:w="1334" w:type="dxa"/>
            <w:vAlign w:val="center"/>
          </w:tcPr>
          <w:p w:rsidR="00351D17" w:rsidRDefault="00321650">
            <w:pPr>
              <w:jc w:val="center"/>
            </w:pPr>
            <w:r>
              <w:rPr>
                <w:color w:val="000000"/>
                <w:sz w:val="24"/>
                <w:szCs w:val="24"/>
              </w:rPr>
              <w:t>300137</w:t>
            </w:r>
          </w:p>
        </w:tc>
        <w:tc>
          <w:tcPr>
            <w:tcW w:w="1777" w:type="dxa"/>
            <w:vAlign w:val="center"/>
          </w:tcPr>
          <w:p w:rsidR="00351D17" w:rsidRDefault="00321650">
            <w:pPr>
              <w:jc w:val="center"/>
            </w:pPr>
            <w:r>
              <w:rPr>
                <w:color w:val="000000"/>
                <w:sz w:val="24"/>
                <w:szCs w:val="24"/>
              </w:rPr>
              <w:t>先河环保</w:t>
            </w:r>
          </w:p>
        </w:tc>
        <w:tc>
          <w:tcPr>
            <w:tcW w:w="1334" w:type="dxa"/>
            <w:vAlign w:val="center"/>
          </w:tcPr>
          <w:p w:rsidR="00351D17" w:rsidRDefault="00321650">
            <w:pPr>
              <w:jc w:val="right"/>
            </w:pPr>
            <w:r>
              <w:rPr>
                <w:color w:val="000000"/>
                <w:sz w:val="24"/>
                <w:szCs w:val="24"/>
              </w:rPr>
              <w:t>118,100</w:t>
            </w:r>
          </w:p>
        </w:tc>
        <w:tc>
          <w:tcPr>
            <w:tcW w:w="1924" w:type="dxa"/>
            <w:vAlign w:val="center"/>
          </w:tcPr>
          <w:p w:rsidR="00351D17" w:rsidRDefault="00321650">
            <w:pPr>
              <w:jc w:val="right"/>
            </w:pPr>
            <w:r>
              <w:rPr>
                <w:color w:val="000000"/>
                <w:sz w:val="24"/>
                <w:szCs w:val="24"/>
              </w:rPr>
              <w:t>1,961,641.00</w:t>
            </w:r>
          </w:p>
        </w:tc>
        <w:tc>
          <w:tcPr>
            <w:tcW w:w="1644" w:type="dxa"/>
            <w:vAlign w:val="center"/>
          </w:tcPr>
          <w:p w:rsidR="00351D17" w:rsidRDefault="00321650">
            <w:pPr>
              <w:jc w:val="right"/>
            </w:pPr>
            <w:r>
              <w:rPr>
                <w:color w:val="000000"/>
                <w:sz w:val="24"/>
                <w:szCs w:val="24"/>
              </w:rPr>
              <w:t>2.07</w:t>
            </w:r>
          </w:p>
        </w:tc>
      </w:tr>
      <w:tr w:rsidR="00351D17">
        <w:trPr>
          <w:jc w:val="center"/>
        </w:trPr>
        <w:tc>
          <w:tcPr>
            <w:tcW w:w="855" w:type="dxa"/>
            <w:vAlign w:val="center"/>
          </w:tcPr>
          <w:p w:rsidR="00351D17" w:rsidRDefault="00321650">
            <w:pPr>
              <w:jc w:val="center"/>
            </w:pPr>
            <w:r>
              <w:rPr>
                <w:color w:val="000000"/>
                <w:sz w:val="24"/>
                <w:szCs w:val="24"/>
              </w:rPr>
              <w:t>9</w:t>
            </w:r>
          </w:p>
        </w:tc>
        <w:tc>
          <w:tcPr>
            <w:tcW w:w="1334" w:type="dxa"/>
            <w:vAlign w:val="center"/>
          </w:tcPr>
          <w:p w:rsidR="00351D17" w:rsidRDefault="00321650">
            <w:pPr>
              <w:jc w:val="center"/>
            </w:pPr>
            <w:r>
              <w:rPr>
                <w:color w:val="000000"/>
                <w:sz w:val="24"/>
                <w:szCs w:val="24"/>
              </w:rPr>
              <w:t>300136</w:t>
            </w:r>
          </w:p>
        </w:tc>
        <w:tc>
          <w:tcPr>
            <w:tcW w:w="1777" w:type="dxa"/>
            <w:vAlign w:val="center"/>
          </w:tcPr>
          <w:p w:rsidR="00351D17" w:rsidRDefault="00321650">
            <w:pPr>
              <w:jc w:val="center"/>
            </w:pPr>
            <w:r>
              <w:rPr>
                <w:color w:val="000000"/>
                <w:sz w:val="24"/>
                <w:szCs w:val="24"/>
              </w:rPr>
              <w:t>信维通信</w:t>
            </w:r>
          </w:p>
        </w:tc>
        <w:tc>
          <w:tcPr>
            <w:tcW w:w="1334" w:type="dxa"/>
            <w:vAlign w:val="center"/>
          </w:tcPr>
          <w:p w:rsidR="00351D17" w:rsidRDefault="00321650">
            <w:pPr>
              <w:jc w:val="right"/>
            </w:pPr>
            <w:r>
              <w:rPr>
                <w:color w:val="000000"/>
                <w:sz w:val="24"/>
                <w:szCs w:val="24"/>
              </w:rPr>
              <w:t>67,900</w:t>
            </w:r>
          </w:p>
        </w:tc>
        <w:tc>
          <w:tcPr>
            <w:tcW w:w="1924" w:type="dxa"/>
            <w:vAlign w:val="center"/>
          </w:tcPr>
          <w:p w:rsidR="00351D17" w:rsidRDefault="00321650">
            <w:pPr>
              <w:jc w:val="right"/>
            </w:pPr>
            <w:r>
              <w:rPr>
                <w:color w:val="000000"/>
                <w:sz w:val="24"/>
                <w:szCs w:val="24"/>
              </w:rPr>
              <w:t>1,885,583.00</w:t>
            </w:r>
          </w:p>
        </w:tc>
        <w:tc>
          <w:tcPr>
            <w:tcW w:w="1644" w:type="dxa"/>
            <w:vAlign w:val="center"/>
          </w:tcPr>
          <w:p w:rsidR="00351D17" w:rsidRDefault="00321650">
            <w:pPr>
              <w:jc w:val="right"/>
            </w:pPr>
            <w:r>
              <w:rPr>
                <w:color w:val="000000"/>
                <w:sz w:val="24"/>
                <w:szCs w:val="24"/>
              </w:rPr>
              <w:t>1.99</w:t>
            </w:r>
          </w:p>
        </w:tc>
      </w:tr>
      <w:tr w:rsidR="00351D17">
        <w:trPr>
          <w:jc w:val="center"/>
        </w:trPr>
        <w:tc>
          <w:tcPr>
            <w:tcW w:w="855" w:type="dxa"/>
            <w:vAlign w:val="center"/>
          </w:tcPr>
          <w:p w:rsidR="00351D17" w:rsidRDefault="00321650">
            <w:pPr>
              <w:jc w:val="center"/>
            </w:pPr>
            <w:r>
              <w:rPr>
                <w:color w:val="000000"/>
                <w:sz w:val="24"/>
                <w:szCs w:val="24"/>
              </w:rPr>
              <w:t>10</w:t>
            </w:r>
          </w:p>
        </w:tc>
        <w:tc>
          <w:tcPr>
            <w:tcW w:w="1334" w:type="dxa"/>
            <w:vAlign w:val="center"/>
          </w:tcPr>
          <w:p w:rsidR="00351D17" w:rsidRDefault="00321650">
            <w:pPr>
              <w:jc w:val="center"/>
            </w:pPr>
            <w:r>
              <w:rPr>
                <w:color w:val="000000"/>
                <w:sz w:val="24"/>
                <w:szCs w:val="24"/>
              </w:rPr>
              <w:t>300101</w:t>
            </w:r>
          </w:p>
        </w:tc>
        <w:tc>
          <w:tcPr>
            <w:tcW w:w="1777" w:type="dxa"/>
            <w:vAlign w:val="center"/>
          </w:tcPr>
          <w:p w:rsidR="00351D17" w:rsidRDefault="00321650">
            <w:pPr>
              <w:jc w:val="center"/>
            </w:pPr>
            <w:r>
              <w:rPr>
                <w:color w:val="000000"/>
                <w:sz w:val="24"/>
                <w:szCs w:val="24"/>
              </w:rPr>
              <w:t>振芯科技</w:t>
            </w:r>
          </w:p>
        </w:tc>
        <w:tc>
          <w:tcPr>
            <w:tcW w:w="1334" w:type="dxa"/>
            <w:vAlign w:val="center"/>
          </w:tcPr>
          <w:p w:rsidR="00351D17" w:rsidRDefault="00321650">
            <w:pPr>
              <w:jc w:val="right"/>
            </w:pPr>
            <w:r>
              <w:rPr>
                <w:color w:val="000000"/>
                <w:sz w:val="24"/>
                <w:szCs w:val="24"/>
              </w:rPr>
              <w:t>76,800</w:t>
            </w:r>
          </w:p>
        </w:tc>
        <w:tc>
          <w:tcPr>
            <w:tcW w:w="1924" w:type="dxa"/>
            <w:vAlign w:val="center"/>
          </w:tcPr>
          <w:p w:rsidR="00351D17" w:rsidRDefault="00321650">
            <w:pPr>
              <w:jc w:val="right"/>
            </w:pPr>
            <w:r>
              <w:rPr>
                <w:color w:val="000000"/>
                <w:sz w:val="24"/>
                <w:szCs w:val="24"/>
              </w:rPr>
              <w:t>1,666,560.00</w:t>
            </w:r>
          </w:p>
        </w:tc>
        <w:tc>
          <w:tcPr>
            <w:tcW w:w="1644" w:type="dxa"/>
            <w:vAlign w:val="center"/>
          </w:tcPr>
          <w:p w:rsidR="00351D17" w:rsidRDefault="00321650">
            <w:pPr>
              <w:jc w:val="right"/>
            </w:pPr>
            <w:r>
              <w:rPr>
                <w:color w:val="000000"/>
                <w:sz w:val="24"/>
                <w:szCs w:val="24"/>
              </w:rPr>
              <w:t>1.76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20,115,000.00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21.25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20,115,000.00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21.25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383,734.70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0.41</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20,498,734.70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21.65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351D17">
        <w:trPr>
          <w:jc w:val="center"/>
        </w:trPr>
        <w:tc>
          <w:tcPr>
            <w:tcW w:w="850" w:type="dxa"/>
            <w:vAlign w:val="center"/>
          </w:tcPr>
          <w:p w:rsidR="00351D17" w:rsidRDefault="00321650">
            <w:pPr>
              <w:jc w:val="center"/>
            </w:pPr>
            <w:r>
              <w:rPr>
                <w:color w:val="000000"/>
                <w:sz w:val="24"/>
                <w:szCs w:val="24"/>
              </w:rPr>
              <w:t>1</w:t>
            </w:r>
          </w:p>
        </w:tc>
        <w:tc>
          <w:tcPr>
            <w:tcW w:w="1475" w:type="dxa"/>
            <w:vAlign w:val="center"/>
          </w:tcPr>
          <w:p w:rsidR="00351D17" w:rsidRDefault="00321650">
            <w:pPr>
              <w:jc w:val="center"/>
            </w:pPr>
            <w:r>
              <w:rPr>
                <w:color w:val="000000"/>
                <w:sz w:val="24"/>
                <w:szCs w:val="24"/>
              </w:rPr>
              <w:t>150201</w:t>
            </w:r>
          </w:p>
        </w:tc>
        <w:tc>
          <w:tcPr>
            <w:tcW w:w="1769" w:type="dxa"/>
            <w:vAlign w:val="center"/>
          </w:tcPr>
          <w:p w:rsidR="00351D17" w:rsidRDefault="00321650">
            <w:pPr>
              <w:jc w:val="center"/>
            </w:pPr>
            <w:r>
              <w:rPr>
                <w:color w:val="000000"/>
                <w:sz w:val="24"/>
                <w:szCs w:val="24"/>
              </w:rPr>
              <w:t>15</w:t>
            </w:r>
            <w:r>
              <w:rPr>
                <w:color w:val="000000"/>
                <w:sz w:val="24"/>
                <w:szCs w:val="24"/>
              </w:rPr>
              <w:t>国开</w:t>
            </w:r>
            <w:r>
              <w:rPr>
                <w:color w:val="000000"/>
                <w:sz w:val="24"/>
                <w:szCs w:val="24"/>
              </w:rPr>
              <w:t>01</w:t>
            </w:r>
          </w:p>
        </w:tc>
        <w:tc>
          <w:tcPr>
            <w:tcW w:w="1387" w:type="dxa"/>
            <w:vAlign w:val="center"/>
          </w:tcPr>
          <w:p w:rsidR="00351D17" w:rsidRDefault="00321650">
            <w:pPr>
              <w:jc w:val="right"/>
            </w:pPr>
            <w:r>
              <w:rPr>
                <w:color w:val="000000"/>
                <w:sz w:val="24"/>
                <w:szCs w:val="24"/>
              </w:rPr>
              <w:t>100,000</w:t>
            </w:r>
          </w:p>
        </w:tc>
        <w:tc>
          <w:tcPr>
            <w:tcW w:w="2150" w:type="dxa"/>
            <w:vAlign w:val="center"/>
          </w:tcPr>
          <w:p w:rsidR="00351D17" w:rsidRDefault="00321650">
            <w:pPr>
              <w:jc w:val="right"/>
            </w:pPr>
            <w:r>
              <w:rPr>
                <w:color w:val="000000"/>
                <w:sz w:val="24"/>
                <w:szCs w:val="24"/>
              </w:rPr>
              <w:t>10,123,000.00</w:t>
            </w:r>
          </w:p>
        </w:tc>
        <w:tc>
          <w:tcPr>
            <w:tcW w:w="1237" w:type="dxa"/>
            <w:vAlign w:val="center"/>
          </w:tcPr>
          <w:p w:rsidR="00351D17" w:rsidRDefault="00321650">
            <w:pPr>
              <w:jc w:val="right"/>
            </w:pPr>
            <w:r>
              <w:rPr>
                <w:color w:val="000000"/>
                <w:sz w:val="24"/>
                <w:szCs w:val="24"/>
              </w:rPr>
              <w:t>10.69</w:t>
            </w:r>
          </w:p>
        </w:tc>
      </w:tr>
      <w:tr w:rsidR="00351D17">
        <w:trPr>
          <w:jc w:val="center"/>
        </w:trPr>
        <w:tc>
          <w:tcPr>
            <w:tcW w:w="850" w:type="dxa"/>
            <w:vAlign w:val="center"/>
          </w:tcPr>
          <w:p w:rsidR="00351D17" w:rsidRDefault="00321650">
            <w:pPr>
              <w:jc w:val="center"/>
            </w:pPr>
            <w:r>
              <w:rPr>
                <w:color w:val="000000"/>
                <w:sz w:val="24"/>
                <w:szCs w:val="24"/>
              </w:rPr>
              <w:t>2</w:t>
            </w:r>
          </w:p>
        </w:tc>
        <w:tc>
          <w:tcPr>
            <w:tcW w:w="1475" w:type="dxa"/>
            <w:vAlign w:val="center"/>
          </w:tcPr>
          <w:p w:rsidR="00351D17" w:rsidRDefault="00321650">
            <w:pPr>
              <w:jc w:val="center"/>
            </w:pPr>
            <w:r>
              <w:rPr>
                <w:color w:val="000000"/>
                <w:sz w:val="24"/>
                <w:szCs w:val="24"/>
              </w:rPr>
              <w:t>150311</w:t>
            </w:r>
          </w:p>
        </w:tc>
        <w:tc>
          <w:tcPr>
            <w:tcW w:w="1769" w:type="dxa"/>
            <w:vAlign w:val="center"/>
          </w:tcPr>
          <w:p w:rsidR="00351D17" w:rsidRDefault="00321650">
            <w:pPr>
              <w:jc w:val="center"/>
            </w:pPr>
            <w:r>
              <w:rPr>
                <w:color w:val="000000"/>
                <w:sz w:val="24"/>
                <w:szCs w:val="24"/>
              </w:rPr>
              <w:t>15</w:t>
            </w:r>
            <w:r>
              <w:rPr>
                <w:color w:val="000000"/>
                <w:sz w:val="24"/>
                <w:szCs w:val="24"/>
              </w:rPr>
              <w:t>进出</w:t>
            </w:r>
            <w:r>
              <w:rPr>
                <w:color w:val="000000"/>
                <w:sz w:val="24"/>
                <w:szCs w:val="24"/>
              </w:rPr>
              <w:t>11</w:t>
            </w:r>
          </w:p>
        </w:tc>
        <w:tc>
          <w:tcPr>
            <w:tcW w:w="1387" w:type="dxa"/>
            <w:vAlign w:val="center"/>
          </w:tcPr>
          <w:p w:rsidR="00351D17" w:rsidRDefault="00321650">
            <w:pPr>
              <w:jc w:val="right"/>
            </w:pPr>
            <w:r>
              <w:rPr>
                <w:color w:val="000000"/>
                <w:sz w:val="24"/>
                <w:szCs w:val="24"/>
              </w:rPr>
              <w:t>100,000</w:t>
            </w:r>
          </w:p>
        </w:tc>
        <w:tc>
          <w:tcPr>
            <w:tcW w:w="2150" w:type="dxa"/>
            <w:vAlign w:val="center"/>
          </w:tcPr>
          <w:p w:rsidR="00351D17" w:rsidRDefault="00321650">
            <w:pPr>
              <w:jc w:val="right"/>
            </w:pPr>
            <w:r>
              <w:rPr>
                <w:color w:val="000000"/>
                <w:sz w:val="24"/>
                <w:szCs w:val="24"/>
              </w:rPr>
              <w:t>9,992,000.00</w:t>
            </w:r>
          </w:p>
        </w:tc>
        <w:tc>
          <w:tcPr>
            <w:tcW w:w="1237" w:type="dxa"/>
            <w:vAlign w:val="center"/>
          </w:tcPr>
          <w:p w:rsidR="00351D17" w:rsidRDefault="00321650">
            <w:pPr>
              <w:jc w:val="right"/>
            </w:pPr>
            <w:r>
              <w:rPr>
                <w:color w:val="000000"/>
                <w:sz w:val="24"/>
                <w:szCs w:val="24"/>
              </w:rPr>
              <w:t>10.56</w:t>
            </w:r>
          </w:p>
        </w:tc>
      </w:tr>
      <w:tr w:rsidR="00351D17">
        <w:trPr>
          <w:jc w:val="center"/>
        </w:trPr>
        <w:tc>
          <w:tcPr>
            <w:tcW w:w="850" w:type="dxa"/>
            <w:vAlign w:val="center"/>
          </w:tcPr>
          <w:p w:rsidR="00351D17" w:rsidRDefault="00321650">
            <w:pPr>
              <w:jc w:val="center"/>
            </w:pPr>
            <w:r>
              <w:rPr>
                <w:color w:val="000000"/>
                <w:sz w:val="24"/>
                <w:szCs w:val="24"/>
              </w:rPr>
              <w:t>3</w:t>
            </w:r>
          </w:p>
        </w:tc>
        <w:tc>
          <w:tcPr>
            <w:tcW w:w="1475" w:type="dxa"/>
            <w:vAlign w:val="center"/>
          </w:tcPr>
          <w:p w:rsidR="00351D17" w:rsidRDefault="00321650">
            <w:pPr>
              <w:jc w:val="center"/>
            </w:pPr>
            <w:r>
              <w:rPr>
                <w:color w:val="000000"/>
                <w:sz w:val="24"/>
                <w:szCs w:val="24"/>
              </w:rPr>
              <w:t>128009</w:t>
            </w:r>
          </w:p>
        </w:tc>
        <w:tc>
          <w:tcPr>
            <w:tcW w:w="1769" w:type="dxa"/>
            <w:vAlign w:val="center"/>
          </w:tcPr>
          <w:p w:rsidR="00351D17" w:rsidRDefault="00321650">
            <w:pPr>
              <w:jc w:val="center"/>
            </w:pPr>
            <w:r>
              <w:rPr>
                <w:color w:val="000000"/>
                <w:sz w:val="24"/>
                <w:szCs w:val="24"/>
              </w:rPr>
              <w:t>歌尔转债</w:t>
            </w:r>
          </w:p>
        </w:tc>
        <w:tc>
          <w:tcPr>
            <w:tcW w:w="1387" w:type="dxa"/>
            <w:vAlign w:val="center"/>
          </w:tcPr>
          <w:p w:rsidR="00351D17" w:rsidRDefault="00321650">
            <w:pPr>
              <w:jc w:val="right"/>
            </w:pPr>
            <w:r>
              <w:rPr>
                <w:color w:val="000000"/>
                <w:sz w:val="24"/>
                <w:szCs w:val="24"/>
              </w:rPr>
              <w:t>2,390</w:t>
            </w:r>
          </w:p>
        </w:tc>
        <w:tc>
          <w:tcPr>
            <w:tcW w:w="2150" w:type="dxa"/>
            <w:vAlign w:val="center"/>
          </w:tcPr>
          <w:p w:rsidR="00351D17" w:rsidRDefault="00321650">
            <w:pPr>
              <w:jc w:val="right"/>
            </w:pPr>
            <w:r>
              <w:rPr>
                <w:color w:val="000000"/>
                <w:sz w:val="24"/>
                <w:szCs w:val="24"/>
              </w:rPr>
              <w:t>308,979.20</w:t>
            </w:r>
          </w:p>
        </w:tc>
        <w:tc>
          <w:tcPr>
            <w:tcW w:w="1237" w:type="dxa"/>
            <w:vAlign w:val="center"/>
          </w:tcPr>
          <w:p w:rsidR="00351D17" w:rsidRDefault="00321650">
            <w:pPr>
              <w:jc w:val="right"/>
            </w:pPr>
            <w:r>
              <w:rPr>
                <w:color w:val="000000"/>
                <w:sz w:val="24"/>
                <w:szCs w:val="24"/>
              </w:rPr>
              <w:t>0.33</w:t>
            </w:r>
          </w:p>
        </w:tc>
      </w:tr>
      <w:tr w:rsidR="00351D17">
        <w:trPr>
          <w:jc w:val="center"/>
        </w:trPr>
        <w:tc>
          <w:tcPr>
            <w:tcW w:w="850" w:type="dxa"/>
            <w:vAlign w:val="center"/>
          </w:tcPr>
          <w:p w:rsidR="00351D17" w:rsidRDefault="00321650">
            <w:pPr>
              <w:jc w:val="center"/>
            </w:pPr>
            <w:r>
              <w:rPr>
                <w:color w:val="000000"/>
                <w:sz w:val="24"/>
                <w:szCs w:val="24"/>
              </w:rPr>
              <w:t>4</w:t>
            </w:r>
          </w:p>
        </w:tc>
        <w:tc>
          <w:tcPr>
            <w:tcW w:w="1475" w:type="dxa"/>
            <w:vAlign w:val="center"/>
          </w:tcPr>
          <w:p w:rsidR="00351D17" w:rsidRDefault="00321650">
            <w:pPr>
              <w:jc w:val="center"/>
            </w:pPr>
            <w:r>
              <w:rPr>
                <w:color w:val="000000"/>
                <w:sz w:val="24"/>
                <w:szCs w:val="24"/>
              </w:rPr>
              <w:t>113008</w:t>
            </w:r>
          </w:p>
        </w:tc>
        <w:tc>
          <w:tcPr>
            <w:tcW w:w="1769" w:type="dxa"/>
            <w:vAlign w:val="center"/>
          </w:tcPr>
          <w:p w:rsidR="00351D17" w:rsidRDefault="00321650">
            <w:pPr>
              <w:jc w:val="center"/>
            </w:pPr>
            <w:r>
              <w:rPr>
                <w:color w:val="000000"/>
                <w:sz w:val="24"/>
                <w:szCs w:val="24"/>
              </w:rPr>
              <w:t>电气转债</w:t>
            </w:r>
          </w:p>
        </w:tc>
        <w:tc>
          <w:tcPr>
            <w:tcW w:w="1387" w:type="dxa"/>
            <w:vAlign w:val="center"/>
          </w:tcPr>
          <w:p w:rsidR="00351D17" w:rsidRDefault="00321650">
            <w:pPr>
              <w:jc w:val="right"/>
            </w:pPr>
            <w:r>
              <w:rPr>
                <w:color w:val="000000"/>
                <w:sz w:val="24"/>
                <w:szCs w:val="24"/>
              </w:rPr>
              <w:t>570</w:t>
            </w:r>
          </w:p>
        </w:tc>
        <w:tc>
          <w:tcPr>
            <w:tcW w:w="2150" w:type="dxa"/>
            <w:vAlign w:val="center"/>
          </w:tcPr>
          <w:p w:rsidR="00351D17" w:rsidRDefault="00321650">
            <w:pPr>
              <w:jc w:val="right"/>
            </w:pPr>
            <w:r>
              <w:rPr>
                <w:color w:val="000000"/>
                <w:sz w:val="24"/>
                <w:szCs w:val="24"/>
              </w:rPr>
              <w:t>74,755.50</w:t>
            </w:r>
          </w:p>
        </w:tc>
        <w:tc>
          <w:tcPr>
            <w:tcW w:w="1237" w:type="dxa"/>
            <w:vAlign w:val="center"/>
          </w:tcPr>
          <w:p w:rsidR="00351D17" w:rsidRDefault="00321650">
            <w:pPr>
              <w:jc w:val="right"/>
            </w:pPr>
            <w:r>
              <w:rPr>
                <w:color w:val="000000"/>
                <w:sz w:val="24"/>
                <w:szCs w:val="24"/>
              </w:rPr>
              <w:t>0.08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72,692.24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376,662.21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1,776.73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451,131.18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351D17">
        <w:trPr>
          <w:jc w:val="center"/>
        </w:trPr>
        <w:tc>
          <w:tcPr>
            <w:tcW w:w="1883" w:type="dxa"/>
            <w:vAlign w:val="center"/>
          </w:tcPr>
          <w:p w:rsidR="00351D17" w:rsidRDefault="00321650">
            <w:pPr>
              <w:jc w:val="center"/>
            </w:pPr>
            <w:r>
              <w:rPr>
                <w:color w:val="000000"/>
                <w:sz w:val="24"/>
                <w:szCs w:val="24"/>
              </w:rPr>
              <w:t>1</w:t>
            </w:r>
          </w:p>
        </w:tc>
        <w:tc>
          <w:tcPr>
            <w:tcW w:w="1801" w:type="dxa"/>
            <w:vAlign w:val="center"/>
          </w:tcPr>
          <w:p w:rsidR="00351D17" w:rsidRDefault="00321650">
            <w:pPr>
              <w:jc w:val="center"/>
            </w:pPr>
            <w:r>
              <w:rPr>
                <w:color w:val="000000"/>
                <w:sz w:val="24"/>
                <w:szCs w:val="24"/>
              </w:rPr>
              <w:t>128009</w:t>
            </w:r>
          </w:p>
        </w:tc>
        <w:tc>
          <w:tcPr>
            <w:tcW w:w="1727" w:type="dxa"/>
            <w:vAlign w:val="center"/>
          </w:tcPr>
          <w:p w:rsidR="00351D17" w:rsidRDefault="00321650">
            <w:pPr>
              <w:jc w:val="center"/>
            </w:pPr>
            <w:r>
              <w:rPr>
                <w:color w:val="000000"/>
                <w:sz w:val="24"/>
                <w:szCs w:val="24"/>
              </w:rPr>
              <w:t>歌尔转债</w:t>
            </w:r>
          </w:p>
        </w:tc>
        <w:tc>
          <w:tcPr>
            <w:tcW w:w="1768" w:type="dxa"/>
            <w:vAlign w:val="center"/>
          </w:tcPr>
          <w:p w:rsidR="00351D17" w:rsidRDefault="00321650">
            <w:pPr>
              <w:jc w:val="right"/>
            </w:pPr>
            <w:r>
              <w:rPr>
                <w:color w:val="000000"/>
                <w:sz w:val="24"/>
                <w:szCs w:val="24"/>
              </w:rPr>
              <w:t>308,979.20</w:t>
            </w:r>
          </w:p>
        </w:tc>
        <w:tc>
          <w:tcPr>
            <w:tcW w:w="1689" w:type="dxa"/>
            <w:vAlign w:val="center"/>
          </w:tcPr>
          <w:p w:rsidR="00351D17" w:rsidRDefault="00321650">
            <w:pPr>
              <w:jc w:val="right"/>
            </w:pPr>
            <w:r>
              <w:rPr>
                <w:color w:val="000000"/>
                <w:sz w:val="24"/>
                <w:szCs w:val="24"/>
              </w:rPr>
              <w:t>0.33</w:t>
            </w:r>
          </w:p>
        </w:tc>
      </w:tr>
      <w:tr w:rsidR="00351D17">
        <w:trPr>
          <w:jc w:val="center"/>
        </w:trPr>
        <w:tc>
          <w:tcPr>
            <w:tcW w:w="1883" w:type="dxa"/>
            <w:vAlign w:val="center"/>
          </w:tcPr>
          <w:p w:rsidR="00351D17" w:rsidRDefault="00321650">
            <w:pPr>
              <w:jc w:val="center"/>
            </w:pPr>
            <w:r>
              <w:rPr>
                <w:color w:val="000000"/>
                <w:sz w:val="24"/>
                <w:szCs w:val="24"/>
              </w:rPr>
              <w:t>2</w:t>
            </w:r>
          </w:p>
        </w:tc>
        <w:tc>
          <w:tcPr>
            <w:tcW w:w="1801" w:type="dxa"/>
            <w:vAlign w:val="center"/>
          </w:tcPr>
          <w:p w:rsidR="00351D17" w:rsidRDefault="00321650">
            <w:pPr>
              <w:jc w:val="center"/>
            </w:pPr>
            <w:r>
              <w:rPr>
                <w:color w:val="000000"/>
                <w:sz w:val="24"/>
                <w:szCs w:val="24"/>
              </w:rPr>
              <w:t>113008</w:t>
            </w:r>
          </w:p>
        </w:tc>
        <w:tc>
          <w:tcPr>
            <w:tcW w:w="1727" w:type="dxa"/>
            <w:vAlign w:val="center"/>
          </w:tcPr>
          <w:p w:rsidR="00351D17" w:rsidRDefault="00321650">
            <w:pPr>
              <w:jc w:val="center"/>
            </w:pPr>
            <w:r>
              <w:rPr>
                <w:color w:val="000000"/>
                <w:sz w:val="24"/>
                <w:szCs w:val="24"/>
              </w:rPr>
              <w:t>电气转债</w:t>
            </w:r>
          </w:p>
        </w:tc>
        <w:tc>
          <w:tcPr>
            <w:tcW w:w="1768" w:type="dxa"/>
            <w:vAlign w:val="center"/>
          </w:tcPr>
          <w:p w:rsidR="00351D17" w:rsidRDefault="00321650">
            <w:pPr>
              <w:jc w:val="right"/>
            </w:pPr>
            <w:r>
              <w:rPr>
                <w:color w:val="000000"/>
                <w:sz w:val="24"/>
                <w:szCs w:val="24"/>
              </w:rPr>
              <w:t>74,755.50</w:t>
            </w:r>
          </w:p>
        </w:tc>
        <w:tc>
          <w:tcPr>
            <w:tcW w:w="1689" w:type="dxa"/>
            <w:vAlign w:val="center"/>
          </w:tcPr>
          <w:p w:rsidR="00351D17" w:rsidRDefault="00321650">
            <w:pPr>
              <w:jc w:val="right"/>
            </w:pPr>
            <w:r>
              <w:rPr>
                <w:color w:val="000000"/>
                <w:sz w:val="24"/>
                <w:szCs w:val="24"/>
              </w:rPr>
              <w:t>0.08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351D17">
        <w:trPr>
          <w:jc w:val="center"/>
        </w:trPr>
        <w:tc>
          <w:tcPr>
            <w:tcW w:w="1129" w:type="dxa"/>
            <w:vAlign w:val="center"/>
          </w:tcPr>
          <w:p w:rsidR="00351D17" w:rsidRDefault="00321650">
            <w:pPr>
              <w:jc w:val="center"/>
            </w:pPr>
            <w:r>
              <w:rPr>
                <w:color w:val="000000"/>
                <w:sz w:val="24"/>
                <w:szCs w:val="24"/>
              </w:rPr>
              <w:t>1</w:t>
            </w:r>
          </w:p>
        </w:tc>
        <w:tc>
          <w:tcPr>
            <w:tcW w:w="1356" w:type="dxa"/>
            <w:vAlign w:val="center"/>
          </w:tcPr>
          <w:p w:rsidR="00351D17" w:rsidRDefault="00321650">
            <w:pPr>
              <w:jc w:val="center"/>
            </w:pPr>
            <w:r>
              <w:rPr>
                <w:color w:val="000000"/>
                <w:sz w:val="24"/>
                <w:szCs w:val="24"/>
              </w:rPr>
              <w:t>002131</w:t>
            </w:r>
          </w:p>
        </w:tc>
        <w:tc>
          <w:tcPr>
            <w:tcW w:w="1355" w:type="dxa"/>
            <w:vAlign w:val="center"/>
          </w:tcPr>
          <w:p w:rsidR="00351D17" w:rsidRDefault="00321650">
            <w:pPr>
              <w:jc w:val="center"/>
            </w:pPr>
            <w:r>
              <w:rPr>
                <w:color w:val="000000"/>
                <w:sz w:val="24"/>
                <w:szCs w:val="24"/>
              </w:rPr>
              <w:t>利欧股份</w:t>
            </w:r>
          </w:p>
        </w:tc>
        <w:tc>
          <w:tcPr>
            <w:tcW w:w="1880" w:type="dxa"/>
            <w:vAlign w:val="center"/>
          </w:tcPr>
          <w:p w:rsidR="00351D17" w:rsidRDefault="00321650">
            <w:pPr>
              <w:jc w:val="right"/>
            </w:pPr>
            <w:r>
              <w:rPr>
                <w:color w:val="000000"/>
                <w:sz w:val="24"/>
                <w:szCs w:val="24"/>
              </w:rPr>
              <w:t>4,487,245.00</w:t>
            </w:r>
          </w:p>
        </w:tc>
        <w:tc>
          <w:tcPr>
            <w:tcW w:w="1724" w:type="dxa"/>
            <w:vAlign w:val="center"/>
          </w:tcPr>
          <w:p w:rsidR="00351D17" w:rsidRDefault="00321650">
            <w:pPr>
              <w:jc w:val="right"/>
            </w:pPr>
            <w:r>
              <w:rPr>
                <w:color w:val="000000"/>
                <w:sz w:val="24"/>
                <w:szCs w:val="24"/>
              </w:rPr>
              <w:t>4.74</w:t>
            </w:r>
          </w:p>
        </w:tc>
        <w:tc>
          <w:tcPr>
            <w:tcW w:w="1424" w:type="dxa"/>
            <w:vAlign w:val="center"/>
          </w:tcPr>
          <w:p w:rsidR="00351D17" w:rsidRDefault="00321650" w:rsidP="00AC209A">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80,083,984.56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12,812,011.11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32,552,349.06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60,343,646.61</w:t>
            </w:r>
          </w:p>
        </w:tc>
      </w:tr>
    </w:tbl>
    <w:p w:rsidR="00351D17" w:rsidRDefault="0032165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321650">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321650">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351D17" w:rsidRDefault="00321650">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、中国证监会批准交银施罗德定期支付双息平衡混合型证券投资基金募集的文件；</w:t>
      </w:r>
      <w:r>
        <w:rPr>
          <w:color w:val="000000"/>
          <w:sz w:val="24"/>
          <w:szCs w:val="24"/>
        </w:rPr>
        <w:t xml:space="preserve"> </w:t>
      </w:r>
    </w:p>
    <w:p w:rsidR="00351D17" w:rsidRDefault="00321650">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、《交银施罗德定期支付双息平衡混合型证券投资基金基金合同》；</w:t>
      </w:r>
      <w:r>
        <w:rPr>
          <w:color w:val="000000"/>
          <w:sz w:val="24"/>
          <w:szCs w:val="24"/>
        </w:rPr>
        <w:t xml:space="preserve"> </w:t>
      </w:r>
    </w:p>
    <w:p w:rsidR="00351D17" w:rsidRDefault="00321650">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、《交银施罗德定期支付双息平衡混合型证券投资基金招募说明书》；</w:t>
      </w:r>
      <w:r>
        <w:rPr>
          <w:color w:val="000000"/>
          <w:sz w:val="24"/>
          <w:szCs w:val="24"/>
        </w:rPr>
        <w:t xml:space="preserve"> </w:t>
      </w:r>
    </w:p>
    <w:p w:rsidR="00351D17" w:rsidRDefault="00321650">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、《交银施罗德定期支付双息平衡混合型证券投资基金托管协议》；</w:t>
      </w:r>
      <w:r>
        <w:rPr>
          <w:color w:val="000000"/>
          <w:sz w:val="24"/>
          <w:szCs w:val="24"/>
        </w:rPr>
        <w:t xml:space="preserve"> </w:t>
      </w:r>
    </w:p>
    <w:p w:rsidR="00351D17" w:rsidRDefault="00321650">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、关于募集交银施罗德定期支付双息平衡混合型证券投资基金之法律意见书；</w:t>
      </w:r>
      <w:r>
        <w:rPr>
          <w:color w:val="000000"/>
          <w:sz w:val="24"/>
          <w:szCs w:val="24"/>
        </w:rPr>
        <w:t xml:space="preserve"> </w:t>
      </w:r>
    </w:p>
    <w:p w:rsidR="00351D17" w:rsidRDefault="00321650">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351D17" w:rsidRDefault="00321650">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、报告期内交银施罗德定期支付双息平衡混合型证券投资基金在指定报刊上各项公告的原稿。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351D17" w:rsidRDefault="00321650">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917" w:rsidRDefault="00503917" w:rsidP="00876D65">
      <w:r>
        <w:separator/>
      </w:r>
    </w:p>
  </w:endnote>
  <w:endnote w:type="continuationSeparator" w:id="0">
    <w:p w:rsidR="00503917" w:rsidRDefault="0050391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351D17">
      <w:rPr>
        <w:kern w:val="0"/>
        <w:szCs w:val="21"/>
      </w:rPr>
      <w:fldChar w:fldCharType="begin"/>
    </w:r>
    <w:r>
      <w:rPr>
        <w:kern w:val="0"/>
        <w:szCs w:val="21"/>
      </w:rPr>
      <w:instrText xml:space="preserve"> PAGE </w:instrText>
    </w:r>
    <w:r w:rsidR="00351D17">
      <w:rPr>
        <w:kern w:val="0"/>
        <w:szCs w:val="21"/>
      </w:rPr>
      <w:fldChar w:fldCharType="separate"/>
    </w:r>
    <w:r w:rsidR="00D478D5">
      <w:rPr>
        <w:noProof/>
        <w:kern w:val="0"/>
        <w:szCs w:val="21"/>
      </w:rPr>
      <w:t>1</w:t>
    </w:r>
    <w:r w:rsidR="00351D17">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351D17">
      <w:rPr>
        <w:kern w:val="0"/>
        <w:szCs w:val="21"/>
      </w:rPr>
      <w:fldChar w:fldCharType="begin"/>
    </w:r>
    <w:r>
      <w:rPr>
        <w:kern w:val="0"/>
        <w:szCs w:val="21"/>
      </w:rPr>
      <w:instrText xml:space="preserve"> NUMPAGES </w:instrText>
    </w:r>
    <w:r w:rsidR="00351D17">
      <w:rPr>
        <w:kern w:val="0"/>
        <w:szCs w:val="21"/>
      </w:rPr>
      <w:fldChar w:fldCharType="separate"/>
    </w:r>
    <w:r w:rsidR="00D478D5">
      <w:rPr>
        <w:noProof/>
        <w:kern w:val="0"/>
        <w:szCs w:val="21"/>
      </w:rPr>
      <w:t>12</w:t>
    </w:r>
    <w:r w:rsidR="00351D17">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917" w:rsidRDefault="00503917" w:rsidP="00876D65">
      <w:r>
        <w:separator/>
      </w:r>
    </w:p>
  </w:footnote>
  <w:footnote w:type="continuationSeparator" w:id="0">
    <w:p w:rsidR="00503917" w:rsidRDefault="00503917"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1650"/>
    <w:rsid w:val="00324508"/>
    <w:rsid w:val="003259C8"/>
    <w:rsid w:val="003307FE"/>
    <w:rsid w:val="00333AD0"/>
    <w:rsid w:val="00336EAF"/>
    <w:rsid w:val="003470E2"/>
    <w:rsid w:val="0035076C"/>
    <w:rsid w:val="00351D17"/>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03917"/>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4524"/>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209A"/>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478D5"/>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E34D24-54BD-496C-9A0D-A5391047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A7330-8B44-4298-882A-6CBA7A69D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TotalTime>
  <Pages>12</Pages>
  <Words>1115</Words>
  <Characters>6356</Characters>
  <Application>Microsoft Office Word</Application>
  <DocSecurity>0</DocSecurity>
  <Lines>52</Lines>
  <Paragraphs>14</Paragraphs>
  <ScaleCrop>false</ScaleCrop>
  <Company/>
  <LinksUpToDate>false</LinksUpToDate>
  <CharactersWithSpaces>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562</cp:revision>
  <dcterms:created xsi:type="dcterms:W3CDTF">2012-10-16T06:07:00Z</dcterms:created>
  <dcterms:modified xsi:type="dcterms:W3CDTF">2015-10-22T07:16:00Z</dcterms:modified>
</cp:coreProperties>
</file>