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交银施罗德荣泰保本混合型证券投资基金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二〇一五年十月二十七日</w:t>
      </w:r>
    </w:p>
    <w:p w:rsidR="004061AC" w:rsidRPr="00414345" w:rsidRDefault="004061AC" w:rsidP="00F323FF">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6A29F8" w:rsidRDefault="002F1F8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2015</w:t>
      </w:r>
      <w:r>
        <w:rPr>
          <w:color w:val="000000"/>
          <w:sz w:val="24"/>
          <w:szCs w:val="24"/>
        </w:rPr>
        <w:t>年</w:t>
      </w:r>
      <w:r>
        <w:rPr>
          <w:color w:val="000000"/>
          <w:sz w:val="24"/>
          <w:szCs w:val="24"/>
        </w:rPr>
        <w:t>10</w:t>
      </w:r>
      <w:r>
        <w:rPr>
          <w:color w:val="000000"/>
          <w:sz w:val="24"/>
          <w:szCs w:val="24"/>
        </w:rPr>
        <w:t>月</w:t>
      </w:r>
      <w:r>
        <w:rPr>
          <w:color w:val="000000"/>
          <w:sz w:val="24"/>
          <w:szCs w:val="24"/>
        </w:rPr>
        <w:t>26</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交银荣泰保本混合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519729</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519729</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25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137,910,971.85</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本基金在追求保本周期到期时本金安全的基础上，通过稳健资产与风险资产的动态配置和有效的组合管理，力争实现基金资产的稳定增长。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本基金运用恒定比例组合保险（</w:t>
            </w:r>
            <w:r w:rsidRPr="00414345">
              <w:rPr>
                <w:color w:val="000000"/>
                <w:kern w:val="0"/>
                <w:sz w:val="24"/>
                <w:szCs w:val="24"/>
              </w:rPr>
              <w:t>CPPI</w:t>
            </w:r>
            <w:r w:rsidRPr="00414345">
              <w:rPr>
                <w:color w:val="000000"/>
                <w:kern w:val="0"/>
                <w:sz w:val="24"/>
                <w:szCs w:val="24"/>
              </w:rPr>
              <w:t>，</w:t>
            </w:r>
            <w:r w:rsidRPr="00414345">
              <w:rPr>
                <w:color w:val="000000"/>
                <w:kern w:val="0"/>
                <w:sz w:val="24"/>
                <w:szCs w:val="24"/>
              </w:rPr>
              <w:t>Constant Proportion Portfolio Insurance</w:t>
            </w:r>
            <w:r w:rsidRPr="00414345">
              <w:rPr>
                <w:color w:val="000000"/>
                <w:kern w:val="0"/>
                <w:sz w:val="24"/>
                <w:szCs w:val="24"/>
              </w:rPr>
              <w:t>）原理，动态调整稳健资产与风险资产在基金组合中的投资比例，以确保本基金在保本周期到期时的本金安全，并实现基金资产在保本基础上的保值增值目的。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本基金是一只保本混合型基金，在证券投资基金中属于低风险品种。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基金保证人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中国投融资担保股份有限公司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473DB4" w:rsidRPr="00414345" w:rsidTr="00473DB4">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473DB4" w:rsidRPr="00414345" w:rsidTr="00473DB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-23,886,113.98</w:t>
            </w:r>
          </w:p>
        </w:tc>
      </w:tr>
      <w:tr w:rsidR="00473DB4" w:rsidRPr="00414345" w:rsidTr="00473DB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-24,675,101.99</w:t>
            </w:r>
          </w:p>
        </w:tc>
      </w:tr>
      <w:tr w:rsidR="00473DB4" w:rsidRPr="00414345" w:rsidTr="00473DB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-0.1709</w:t>
            </w:r>
          </w:p>
        </w:tc>
      </w:tr>
      <w:tr w:rsidR="00473DB4" w:rsidRPr="00414345" w:rsidTr="00473DB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156,210,954.25</w:t>
            </w:r>
          </w:p>
        </w:tc>
      </w:tr>
      <w:tr w:rsidR="00473DB4" w:rsidRPr="00414345" w:rsidTr="00473DB4">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1.133</w:t>
            </w:r>
          </w:p>
        </w:tc>
      </w:tr>
    </w:tbl>
    <w:p w:rsidR="006A29F8" w:rsidRDefault="002F1F8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6A29F8">
        <w:trPr>
          <w:jc w:val="center"/>
        </w:trPr>
        <w:tc>
          <w:tcPr>
            <w:tcW w:w="1701" w:type="dxa"/>
            <w:vAlign w:val="center"/>
          </w:tcPr>
          <w:p w:rsidR="006A29F8" w:rsidRDefault="002F1F80">
            <w:pPr>
              <w:jc w:val="left"/>
            </w:pPr>
            <w:r>
              <w:rPr>
                <w:color w:val="000000"/>
                <w:sz w:val="24"/>
                <w:szCs w:val="24"/>
              </w:rPr>
              <w:t>过去三个月</w:t>
            </w:r>
          </w:p>
        </w:tc>
        <w:tc>
          <w:tcPr>
            <w:tcW w:w="1045" w:type="dxa"/>
            <w:vAlign w:val="center"/>
          </w:tcPr>
          <w:p w:rsidR="006A29F8" w:rsidRDefault="002F1F80">
            <w:pPr>
              <w:jc w:val="center"/>
            </w:pPr>
            <w:r>
              <w:rPr>
                <w:color w:val="000000"/>
                <w:sz w:val="24"/>
                <w:szCs w:val="24"/>
              </w:rPr>
              <w:t>-12.51%</w:t>
            </w:r>
          </w:p>
        </w:tc>
        <w:tc>
          <w:tcPr>
            <w:tcW w:w="1344" w:type="dxa"/>
            <w:vAlign w:val="center"/>
          </w:tcPr>
          <w:p w:rsidR="006A29F8" w:rsidRDefault="002F1F80">
            <w:pPr>
              <w:jc w:val="center"/>
            </w:pPr>
            <w:r>
              <w:rPr>
                <w:color w:val="000000"/>
                <w:sz w:val="24"/>
                <w:szCs w:val="24"/>
              </w:rPr>
              <w:t>1.38%</w:t>
            </w:r>
          </w:p>
        </w:tc>
        <w:tc>
          <w:tcPr>
            <w:tcW w:w="1194" w:type="dxa"/>
            <w:vAlign w:val="center"/>
          </w:tcPr>
          <w:p w:rsidR="006A29F8" w:rsidRDefault="002F1F80">
            <w:pPr>
              <w:jc w:val="center"/>
            </w:pPr>
            <w:r>
              <w:rPr>
                <w:color w:val="000000"/>
                <w:sz w:val="24"/>
                <w:szCs w:val="24"/>
              </w:rPr>
              <w:t>0.81%</w:t>
            </w:r>
          </w:p>
        </w:tc>
        <w:tc>
          <w:tcPr>
            <w:tcW w:w="1492" w:type="dxa"/>
            <w:vAlign w:val="center"/>
          </w:tcPr>
          <w:p w:rsidR="006A29F8" w:rsidRDefault="002F1F80">
            <w:pPr>
              <w:jc w:val="center"/>
            </w:pPr>
            <w:r>
              <w:rPr>
                <w:color w:val="000000"/>
                <w:sz w:val="24"/>
                <w:szCs w:val="24"/>
              </w:rPr>
              <w:t>0.01%</w:t>
            </w:r>
          </w:p>
        </w:tc>
        <w:tc>
          <w:tcPr>
            <w:tcW w:w="1194" w:type="dxa"/>
            <w:vAlign w:val="center"/>
          </w:tcPr>
          <w:p w:rsidR="006A29F8" w:rsidRDefault="002F1F80">
            <w:pPr>
              <w:jc w:val="center"/>
            </w:pPr>
            <w:r>
              <w:rPr>
                <w:color w:val="000000"/>
                <w:sz w:val="24"/>
                <w:szCs w:val="24"/>
              </w:rPr>
              <w:t>-13.32%</w:t>
            </w:r>
          </w:p>
        </w:tc>
        <w:tc>
          <w:tcPr>
            <w:tcW w:w="898" w:type="dxa"/>
            <w:vAlign w:val="center"/>
          </w:tcPr>
          <w:p w:rsidR="006A29F8" w:rsidRDefault="002F1F80">
            <w:pPr>
              <w:jc w:val="center"/>
            </w:pPr>
            <w:r>
              <w:rPr>
                <w:color w:val="000000"/>
                <w:sz w:val="24"/>
                <w:szCs w:val="24"/>
              </w:rPr>
              <w:t>1.37%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交银施罗德荣泰保本混合型证券投资基金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5B14DB"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14:anchorId="52E5CB56" wp14:editId="54B67F74">
            <wp:extent cx="5731510" cy="3356610"/>
            <wp:effectExtent l="0" t="0" r="0" b="0"/>
            <wp:docPr id="6"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w:t>
      </w:r>
      <w:bookmarkStart w:id="0" w:name="_GoBack"/>
      <w:bookmarkEnd w:id="0"/>
      <w:r w:rsidRPr="00414345">
        <w:rPr>
          <w:color w:val="000000"/>
          <w:sz w:val="24"/>
          <w:szCs w:val="24"/>
        </w:rPr>
        <w:t>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6A29F8">
        <w:trPr>
          <w:jc w:val="center"/>
        </w:trPr>
        <w:tc>
          <w:tcPr>
            <w:tcW w:w="846" w:type="dxa"/>
            <w:vAlign w:val="center"/>
          </w:tcPr>
          <w:p w:rsidR="006A29F8" w:rsidRDefault="002F1F80">
            <w:pPr>
              <w:jc w:val="center"/>
            </w:pPr>
            <w:r>
              <w:rPr>
                <w:color w:val="000000"/>
                <w:sz w:val="24"/>
                <w:szCs w:val="24"/>
              </w:rPr>
              <w:t>项廷锋</w:t>
            </w:r>
          </w:p>
        </w:tc>
        <w:tc>
          <w:tcPr>
            <w:tcW w:w="845" w:type="dxa"/>
            <w:vAlign w:val="center"/>
          </w:tcPr>
          <w:p w:rsidR="006A29F8" w:rsidRDefault="002F1F80">
            <w:pPr>
              <w:jc w:val="center"/>
            </w:pPr>
            <w:r>
              <w:rPr>
                <w:color w:val="000000"/>
                <w:sz w:val="24"/>
                <w:szCs w:val="24"/>
              </w:rPr>
              <w:t>交银双利债券、交银策略回报灵活配置混合、交银荣祥保本混合、交银荣泰保本</w:t>
            </w:r>
            <w:r>
              <w:rPr>
                <w:color w:val="000000"/>
                <w:sz w:val="24"/>
                <w:szCs w:val="24"/>
              </w:rPr>
              <w:lastRenderedPageBreak/>
              <w:t>混合、交银周期回报灵活配置混合、交银新回报灵活配置混合、交银荣和保本混合、交银多策略回报灵活配置混合的基金经理，公司投资总监</w:t>
            </w:r>
          </w:p>
        </w:tc>
        <w:tc>
          <w:tcPr>
            <w:tcW w:w="1549" w:type="dxa"/>
            <w:vAlign w:val="center"/>
          </w:tcPr>
          <w:p w:rsidR="006A29F8" w:rsidRDefault="002F1F80">
            <w:pPr>
              <w:jc w:val="center"/>
            </w:pPr>
            <w:r>
              <w:rPr>
                <w:color w:val="000000"/>
                <w:sz w:val="24"/>
                <w:szCs w:val="24"/>
              </w:rPr>
              <w:lastRenderedPageBreak/>
              <w:t>2013-12-25</w:t>
            </w:r>
          </w:p>
        </w:tc>
        <w:tc>
          <w:tcPr>
            <w:tcW w:w="1548" w:type="dxa"/>
            <w:vAlign w:val="center"/>
          </w:tcPr>
          <w:p w:rsidR="006A29F8" w:rsidRDefault="002F1F80">
            <w:pPr>
              <w:jc w:val="center"/>
            </w:pPr>
            <w:r>
              <w:rPr>
                <w:color w:val="000000"/>
                <w:sz w:val="24"/>
                <w:szCs w:val="24"/>
              </w:rPr>
              <w:t>-</w:t>
            </w:r>
          </w:p>
        </w:tc>
        <w:tc>
          <w:tcPr>
            <w:tcW w:w="1407" w:type="dxa"/>
            <w:vAlign w:val="center"/>
          </w:tcPr>
          <w:p w:rsidR="006A29F8" w:rsidRDefault="002F1F80">
            <w:pPr>
              <w:jc w:val="center"/>
            </w:pPr>
            <w:r>
              <w:rPr>
                <w:color w:val="000000"/>
                <w:sz w:val="24"/>
                <w:szCs w:val="24"/>
              </w:rPr>
              <w:t>16</w:t>
            </w:r>
            <w:r>
              <w:rPr>
                <w:color w:val="000000"/>
                <w:sz w:val="24"/>
                <w:szCs w:val="24"/>
              </w:rPr>
              <w:t>年</w:t>
            </w:r>
          </w:p>
        </w:tc>
        <w:tc>
          <w:tcPr>
            <w:tcW w:w="2673" w:type="dxa"/>
            <w:vAlign w:val="center"/>
          </w:tcPr>
          <w:p w:rsidR="006A29F8" w:rsidRDefault="002F1F80">
            <w:r>
              <w:rPr>
                <w:color w:val="000000"/>
                <w:sz w:val="24"/>
                <w:szCs w:val="24"/>
              </w:rPr>
              <w:t>项廷锋先生，上海交通大学管理学博士。历任华安基金管理有限公司研究员、固定收益投资经理和基金经理。其中</w:t>
            </w:r>
            <w:r>
              <w:rPr>
                <w:color w:val="000000"/>
                <w:sz w:val="24"/>
                <w:szCs w:val="24"/>
              </w:rPr>
              <w:t>2003</w:t>
            </w:r>
            <w:r>
              <w:rPr>
                <w:color w:val="000000"/>
                <w:sz w:val="24"/>
                <w:szCs w:val="24"/>
              </w:rPr>
              <w:t>年</w:t>
            </w:r>
            <w:r>
              <w:rPr>
                <w:color w:val="000000"/>
                <w:sz w:val="24"/>
                <w:szCs w:val="24"/>
              </w:rPr>
              <w:t>12</w:t>
            </w:r>
            <w:r>
              <w:rPr>
                <w:color w:val="000000"/>
                <w:sz w:val="24"/>
                <w:szCs w:val="24"/>
              </w:rPr>
              <w:t>月至</w:t>
            </w:r>
            <w:r>
              <w:rPr>
                <w:color w:val="000000"/>
                <w:sz w:val="24"/>
                <w:szCs w:val="24"/>
              </w:rPr>
              <w:t>2007</w:t>
            </w:r>
            <w:r>
              <w:rPr>
                <w:color w:val="000000"/>
                <w:sz w:val="24"/>
                <w:szCs w:val="24"/>
              </w:rPr>
              <w:t>年</w:t>
            </w:r>
            <w:r>
              <w:rPr>
                <w:color w:val="000000"/>
                <w:sz w:val="24"/>
                <w:szCs w:val="24"/>
              </w:rPr>
              <w:t>5</w:t>
            </w:r>
            <w:r>
              <w:rPr>
                <w:color w:val="000000"/>
                <w:sz w:val="24"/>
                <w:szCs w:val="24"/>
              </w:rPr>
              <w:t>月担任华安现金富利投资基金基金经理。</w:t>
            </w:r>
            <w:r>
              <w:rPr>
                <w:color w:val="000000"/>
                <w:sz w:val="24"/>
                <w:szCs w:val="24"/>
              </w:rPr>
              <w:t>2007</w:t>
            </w:r>
            <w:r>
              <w:rPr>
                <w:color w:val="000000"/>
                <w:sz w:val="24"/>
                <w:szCs w:val="24"/>
              </w:rPr>
              <w:t>年加入交银施罗德基金管理有限公司，历任固定收益部总经理，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4</w:t>
            </w:r>
            <w:r>
              <w:rPr>
                <w:color w:val="000000"/>
                <w:sz w:val="24"/>
                <w:szCs w:val="24"/>
              </w:rPr>
              <w:t>日至</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18</w:t>
            </w:r>
            <w:r>
              <w:rPr>
                <w:color w:val="000000"/>
                <w:sz w:val="24"/>
                <w:szCs w:val="24"/>
              </w:rPr>
              <w:t>日担任交银施罗德定期支付双息平衡混合型证券投资基金基金经理。</w:t>
            </w:r>
          </w:p>
        </w:tc>
      </w:tr>
    </w:tbl>
    <w:p w:rsidR="006A29F8" w:rsidRDefault="002F1F80">
      <w:pPr>
        <w:autoSpaceDE w:val="0"/>
        <w:autoSpaceDN w:val="0"/>
        <w:adjustRightInd w:val="0"/>
        <w:spacing w:before="29" w:line="288" w:lineRule="auto"/>
        <w:jc w:val="left"/>
        <w:rPr>
          <w:color w:val="000000"/>
          <w:sz w:val="24"/>
          <w:szCs w:val="24"/>
        </w:rPr>
      </w:pPr>
      <w:r>
        <w:rPr>
          <w:color w:val="000000"/>
          <w:sz w:val="24"/>
          <w:szCs w:val="24"/>
        </w:rPr>
        <w:lastRenderedPageBreak/>
        <w:t>注：</w:t>
      </w:r>
      <w:r>
        <w:rPr>
          <w:color w:val="000000"/>
          <w:sz w:val="24"/>
          <w:szCs w:val="24"/>
        </w:rPr>
        <w:t>1</w:t>
      </w:r>
      <w:r>
        <w:rPr>
          <w:color w:val="000000"/>
          <w:sz w:val="24"/>
          <w:szCs w:val="24"/>
        </w:rPr>
        <w:t>、本基金基金经理项廷锋先生于</w:t>
      </w:r>
      <w:r>
        <w:rPr>
          <w:color w:val="000000"/>
          <w:sz w:val="24"/>
          <w:szCs w:val="24"/>
        </w:rPr>
        <w:t>2015</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日因病去世，经本公司研究决定，其基金经理相关职责由本公司基金经理李娜女士代为履行。</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00473DB4">
        <w:rPr>
          <w:color w:val="000000"/>
          <w:sz w:val="24"/>
          <w:szCs w:val="24"/>
        </w:rPr>
        <w:t xml:space="preserve"> </w:t>
      </w:r>
      <w:r w:rsidRPr="00414345">
        <w:rPr>
          <w:color w:val="000000"/>
          <w:sz w:val="24"/>
          <w:szCs w:val="24"/>
        </w:rPr>
        <w:t>2</w:t>
      </w:r>
      <w:r w:rsidRPr="00414345">
        <w:rPr>
          <w:color w:val="000000"/>
          <w:sz w:val="24"/>
          <w:szCs w:val="24"/>
        </w:rPr>
        <w:t>、基金经理（或基金经理小组）期后变动（如有）敬请关注基金管理人发布的相关公告。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6A29F8" w:rsidRDefault="002F1F80">
      <w:pPr>
        <w:spacing w:before="29" w:line="288" w:lineRule="auto"/>
        <w:ind w:firstLineChars="200" w:firstLine="480"/>
        <w:rPr>
          <w:color w:val="000000"/>
          <w:sz w:val="24"/>
          <w:szCs w:val="24"/>
        </w:rPr>
      </w:pPr>
      <w:r>
        <w:rPr>
          <w:color w:val="000000"/>
          <w:sz w:val="24"/>
          <w:szCs w:val="24"/>
        </w:rPr>
        <w:lastRenderedPageBreak/>
        <w:t>本公司制定了严格的投资控制制度和公平交易监控制度来保证旗下基金运作的公平，旗下所管理的所有资产组合，包括证券投资基金和特定客户资产管理专户均严格遵循制度进行公平交易。</w:t>
      </w:r>
    </w:p>
    <w:p w:rsidR="006A29F8" w:rsidRDefault="002F1F8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6A29F8" w:rsidRDefault="002F1F8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5F444B" w:rsidRPr="005F444B" w:rsidRDefault="005F444B"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6A29F8" w:rsidRDefault="002F1F80">
      <w:pPr>
        <w:spacing w:before="29" w:line="288" w:lineRule="auto"/>
        <w:ind w:firstLineChars="200" w:firstLine="480"/>
        <w:rPr>
          <w:color w:val="000000"/>
          <w:sz w:val="24"/>
          <w:szCs w:val="24"/>
        </w:rPr>
      </w:pPr>
      <w:r>
        <w:rPr>
          <w:color w:val="000000"/>
          <w:sz w:val="24"/>
          <w:szCs w:val="24"/>
        </w:rPr>
        <w:t>三季度工业增加值处于</w:t>
      </w:r>
      <w:r>
        <w:rPr>
          <w:color w:val="000000"/>
          <w:sz w:val="24"/>
          <w:szCs w:val="24"/>
        </w:rPr>
        <w:t>6%</w:t>
      </w:r>
      <w:r>
        <w:rPr>
          <w:color w:val="000000"/>
          <w:sz w:val="24"/>
          <w:szCs w:val="24"/>
        </w:rPr>
        <w:t>附近区间，经济增长整体乏力，</w:t>
      </w:r>
      <w:r>
        <w:rPr>
          <w:color w:val="000000"/>
          <w:sz w:val="24"/>
          <w:szCs w:val="24"/>
        </w:rPr>
        <w:t>CPI</w:t>
      </w:r>
      <w:r>
        <w:rPr>
          <w:color w:val="000000"/>
          <w:sz w:val="24"/>
          <w:szCs w:val="24"/>
        </w:rPr>
        <w:t>在</w:t>
      </w:r>
      <w:r>
        <w:rPr>
          <w:color w:val="000000"/>
          <w:sz w:val="24"/>
          <w:szCs w:val="24"/>
        </w:rPr>
        <w:t>2%</w:t>
      </w:r>
      <w:r>
        <w:rPr>
          <w:color w:val="000000"/>
          <w:sz w:val="24"/>
          <w:szCs w:val="24"/>
        </w:rPr>
        <w:t>之下持续低位运行基本面运行没有脱离</w:t>
      </w:r>
      <w:r>
        <w:rPr>
          <w:color w:val="000000"/>
          <w:sz w:val="24"/>
          <w:szCs w:val="24"/>
        </w:rPr>
        <w:t>“</w:t>
      </w:r>
      <w:r>
        <w:rPr>
          <w:color w:val="000000"/>
          <w:sz w:val="24"/>
          <w:szCs w:val="24"/>
        </w:rPr>
        <w:t>新常态</w:t>
      </w:r>
      <w:r>
        <w:rPr>
          <w:color w:val="000000"/>
          <w:sz w:val="24"/>
          <w:szCs w:val="24"/>
        </w:rPr>
        <w:t>”</w:t>
      </w:r>
      <w:r>
        <w:rPr>
          <w:color w:val="000000"/>
          <w:sz w:val="24"/>
          <w:szCs w:val="24"/>
        </w:rPr>
        <w:t>的范畴；与此相对应，政策层面基调维持</w:t>
      </w:r>
      <w:r>
        <w:rPr>
          <w:color w:val="000000"/>
          <w:sz w:val="24"/>
          <w:szCs w:val="24"/>
        </w:rPr>
        <w:t>“</w:t>
      </w:r>
      <w:r>
        <w:rPr>
          <w:color w:val="000000"/>
          <w:sz w:val="24"/>
          <w:szCs w:val="24"/>
        </w:rPr>
        <w:t>稳增长</w:t>
      </w:r>
      <w:r>
        <w:rPr>
          <w:color w:val="000000"/>
          <w:sz w:val="24"/>
          <w:szCs w:val="24"/>
        </w:rPr>
        <w:t>”</w:t>
      </w:r>
      <w:r>
        <w:rPr>
          <w:color w:val="000000"/>
          <w:sz w:val="24"/>
          <w:szCs w:val="24"/>
        </w:rPr>
        <w:t>与</w:t>
      </w:r>
      <w:r>
        <w:rPr>
          <w:color w:val="000000"/>
          <w:sz w:val="24"/>
          <w:szCs w:val="24"/>
        </w:rPr>
        <w:t>“</w:t>
      </w:r>
      <w:r>
        <w:rPr>
          <w:color w:val="000000"/>
          <w:sz w:val="24"/>
          <w:szCs w:val="24"/>
        </w:rPr>
        <w:t>促转型</w:t>
      </w:r>
      <w:r>
        <w:rPr>
          <w:color w:val="000000"/>
          <w:sz w:val="24"/>
          <w:szCs w:val="24"/>
        </w:rPr>
        <w:t>”</w:t>
      </w:r>
      <w:r>
        <w:rPr>
          <w:color w:val="000000"/>
          <w:sz w:val="24"/>
          <w:szCs w:val="24"/>
        </w:rPr>
        <w:t>并重，货币政策和财政政策依然</w:t>
      </w:r>
      <w:r>
        <w:rPr>
          <w:color w:val="000000"/>
          <w:sz w:val="24"/>
          <w:szCs w:val="24"/>
        </w:rPr>
        <w:t>“</w:t>
      </w:r>
      <w:r>
        <w:rPr>
          <w:color w:val="000000"/>
          <w:sz w:val="24"/>
          <w:szCs w:val="24"/>
        </w:rPr>
        <w:t>双宽</w:t>
      </w:r>
      <w:r>
        <w:rPr>
          <w:color w:val="000000"/>
          <w:sz w:val="24"/>
          <w:szCs w:val="24"/>
        </w:rPr>
        <w:t>”</w:t>
      </w:r>
      <w:r>
        <w:rPr>
          <w:color w:val="000000"/>
          <w:sz w:val="24"/>
          <w:szCs w:val="24"/>
        </w:rPr>
        <w:t>。</w:t>
      </w:r>
    </w:p>
    <w:p w:rsidR="006A29F8" w:rsidRDefault="002F1F80">
      <w:pPr>
        <w:spacing w:before="29" w:line="288" w:lineRule="auto"/>
        <w:ind w:firstLineChars="200" w:firstLine="480"/>
        <w:rPr>
          <w:color w:val="000000"/>
          <w:sz w:val="24"/>
          <w:szCs w:val="24"/>
        </w:rPr>
      </w:pPr>
      <w:r>
        <w:rPr>
          <w:color w:val="000000"/>
          <w:sz w:val="24"/>
          <w:szCs w:val="24"/>
        </w:rPr>
        <w:t>股票市场方面，在配资清理范围扩大以及人民币贬值等因素影响下，投资者悲观情绪持续宣泄，市场在</w:t>
      </w:r>
      <w:r>
        <w:rPr>
          <w:color w:val="000000"/>
          <w:sz w:val="24"/>
          <w:szCs w:val="24"/>
        </w:rPr>
        <w:t>8</w:t>
      </w:r>
      <w:r>
        <w:rPr>
          <w:color w:val="000000"/>
          <w:sz w:val="24"/>
          <w:szCs w:val="24"/>
        </w:rPr>
        <w:t>月下旬再次出现剧烈震荡。债券市场方面，在高收益资产稀缺的格局下，资金持续流入债券市场，推动了收益率的不断下行。</w:t>
      </w:r>
    </w:p>
    <w:p w:rsidR="006A29F8" w:rsidRDefault="002F1F80">
      <w:pPr>
        <w:spacing w:before="29" w:line="288" w:lineRule="auto"/>
        <w:ind w:firstLineChars="200" w:firstLine="480"/>
        <w:rPr>
          <w:color w:val="000000"/>
          <w:sz w:val="24"/>
          <w:szCs w:val="24"/>
        </w:rPr>
      </w:pPr>
      <w:r>
        <w:rPr>
          <w:color w:val="000000"/>
          <w:sz w:val="24"/>
          <w:szCs w:val="24"/>
        </w:rPr>
        <w:t>策略层面，本基金在前半季度市场反弹中净值表现基本符合管理预期，但在</w:t>
      </w:r>
      <w:r>
        <w:rPr>
          <w:color w:val="000000"/>
          <w:sz w:val="24"/>
          <w:szCs w:val="24"/>
        </w:rPr>
        <w:t>8</w:t>
      </w:r>
      <w:r>
        <w:rPr>
          <w:color w:val="000000"/>
          <w:sz w:val="24"/>
          <w:szCs w:val="24"/>
        </w:rPr>
        <w:t>月下旬遭遇市场剧烈震荡致使净值受到了影响，债券操作方面则是基于慢牛判断，维持中性偏高仓位。</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展望四季度，经济企稳回升仍需政策持续配合推动，</w:t>
      </w:r>
      <w:r w:rsidRPr="00414345">
        <w:rPr>
          <w:color w:val="000000"/>
          <w:sz w:val="24"/>
          <w:szCs w:val="24"/>
        </w:rPr>
        <w:t>CPI</w:t>
      </w:r>
      <w:r w:rsidRPr="00414345">
        <w:rPr>
          <w:color w:val="000000"/>
          <w:sz w:val="24"/>
          <w:szCs w:val="24"/>
        </w:rPr>
        <w:t>超预期加速上行的概率仍不大，基本面维持新常态。股票方面，估值迎来合理回归，杠杆的去化已进入后半程，市场悲观情绪逐步缓和后，有可能出现结构性行情，重点关注政经改革进展与稳增长政策的路径，投资应对需保持谨慎、灵活；债券市场预计仍处于慢牛格局之中，由于信用</w:t>
      </w:r>
      <w:r w:rsidRPr="00414345">
        <w:rPr>
          <w:color w:val="000000"/>
          <w:sz w:val="24"/>
          <w:szCs w:val="24"/>
        </w:rPr>
        <w:lastRenderedPageBreak/>
        <w:t>利差继续收窄的空间已不大，重点关注利率债投资机会，同时特别警惕信用风险。</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w:t>
      </w:r>
      <w:r w:rsidRPr="00414345">
        <w:rPr>
          <w:color w:val="000000"/>
          <w:sz w:val="24"/>
          <w:szCs w:val="24"/>
        </w:rPr>
        <w:t>1.133</w:t>
      </w:r>
      <w:r w:rsidRPr="00414345">
        <w:rPr>
          <w:color w:val="000000"/>
          <w:sz w:val="24"/>
          <w:szCs w:val="24"/>
        </w:rPr>
        <w:t>元，本报告期份额净值增长率为</w:t>
      </w:r>
      <w:r w:rsidRPr="00414345">
        <w:rPr>
          <w:color w:val="000000"/>
          <w:sz w:val="24"/>
          <w:szCs w:val="24"/>
        </w:rPr>
        <w:t>-12.51%</w:t>
      </w:r>
      <w:r w:rsidRPr="00414345">
        <w:rPr>
          <w:color w:val="000000"/>
          <w:sz w:val="24"/>
          <w:szCs w:val="24"/>
        </w:rPr>
        <w:t>，同期业绩比较基准增长率为</w:t>
      </w:r>
      <w:r w:rsidRPr="00414345">
        <w:rPr>
          <w:color w:val="000000"/>
          <w:sz w:val="24"/>
          <w:szCs w:val="24"/>
        </w:rPr>
        <w:t>0.81%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072E00">
        <w:rPr>
          <w:b/>
          <w:color w:val="000000"/>
          <w:kern w:val="0"/>
          <w:sz w:val="24"/>
        </w:rPr>
        <w:t xml:space="preserve"> </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55,892,928.73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31.18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55,892,928.73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31.18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113,216,000.00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63.16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113,216,000.00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63.16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5,474,359.59</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3.05</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4,680,978.48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2.61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179,264,266.80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2,088,000.00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33,189,261.23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21.25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1,770,400.00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1,364,317.50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2,004,000.00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9,948,150.00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4,168,600.00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609,000.00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751,200.00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55,892,928.73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35.78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6A29F8">
        <w:trPr>
          <w:jc w:val="center"/>
        </w:trPr>
        <w:tc>
          <w:tcPr>
            <w:tcW w:w="855" w:type="dxa"/>
            <w:vAlign w:val="center"/>
          </w:tcPr>
          <w:p w:rsidR="006A29F8" w:rsidRDefault="002F1F80">
            <w:pPr>
              <w:jc w:val="center"/>
            </w:pPr>
            <w:r>
              <w:rPr>
                <w:color w:val="000000"/>
                <w:sz w:val="24"/>
                <w:szCs w:val="24"/>
              </w:rPr>
              <w:t>1</w:t>
            </w:r>
          </w:p>
        </w:tc>
        <w:tc>
          <w:tcPr>
            <w:tcW w:w="1334" w:type="dxa"/>
            <w:vAlign w:val="center"/>
          </w:tcPr>
          <w:p w:rsidR="006A29F8" w:rsidRDefault="002F1F80">
            <w:pPr>
              <w:jc w:val="center"/>
            </w:pPr>
            <w:r>
              <w:rPr>
                <w:color w:val="000000"/>
                <w:sz w:val="24"/>
                <w:szCs w:val="24"/>
              </w:rPr>
              <w:t>300159</w:t>
            </w:r>
          </w:p>
        </w:tc>
        <w:tc>
          <w:tcPr>
            <w:tcW w:w="1777" w:type="dxa"/>
            <w:vAlign w:val="center"/>
          </w:tcPr>
          <w:p w:rsidR="006A29F8" w:rsidRDefault="002F1F80">
            <w:pPr>
              <w:jc w:val="center"/>
            </w:pPr>
            <w:r>
              <w:rPr>
                <w:color w:val="000000"/>
                <w:sz w:val="24"/>
                <w:szCs w:val="24"/>
              </w:rPr>
              <w:t>新研股份</w:t>
            </w:r>
          </w:p>
        </w:tc>
        <w:tc>
          <w:tcPr>
            <w:tcW w:w="1334" w:type="dxa"/>
            <w:vAlign w:val="center"/>
          </w:tcPr>
          <w:p w:rsidR="006A29F8" w:rsidRDefault="002F1F80">
            <w:pPr>
              <w:jc w:val="right"/>
            </w:pPr>
            <w:r>
              <w:rPr>
                <w:color w:val="000000"/>
                <w:sz w:val="24"/>
                <w:szCs w:val="24"/>
              </w:rPr>
              <w:t>300,000</w:t>
            </w:r>
          </w:p>
        </w:tc>
        <w:tc>
          <w:tcPr>
            <w:tcW w:w="1924" w:type="dxa"/>
            <w:vAlign w:val="center"/>
          </w:tcPr>
          <w:p w:rsidR="006A29F8" w:rsidRDefault="002F1F80">
            <w:pPr>
              <w:jc w:val="right"/>
            </w:pPr>
            <w:r>
              <w:rPr>
                <w:color w:val="000000"/>
                <w:sz w:val="24"/>
                <w:szCs w:val="24"/>
              </w:rPr>
              <w:t>4,443,000.00</w:t>
            </w:r>
          </w:p>
        </w:tc>
        <w:tc>
          <w:tcPr>
            <w:tcW w:w="1644" w:type="dxa"/>
            <w:vAlign w:val="center"/>
          </w:tcPr>
          <w:p w:rsidR="006A29F8" w:rsidRDefault="002F1F80">
            <w:pPr>
              <w:jc w:val="right"/>
            </w:pPr>
            <w:r>
              <w:rPr>
                <w:color w:val="000000"/>
                <w:sz w:val="24"/>
                <w:szCs w:val="24"/>
              </w:rPr>
              <w:t>2.84</w:t>
            </w:r>
          </w:p>
        </w:tc>
      </w:tr>
      <w:tr w:rsidR="006A29F8">
        <w:trPr>
          <w:jc w:val="center"/>
        </w:trPr>
        <w:tc>
          <w:tcPr>
            <w:tcW w:w="855" w:type="dxa"/>
            <w:vAlign w:val="center"/>
          </w:tcPr>
          <w:p w:rsidR="006A29F8" w:rsidRDefault="002F1F80">
            <w:pPr>
              <w:jc w:val="center"/>
            </w:pPr>
            <w:r>
              <w:rPr>
                <w:color w:val="000000"/>
                <w:sz w:val="24"/>
                <w:szCs w:val="24"/>
              </w:rPr>
              <w:t>2</w:t>
            </w:r>
          </w:p>
        </w:tc>
        <w:tc>
          <w:tcPr>
            <w:tcW w:w="1334" w:type="dxa"/>
            <w:vAlign w:val="center"/>
          </w:tcPr>
          <w:p w:rsidR="006A29F8" w:rsidRDefault="002F1F80">
            <w:pPr>
              <w:jc w:val="center"/>
            </w:pPr>
            <w:r>
              <w:rPr>
                <w:color w:val="000000"/>
                <w:sz w:val="24"/>
                <w:szCs w:val="24"/>
              </w:rPr>
              <w:t>600565</w:t>
            </w:r>
          </w:p>
        </w:tc>
        <w:tc>
          <w:tcPr>
            <w:tcW w:w="1777" w:type="dxa"/>
            <w:vAlign w:val="center"/>
          </w:tcPr>
          <w:p w:rsidR="006A29F8" w:rsidRDefault="002F1F80">
            <w:pPr>
              <w:jc w:val="center"/>
            </w:pPr>
            <w:r>
              <w:rPr>
                <w:color w:val="000000"/>
                <w:sz w:val="24"/>
                <w:szCs w:val="24"/>
              </w:rPr>
              <w:t>迪马股份</w:t>
            </w:r>
          </w:p>
        </w:tc>
        <w:tc>
          <w:tcPr>
            <w:tcW w:w="1334" w:type="dxa"/>
            <w:vAlign w:val="center"/>
          </w:tcPr>
          <w:p w:rsidR="006A29F8" w:rsidRDefault="002F1F80">
            <w:pPr>
              <w:jc w:val="right"/>
            </w:pPr>
            <w:r>
              <w:rPr>
                <w:color w:val="000000"/>
                <w:sz w:val="24"/>
                <w:szCs w:val="24"/>
              </w:rPr>
              <w:t>380,000</w:t>
            </w:r>
          </w:p>
        </w:tc>
        <w:tc>
          <w:tcPr>
            <w:tcW w:w="1924" w:type="dxa"/>
            <w:vAlign w:val="center"/>
          </w:tcPr>
          <w:p w:rsidR="006A29F8" w:rsidRDefault="002F1F80">
            <w:pPr>
              <w:jc w:val="right"/>
            </w:pPr>
            <w:r>
              <w:rPr>
                <w:color w:val="000000"/>
                <w:sz w:val="24"/>
                <w:szCs w:val="24"/>
              </w:rPr>
              <w:t>3,636,600.00</w:t>
            </w:r>
          </w:p>
        </w:tc>
        <w:tc>
          <w:tcPr>
            <w:tcW w:w="1644" w:type="dxa"/>
            <w:vAlign w:val="center"/>
          </w:tcPr>
          <w:p w:rsidR="006A29F8" w:rsidRDefault="002F1F80">
            <w:pPr>
              <w:jc w:val="right"/>
            </w:pPr>
            <w:r>
              <w:rPr>
                <w:color w:val="000000"/>
                <w:sz w:val="24"/>
                <w:szCs w:val="24"/>
              </w:rPr>
              <w:t>2.33</w:t>
            </w:r>
          </w:p>
        </w:tc>
      </w:tr>
      <w:tr w:rsidR="006A29F8">
        <w:trPr>
          <w:jc w:val="center"/>
        </w:trPr>
        <w:tc>
          <w:tcPr>
            <w:tcW w:w="855" w:type="dxa"/>
            <w:vAlign w:val="center"/>
          </w:tcPr>
          <w:p w:rsidR="006A29F8" w:rsidRDefault="002F1F80">
            <w:pPr>
              <w:jc w:val="center"/>
            </w:pPr>
            <w:r>
              <w:rPr>
                <w:color w:val="000000"/>
                <w:sz w:val="24"/>
                <w:szCs w:val="24"/>
              </w:rPr>
              <w:t>3</w:t>
            </w:r>
          </w:p>
        </w:tc>
        <w:tc>
          <w:tcPr>
            <w:tcW w:w="1334" w:type="dxa"/>
            <w:vAlign w:val="center"/>
          </w:tcPr>
          <w:p w:rsidR="006A29F8" w:rsidRDefault="002F1F80">
            <w:pPr>
              <w:jc w:val="center"/>
            </w:pPr>
            <w:r>
              <w:rPr>
                <w:color w:val="000000"/>
                <w:sz w:val="24"/>
                <w:szCs w:val="24"/>
              </w:rPr>
              <w:t>601989</w:t>
            </w:r>
          </w:p>
        </w:tc>
        <w:tc>
          <w:tcPr>
            <w:tcW w:w="1777" w:type="dxa"/>
            <w:vAlign w:val="center"/>
          </w:tcPr>
          <w:p w:rsidR="006A29F8" w:rsidRDefault="002F1F80">
            <w:pPr>
              <w:jc w:val="center"/>
            </w:pPr>
            <w:r>
              <w:rPr>
                <w:color w:val="000000"/>
                <w:sz w:val="24"/>
                <w:szCs w:val="24"/>
              </w:rPr>
              <w:t>中国重工</w:t>
            </w:r>
          </w:p>
        </w:tc>
        <w:tc>
          <w:tcPr>
            <w:tcW w:w="1334" w:type="dxa"/>
            <w:vAlign w:val="center"/>
          </w:tcPr>
          <w:p w:rsidR="006A29F8" w:rsidRDefault="002F1F80">
            <w:pPr>
              <w:jc w:val="right"/>
            </w:pPr>
            <w:r>
              <w:rPr>
                <w:color w:val="000000"/>
                <w:sz w:val="24"/>
                <w:szCs w:val="24"/>
              </w:rPr>
              <w:t>300,000</w:t>
            </w:r>
          </w:p>
        </w:tc>
        <w:tc>
          <w:tcPr>
            <w:tcW w:w="1924" w:type="dxa"/>
            <w:vAlign w:val="center"/>
          </w:tcPr>
          <w:p w:rsidR="006A29F8" w:rsidRDefault="002F1F80">
            <w:pPr>
              <w:jc w:val="right"/>
            </w:pPr>
            <w:r>
              <w:rPr>
                <w:color w:val="000000"/>
                <w:sz w:val="24"/>
                <w:szCs w:val="24"/>
              </w:rPr>
              <w:t>3,003,000.00</w:t>
            </w:r>
          </w:p>
        </w:tc>
        <w:tc>
          <w:tcPr>
            <w:tcW w:w="1644" w:type="dxa"/>
            <w:vAlign w:val="center"/>
          </w:tcPr>
          <w:p w:rsidR="006A29F8" w:rsidRDefault="002F1F80">
            <w:pPr>
              <w:jc w:val="right"/>
            </w:pPr>
            <w:r>
              <w:rPr>
                <w:color w:val="000000"/>
                <w:sz w:val="24"/>
                <w:szCs w:val="24"/>
              </w:rPr>
              <w:t>1.92</w:t>
            </w:r>
          </w:p>
        </w:tc>
      </w:tr>
      <w:tr w:rsidR="006A29F8">
        <w:trPr>
          <w:jc w:val="center"/>
        </w:trPr>
        <w:tc>
          <w:tcPr>
            <w:tcW w:w="855" w:type="dxa"/>
            <w:vAlign w:val="center"/>
          </w:tcPr>
          <w:p w:rsidR="006A29F8" w:rsidRDefault="002F1F80">
            <w:pPr>
              <w:jc w:val="center"/>
            </w:pPr>
            <w:r>
              <w:rPr>
                <w:color w:val="000000"/>
                <w:sz w:val="24"/>
                <w:szCs w:val="24"/>
              </w:rPr>
              <w:t>4</w:t>
            </w:r>
          </w:p>
        </w:tc>
        <w:tc>
          <w:tcPr>
            <w:tcW w:w="1334" w:type="dxa"/>
            <w:vAlign w:val="center"/>
          </w:tcPr>
          <w:p w:rsidR="006A29F8" w:rsidRDefault="002F1F80">
            <w:pPr>
              <w:jc w:val="center"/>
            </w:pPr>
            <w:r>
              <w:rPr>
                <w:color w:val="000000"/>
                <w:sz w:val="24"/>
                <w:szCs w:val="24"/>
              </w:rPr>
              <w:t>000938</w:t>
            </w:r>
          </w:p>
        </w:tc>
        <w:tc>
          <w:tcPr>
            <w:tcW w:w="1777" w:type="dxa"/>
            <w:vAlign w:val="center"/>
          </w:tcPr>
          <w:p w:rsidR="006A29F8" w:rsidRDefault="002F1F80">
            <w:pPr>
              <w:jc w:val="center"/>
            </w:pPr>
            <w:r>
              <w:rPr>
                <w:color w:val="000000"/>
                <w:sz w:val="24"/>
                <w:szCs w:val="24"/>
              </w:rPr>
              <w:t>紫光股份</w:t>
            </w:r>
          </w:p>
        </w:tc>
        <w:tc>
          <w:tcPr>
            <w:tcW w:w="1334" w:type="dxa"/>
            <w:vAlign w:val="center"/>
          </w:tcPr>
          <w:p w:rsidR="006A29F8" w:rsidRDefault="002F1F80">
            <w:pPr>
              <w:jc w:val="right"/>
            </w:pPr>
            <w:r>
              <w:rPr>
                <w:color w:val="000000"/>
                <w:sz w:val="24"/>
                <w:szCs w:val="24"/>
              </w:rPr>
              <w:t>39,975</w:t>
            </w:r>
          </w:p>
        </w:tc>
        <w:tc>
          <w:tcPr>
            <w:tcW w:w="1924" w:type="dxa"/>
            <w:vAlign w:val="center"/>
          </w:tcPr>
          <w:p w:rsidR="006A29F8" w:rsidRDefault="002F1F80">
            <w:pPr>
              <w:jc w:val="right"/>
            </w:pPr>
            <w:r>
              <w:rPr>
                <w:color w:val="000000"/>
                <w:sz w:val="24"/>
                <w:szCs w:val="24"/>
              </w:rPr>
              <w:t>2,789,055.75</w:t>
            </w:r>
          </w:p>
        </w:tc>
        <w:tc>
          <w:tcPr>
            <w:tcW w:w="1644" w:type="dxa"/>
            <w:vAlign w:val="center"/>
          </w:tcPr>
          <w:p w:rsidR="006A29F8" w:rsidRDefault="002F1F80">
            <w:pPr>
              <w:jc w:val="right"/>
            </w:pPr>
            <w:r>
              <w:rPr>
                <w:color w:val="000000"/>
                <w:sz w:val="24"/>
                <w:szCs w:val="24"/>
              </w:rPr>
              <w:t>1.79</w:t>
            </w:r>
          </w:p>
        </w:tc>
      </w:tr>
      <w:tr w:rsidR="006A29F8">
        <w:trPr>
          <w:jc w:val="center"/>
        </w:trPr>
        <w:tc>
          <w:tcPr>
            <w:tcW w:w="855" w:type="dxa"/>
            <w:vAlign w:val="center"/>
          </w:tcPr>
          <w:p w:rsidR="006A29F8" w:rsidRDefault="002F1F80">
            <w:pPr>
              <w:jc w:val="center"/>
            </w:pPr>
            <w:r>
              <w:rPr>
                <w:color w:val="000000"/>
                <w:sz w:val="24"/>
                <w:szCs w:val="24"/>
              </w:rPr>
              <w:t>5</w:t>
            </w:r>
          </w:p>
        </w:tc>
        <w:tc>
          <w:tcPr>
            <w:tcW w:w="1334" w:type="dxa"/>
            <w:vAlign w:val="center"/>
          </w:tcPr>
          <w:p w:rsidR="006A29F8" w:rsidRDefault="002F1F80">
            <w:pPr>
              <w:jc w:val="center"/>
            </w:pPr>
            <w:r>
              <w:rPr>
                <w:color w:val="000000"/>
                <w:sz w:val="24"/>
                <w:szCs w:val="24"/>
              </w:rPr>
              <w:t>600584</w:t>
            </w:r>
          </w:p>
        </w:tc>
        <w:tc>
          <w:tcPr>
            <w:tcW w:w="1777" w:type="dxa"/>
            <w:vAlign w:val="center"/>
          </w:tcPr>
          <w:p w:rsidR="006A29F8" w:rsidRDefault="002F1F80">
            <w:pPr>
              <w:jc w:val="center"/>
            </w:pPr>
            <w:r>
              <w:rPr>
                <w:color w:val="000000"/>
                <w:sz w:val="24"/>
                <w:szCs w:val="24"/>
              </w:rPr>
              <w:t>长电科技</w:t>
            </w:r>
          </w:p>
        </w:tc>
        <w:tc>
          <w:tcPr>
            <w:tcW w:w="1334" w:type="dxa"/>
            <w:vAlign w:val="center"/>
          </w:tcPr>
          <w:p w:rsidR="006A29F8" w:rsidRDefault="002F1F80">
            <w:pPr>
              <w:jc w:val="right"/>
            </w:pPr>
            <w:r>
              <w:rPr>
                <w:color w:val="000000"/>
                <w:sz w:val="24"/>
                <w:szCs w:val="24"/>
              </w:rPr>
              <w:t>200,000</w:t>
            </w:r>
          </w:p>
        </w:tc>
        <w:tc>
          <w:tcPr>
            <w:tcW w:w="1924" w:type="dxa"/>
            <w:vAlign w:val="center"/>
          </w:tcPr>
          <w:p w:rsidR="006A29F8" w:rsidRDefault="002F1F80">
            <w:pPr>
              <w:jc w:val="right"/>
            </w:pPr>
            <w:r>
              <w:rPr>
                <w:color w:val="000000"/>
                <w:sz w:val="24"/>
                <w:szCs w:val="24"/>
              </w:rPr>
              <w:t>2,630,000.00</w:t>
            </w:r>
          </w:p>
        </w:tc>
        <w:tc>
          <w:tcPr>
            <w:tcW w:w="1644" w:type="dxa"/>
            <w:vAlign w:val="center"/>
          </w:tcPr>
          <w:p w:rsidR="006A29F8" w:rsidRDefault="002F1F80">
            <w:pPr>
              <w:jc w:val="right"/>
            </w:pPr>
            <w:r>
              <w:rPr>
                <w:color w:val="000000"/>
                <w:sz w:val="24"/>
                <w:szCs w:val="24"/>
              </w:rPr>
              <w:t>1.68</w:t>
            </w:r>
          </w:p>
        </w:tc>
      </w:tr>
      <w:tr w:rsidR="006A29F8">
        <w:trPr>
          <w:jc w:val="center"/>
        </w:trPr>
        <w:tc>
          <w:tcPr>
            <w:tcW w:w="855" w:type="dxa"/>
            <w:vAlign w:val="center"/>
          </w:tcPr>
          <w:p w:rsidR="006A29F8" w:rsidRDefault="002F1F80">
            <w:pPr>
              <w:jc w:val="center"/>
            </w:pPr>
            <w:r>
              <w:rPr>
                <w:color w:val="000000"/>
                <w:sz w:val="24"/>
                <w:szCs w:val="24"/>
              </w:rPr>
              <w:t>6</w:t>
            </w:r>
          </w:p>
        </w:tc>
        <w:tc>
          <w:tcPr>
            <w:tcW w:w="1334" w:type="dxa"/>
            <w:vAlign w:val="center"/>
          </w:tcPr>
          <w:p w:rsidR="006A29F8" w:rsidRDefault="002F1F80">
            <w:pPr>
              <w:jc w:val="center"/>
            </w:pPr>
            <w:r>
              <w:rPr>
                <w:color w:val="000000"/>
                <w:sz w:val="24"/>
                <w:szCs w:val="24"/>
              </w:rPr>
              <w:t>603993</w:t>
            </w:r>
          </w:p>
        </w:tc>
        <w:tc>
          <w:tcPr>
            <w:tcW w:w="1777" w:type="dxa"/>
            <w:vAlign w:val="center"/>
          </w:tcPr>
          <w:p w:rsidR="006A29F8" w:rsidRDefault="002F1F80">
            <w:pPr>
              <w:jc w:val="center"/>
            </w:pPr>
            <w:r>
              <w:rPr>
                <w:color w:val="000000"/>
                <w:sz w:val="24"/>
                <w:szCs w:val="24"/>
              </w:rPr>
              <w:t>洛阳钼业</w:t>
            </w:r>
          </w:p>
        </w:tc>
        <w:tc>
          <w:tcPr>
            <w:tcW w:w="1334" w:type="dxa"/>
            <w:vAlign w:val="center"/>
          </w:tcPr>
          <w:p w:rsidR="006A29F8" w:rsidRDefault="002F1F80">
            <w:pPr>
              <w:jc w:val="right"/>
            </w:pPr>
            <w:r>
              <w:rPr>
                <w:color w:val="000000"/>
                <w:sz w:val="24"/>
                <w:szCs w:val="24"/>
              </w:rPr>
              <w:t>200,000</w:t>
            </w:r>
          </w:p>
        </w:tc>
        <w:tc>
          <w:tcPr>
            <w:tcW w:w="1924" w:type="dxa"/>
            <w:vAlign w:val="center"/>
          </w:tcPr>
          <w:p w:rsidR="006A29F8" w:rsidRDefault="002F1F80">
            <w:pPr>
              <w:jc w:val="right"/>
            </w:pPr>
            <w:r>
              <w:rPr>
                <w:color w:val="000000"/>
                <w:sz w:val="24"/>
                <w:szCs w:val="24"/>
              </w:rPr>
              <w:t>2,088,000.00</w:t>
            </w:r>
          </w:p>
        </w:tc>
        <w:tc>
          <w:tcPr>
            <w:tcW w:w="1644" w:type="dxa"/>
            <w:vAlign w:val="center"/>
          </w:tcPr>
          <w:p w:rsidR="006A29F8" w:rsidRDefault="002F1F80">
            <w:pPr>
              <w:jc w:val="right"/>
            </w:pPr>
            <w:r>
              <w:rPr>
                <w:color w:val="000000"/>
                <w:sz w:val="24"/>
                <w:szCs w:val="24"/>
              </w:rPr>
              <w:t>1.34</w:t>
            </w:r>
          </w:p>
        </w:tc>
      </w:tr>
      <w:tr w:rsidR="006A29F8">
        <w:trPr>
          <w:jc w:val="center"/>
        </w:trPr>
        <w:tc>
          <w:tcPr>
            <w:tcW w:w="855" w:type="dxa"/>
            <w:vAlign w:val="center"/>
          </w:tcPr>
          <w:p w:rsidR="006A29F8" w:rsidRDefault="002F1F80">
            <w:pPr>
              <w:jc w:val="center"/>
            </w:pPr>
            <w:r>
              <w:rPr>
                <w:color w:val="000000"/>
                <w:sz w:val="24"/>
                <w:szCs w:val="24"/>
              </w:rPr>
              <w:t>7</w:t>
            </w:r>
          </w:p>
        </w:tc>
        <w:tc>
          <w:tcPr>
            <w:tcW w:w="1334" w:type="dxa"/>
            <w:vAlign w:val="center"/>
          </w:tcPr>
          <w:p w:rsidR="006A29F8" w:rsidRDefault="002F1F80">
            <w:pPr>
              <w:jc w:val="center"/>
            </w:pPr>
            <w:r>
              <w:rPr>
                <w:color w:val="000000"/>
                <w:sz w:val="24"/>
                <w:szCs w:val="24"/>
              </w:rPr>
              <w:t>600787</w:t>
            </w:r>
          </w:p>
        </w:tc>
        <w:tc>
          <w:tcPr>
            <w:tcW w:w="1777" w:type="dxa"/>
            <w:vAlign w:val="center"/>
          </w:tcPr>
          <w:p w:rsidR="006A29F8" w:rsidRDefault="002F1F80">
            <w:pPr>
              <w:jc w:val="center"/>
            </w:pPr>
            <w:r>
              <w:rPr>
                <w:color w:val="000000"/>
                <w:sz w:val="24"/>
                <w:szCs w:val="24"/>
              </w:rPr>
              <w:t>中储股份</w:t>
            </w:r>
          </w:p>
        </w:tc>
        <w:tc>
          <w:tcPr>
            <w:tcW w:w="1334" w:type="dxa"/>
            <w:vAlign w:val="center"/>
          </w:tcPr>
          <w:p w:rsidR="006A29F8" w:rsidRDefault="002F1F80">
            <w:pPr>
              <w:jc w:val="right"/>
            </w:pPr>
            <w:r>
              <w:rPr>
                <w:color w:val="000000"/>
                <w:sz w:val="24"/>
                <w:szCs w:val="24"/>
              </w:rPr>
              <w:t>200,000</w:t>
            </w:r>
          </w:p>
        </w:tc>
        <w:tc>
          <w:tcPr>
            <w:tcW w:w="1924" w:type="dxa"/>
            <w:vAlign w:val="center"/>
          </w:tcPr>
          <w:p w:rsidR="006A29F8" w:rsidRDefault="002F1F80">
            <w:pPr>
              <w:jc w:val="right"/>
            </w:pPr>
            <w:r>
              <w:rPr>
                <w:color w:val="000000"/>
                <w:sz w:val="24"/>
                <w:szCs w:val="24"/>
              </w:rPr>
              <w:t>2,004,000.00</w:t>
            </w:r>
          </w:p>
        </w:tc>
        <w:tc>
          <w:tcPr>
            <w:tcW w:w="1644" w:type="dxa"/>
            <w:vAlign w:val="center"/>
          </w:tcPr>
          <w:p w:rsidR="006A29F8" w:rsidRDefault="002F1F80">
            <w:pPr>
              <w:jc w:val="right"/>
            </w:pPr>
            <w:r>
              <w:rPr>
                <w:color w:val="000000"/>
                <w:sz w:val="24"/>
                <w:szCs w:val="24"/>
              </w:rPr>
              <w:t>1.28</w:t>
            </w:r>
          </w:p>
        </w:tc>
      </w:tr>
      <w:tr w:rsidR="006A29F8">
        <w:trPr>
          <w:jc w:val="center"/>
        </w:trPr>
        <w:tc>
          <w:tcPr>
            <w:tcW w:w="855" w:type="dxa"/>
            <w:vAlign w:val="center"/>
          </w:tcPr>
          <w:p w:rsidR="006A29F8" w:rsidRDefault="002F1F80">
            <w:pPr>
              <w:jc w:val="center"/>
            </w:pPr>
            <w:r>
              <w:rPr>
                <w:color w:val="000000"/>
                <w:sz w:val="24"/>
                <w:szCs w:val="24"/>
              </w:rPr>
              <w:t>8</w:t>
            </w:r>
          </w:p>
        </w:tc>
        <w:tc>
          <w:tcPr>
            <w:tcW w:w="1334" w:type="dxa"/>
            <w:vAlign w:val="center"/>
          </w:tcPr>
          <w:p w:rsidR="006A29F8" w:rsidRDefault="002F1F80">
            <w:pPr>
              <w:jc w:val="center"/>
            </w:pPr>
            <w:r>
              <w:rPr>
                <w:color w:val="000000"/>
                <w:sz w:val="24"/>
                <w:szCs w:val="24"/>
              </w:rPr>
              <w:t>300166</w:t>
            </w:r>
          </w:p>
        </w:tc>
        <w:tc>
          <w:tcPr>
            <w:tcW w:w="1777" w:type="dxa"/>
            <w:vAlign w:val="center"/>
          </w:tcPr>
          <w:p w:rsidR="006A29F8" w:rsidRDefault="002F1F80">
            <w:pPr>
              <w:jc w:val="center"/>
            </w:pPr>
            <w:r>
              <w:rPr>
                <w:color w:val="000000"/>
                <w:sz w:val="24"/>
                <w:szCs w:val="24"/>
              </w:rPr>
              <w:t>东方国信</w:t>
            </w:r>
          </w:p>
        </w:tc>
        <w:tc>
          <w:tcPr>
            <w:tcW w:w="1334" w:type="dxa"/>
            <w:vAlign w:val="center"/>
          </w:tcPr>
          <w:p w:rsidR="006A29F8" w:rsidRDefault="002F1F80">
            <w:pPr>
              <w:jc w:val="right"/>
            </w:pPr>
            <w:r>
              <w:rPr>
                <w:color w:val="000000"/>
                <w:sz w:val="24"/>
                <w:szCs w:val="24"/>
              </w:rPr>
              <w:t>60,000</w:t>
            </w:r>
          </w:p>
        </w:tc>
        <w:tc>
          <w:tcPr>
            <w:tcW w:w="1924" w:type="dxa"/>
            <w:vAlign w:val="center"/>
          </w:tcPr>
          <w:p w:rsidR="006A29F8" w:rsidRDefault="002F1F80">
            <w:pPr>
              <w:jc w:val="right"/>
            </w:pPr>
            <w:r>
              <w:rPr>
                <w:color w:val="000000"/>
                <w:sz w:val="24"/>
                <w:szCs w:val="24"/>
              </w:rPr>
              <w:t>1,767,000.00</w:t>
            </w:r>
          </w:p>
        </w:tc>
        <w:tc>
          <w:tcPr>
            <w:tcW w:w="1644" w:type="dxa"/>
            <w:vAlign w:val="center"/>
          </w:tcPr>
          <w:p w:rsidR="006A29F8" w:rsidRDefault="002F1F80">
            <w:pPr>
              <w:jc w:val="right"/>
            </w:pPr>
            <w:r>
              <w:rPr>
                <w:color w:val="000000"/>
                <w:sz w:val="24"/>
                <w:szCs w:val="24"/>
              </w:rPr>
              <w:t>1.13</w:t>
            </w:r>
          </w:p>
        </w:tc>
      </w:tr>
      <w:tr w:rsidR="006A29F8">
        <w:trPr>
          <w:jc w:val="center"/>
        </w:trPr>
        <w:tc>
          <w:tcPr>
            <w:tcW w:w="855" w:type="dxa"/>
            <w:vAlign w:val="center"/>
          </w:tcPr>
          <w:p w:rsidR="006A29F8" w:rsidRDefault="002F1F80">
            <w:pPr>
              <w:jc w:val="center"/>
            </w:pPr>
            <w:r>
              <w:rPr>
                <w:color w:val="000000"/>
                <w:sz w:val="24"/>
                <w:szCs w:val="24"/>
              </w:rPr>
              <w:lastRenderedPageBreak/>
              <w:t>9</w:t>
            </w:r>
          </w:p>
        </w:tc>
        <w:tc>
          <w:tcPr>
            <w:tcW w:w="1334" w:type="dxa"/>
            <w:vAlign w:val="center"/>
          </w:tcPr>
          <w:p w:rsidR="006A29F8" w:rsidRDefault="002F1F80">
            <w:pPr>
              <w:jc w:val="center"/>
            </w:pPr>
            <w:r>
              <w:rPr>
                <w:color w:val="000000"/>
                <w:sz w:val="24"/>
                <w:szCs w:val="24"/>
              </w:rPr>
              <w:t>002280</w:t>
            </w:r>
          </w:p>
        </w:tc>
        <w:tc>
          <w:tcPr>
            <w:tcW w:w="1777" w:type="dxa"/>
            <w:vAlign w:val="center"/>
          </w:tcPr>
          <w:p w:rsidR="006A29F8" w:rsidRDefault="002F1F80">
            <w:pPr>
              <w:jc w:val="center"/>
            </w:pPr>
            <w:r>
              <w:rPr>
                <w:color w:val="000000"/>
                <w:sz w:val="24"/>
                <w:szCs w:val="24"/>
              </w:rPr>
              <w:t>联络互动</w:t>
            </w:r>
          </w:p>
        </w:tc>
        <w:tc>
          <w:tcPr>
            <w:tcW w:w="1334" w:type="dxa"/>
            <w:vAlign w:val="center"/>
          </w:tcPr>
          <w:p w:rsidR="006A29F8" w:rsidRDefault="002F1F80">
            <w:pPr>
              <w:jc w:val="right"/>
            </w:pPr>
            <w:r>
              <w:rPr>
                <w:color w:val="000000"/>
                <w:sz w:val="24"/>
                <w:szCs w:val="24"/>
              </w:rPr>
              <w:t>50,000</w:t>
            </w:r>
          </w:p>
        </w:tc>
        <w:tc>
          <w:tcPr>
            <w:tcW w:w="1924" w:type="dxa"/>
            <w:vAlign w:val="center"/>
          </w:tcPr>
          <w:p w:rsidR="006A29F8" w:rsidRDefault="002F1F80">
            <w:pPr>
              <w:jc w:val="right"/>
            </w:pPr>
            <w:r>
              <w:rPr>
                <w:color w:val="000000"/>
                <w:sz w:val="24"/>
                <w:szCs w:val="24"/>
              </w:rPr>
              <w:t>1,763,000.00</w:t>
            </w:r>
          </w:p>
        </w:tc>
        <w:tc>
          <w:tcPr>
            <w:tcW w:w="1644" w:type="dxa"/>
            <w:vAlign w:val="center"/>
          </w:tcPr>
          <w:p w:rsidR="006A29F8" w:rsidRDefault="002F1F80">
            <w:pPr>
              <w:jc w:val="right"/>
            </w:pPr>
            <w:r>
              <w:rPr>
                <w:color w:val="000000"/>
                <w:sz w:val="24"/>
                <w:szCs w:val="24"/>
              </w:rPr>
              <w:t>1.13</w:t>
            </w:r>
          </w:p>
        </w:tc>
      </w:tr>
      <w:tr w:rsidR="006A29F8">
        <w:trPr>
          <w:jc w:val="center"/>
        </w:trPr>
        <w:tc>
          <w:tcPr>
            <w:tcW w:w="855" w:type="dxa"/>
            <w:vAlign w:val="center"/>
          </w:tcPr>
          <w:p w:rsidR="006A29F8" w:rsidRDefault="002F1F80">
            <w:pPr>
              <w:jc w:val="center"/>
            </w:pPr>
            <w:r>
              <w:rPr>
                <w:color w:val="000000"/>
                <w:sz w:val="24"/>
                <w:szCs w:val="24"/>
              </w:rPr>
              <w:t>10</w:t>
            </w:r>
          </w:p>
        </w:tc>
        <w:tc>
          <w:tcPr>
            <w:tcW w:w="1334" w:type="dxa"/>
            <w:vAlign w:val="center"/>
          </w:tcPr>
          <w:p w:rsidR="006A29F8" w:rsidRDefault="002F1F80">
            <w:pPr>
              <w:jc w:val="center"/>
            </w:pPr>
            <w:r>
              <w:rPr>
                <w:color w:val="000000"/>
                <w:sz w:val="24"/>
                <w:szCs w:val="24"/>
              </w:rPr>
              <w:t>300075</w:t>
            </w:r>
          </w:p>
        </w:tc>
        <w:tc>
          <w:tcPr>
            <w:tcW w:w="1777" w:type="dxa"/>
            <w:vAlign w:val="center"/>
          </w:tcPr>
          <w:p w:rsidR="006A29F8" w:rsidRDefault="002F1F80">
            <w:pPr>
              <w:jc w:val="center"/>
            </w:pPr>
            <w:r>
              <w:rPr>
                <w:color w:val="000000"/>
                <w:sz w:val="24"/>
                <w:szCs w:val="24"/>
              </w:rPr>
              <w:t>数字政通</w:t>
            </w:r>
          </w:p>
        </w:tc>
        <w:tc>
          <w:tcPr>
            <w:tcW w:w="1334" w:type="dxa"/>
            <w:vAlign w:val="center"/>
          </w:tcPr>
          <w:p w:rsidR="006A29F8" w:rsidRDefault="002F1F80">
            <w:pPr>
              <w:jc w:val="right"/>
            </w:pPr>
            <w:r>
              <w:rPr>
                <w:color w:val="000000"/>
                <w:sz w:val="24"/>
                <w:szCs w:val="24"/>
              </w:rPr>
              <w:t>70,000</w:t>
            </w:r>
          </w:p>
        </w:tc>
        <w:tc>
          <w:tcPr>
            <w:tcW w:w="1924" w:type="dxa"/>
            <w:vAlign w:val="center"/>
          </w:tcPr>
          <w:p w:rsidR="006A29F8" w:rsidRDefault="002F1F80">
            <w:pPr>
              <w:jc w:val="right"/>
            </w:pPr>
            <w:r>
              <w:rPr>
                <w:color w:val="000000"/>
                <w:sz w:val="24"/>
                <w:szCs w:val="24"/>
              </w:rPr>
              <w:t>1,641,500.00</w:t>
            </w:r>
          </w:p>
        </w:tc>
        <w:tc>
          <w:tcPr>
            <w:tcW w:w="1644" w:type="dxa"/>
            <w:vAlign w:val="center"/>
          </w:tcPr>
          <w:p w:rsidR="006A29F8" w:rsidRDefault="002F1F80">
            <w:pPr>
              <w:jc w:val="right"/>
            </w:pPr>
            <w:r>
              <w:rPr>
                <w:color w:val="000000"/>
                <w:sz w:val="24"/>
                <w:szCs w:val="24"/>
              </w:rPr>
              <w:t>1.05</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113,216,000.00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72.48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113,216,000.00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72.48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113,216,000.00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72.48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6A29F8">
        <w:trPr>
          <w:jc w:val="center"/>
        </w:trPr>
        <w:tc>
          <w:tcPr>
            <w:tcW w:w="850" w:type="dxa"/>
            <w:vAlign w:val="center"/>
          </w:tcPr>
          <w:p w:rsidR="006A29F8" w:rsidRDefault="002F1F80">
            <w:pPr>
              <w:jc w:val="center"/>
            </w:pPr>
            <w:r>
              <w:rPr>
                <w:color w:val="000000"/>
                <w:sz w:val="24"/>
                <w:szCs w:val="24"/>
              </w:rPr>
              <w:t>1</w:t>
            </w:r>
          </w:p>
        </w:tc>
        <w:tc>
          <w:tcPr>
            <w:tcW w:w="1475" w:type="dxa"/>
            <w:vAlign w:val="center"/>
          </w:tcPr>
          <w:p w:rsidR="006A29F8" w:rsidRDefault="002F1F80">
            <w:pPr>
              <w:jc w:val="center"/>
            </w:pPr>
            <w:r>
              <w:rPr>
                <w:color w:val="000000"/>
                <w:sz w:val="24"/>
                <w:szCs w:val="24"/>
              </w:rPr>
              <w:t>140424</w:t>
            </w:r>
          </w:p>
        </w:tc>
        <w:tc>
          <w:tcPr>
            <w:tcW w:w="1769" w:type="dxa"/>
            <w:vAlign w:val="center"/>
          </w:tcPr>
          <w:p w:rsidR="006A29F8" w:rsidRDefault="002F1F80">
            <w:pPr>
              <w:jc w:val="center"/>
            </w:pPr>
            <w:r>
              <w:rPr>
                <w:color w:val="000000"/>
                <w:sz w:val="24"/>
                <w:szCs w:val="24"/>
              </w:rPr>
              <w:t>14</w:t>
            </w:r>
            <w:r>
              <w:rPr>
                <w:color w:val="000000"/>
                <w:sz w:val="24"/>
                <w:szCs w:val="24"/>
              </w:rPr>
              <w:t>农发</w:t>
            </w:r>
            <w:r>
              <w:rPr>
                <w:color w:val="000000"/>
                <w:sz w:val="24"/>
                <w:szCs w:val="24"/>
              </w:rPr>
              <w:t>24</w:t>
            </w:r>
          </w:p>
        </w:tc>
        <w:tc>
          <w:tcPr>
            <w:tcW w:w="1387" w:type="dxa"/>
            <w:vAlign w:val="center"/>
          </w:tcPr>
          <w:p w:rsidR="006A29F8" w:rsidRDefault="002F1F80">
            <w:pPr>
              <w:jc w:val="right"/>
            </w:pPr>
            <w:r>
              <w:rPr>
                <w:color w:val="000000"/>
                <w:sz w:val="24"/>
                <w:szCs w:val="24"/>
              </w:rPr>
              <w:t>500,000</w:t>
            </w:r>
          </w:p>
        </w:tc>
        <w:tc>
          <w:tcPr>
            <w:tcW w:w="2150" w:type="dxa"/>
            <w:vAlign w:val="center"/>
          </w:tcPr>
          <w:p w:rsidR="006A29F8" w:rsidRDefault="002F1F80">
            <w:pPr>
              <w:jc w:val="right"/>
            </w:pPr>
            <w:r>
              <w:rPr>
                <w:color w:val="000000"/>
                <w:sz w:val="24"/>
                <w:szCs w:val="24"/>
              </w:rPr>
              <w:t>51,570,000.00</w:t>
            </w:r>
          </w:p>
        </w:tc>
        <w:tc>
          <w:tcPr>
            <w:tcW w:w="1237" w:type="dxa"/>
            <w:vAlign w:val="center"/>
          </w:tcPr>
          <w:p w:rsidR="006A29F8" w:rsidRDefault="002F1F80">
            <w:pPr>
              <w:jc w:val="right"/>
            </w:pPr>
            <w:r>
              <w:rPr>
                <w:color w:val="000000"/>
                <w:sz w:val="24"/>
                <w:szCs w:val="24"/>
              </w:rPr>
              <w:t>33.01</w:t>
            </w:r>
          </w:p>
        </w:tc>
      </w:tr>
      <w:tr w:rsidR="006A29F8">
        <w:trPr>
          <w:jc w:val="center"/>
        </w:trPr>
        <w:tc>
          <w:tcPr>
            <w:tcW w:w="850" w:type="dxa"/>
            <w:vAlign w:val="center"/>
          </w:tcPr>
          <w:p w:rsidR="006A29F8" w:rsidRDefault="002F1F80">
            <w:pPr>
              <w:jc w:val="center"/>
            </w:pPr>
            <w:r>
              <w:rPr>
                <w:color w:val="000000"/>
                <w:sz w:val="24"/>
                <w:szCs w:val="24"/>
              </w:rPr>
              <w:t>2</w:t>
            </w:r>
          </w:p>
        </w:tc>
        <w:tc>
          <w:tcPr>
            <w:tcW w:w="1475" w:type="dxa"/>
            <w:vAlign w:val="center"/>
          </w:tcPr>
          <w:p w:rsidR="006A29F8" w:rsidRDefault="002F1F80">
            <w:pPr>
              <w:jc w:val="center"/>
            </w:pPr>
            <w:r>
              <w:rPr>
                <w:color w:val="000000"/>
                <w:sz w:val="24"/>
                <w:szCs w:val="24"/>
              </w:rPr>
              <w:t>140407</w:t>
            </w:r>
          </w:p>
        </w:tc>
        <w:tc>
          <w:tcPr>
            <w:tcW w:w="1769" w:type="dxa"/>
            <w:vAlign w:val="center"/>
          </w:tcPr>
          <w:p w:rsidR="006A29F8" w:rsidRDefault="002F1F80">
            <w:pPr>
              <w:jc w:val="center"/>
            </w:pPr>
            <w:r>
              <w:rPr>
                <w:color w:val="000000"/>
                <w:sz w:val="24"/>
                <w:szCs w:val="24"/>
              </w:rPr>
              <w:t>14</w:t>
            </w:r>
            <w:r>
              <w:rPr>
                <w:color w:val="000000"/>
                <w:sz w:val="24"/>
                <w:szCs w:val="24"/>
              </w:rPr>
              <w:t>农发</w:t>
            </w:r>
            <w:r>
              <w:rPr>
                <w:color w:val="000000"/>
                <w:sz w:val="24"/>
                <w:szCs w:val="24"/>
              </w:rPr>
              <w:t>07</w:t>
            </w:r>
          </w:p>
        </w:tc>
        <w:tc>
          <w:tcPr>
            <w:tcW w:w="1387" w:type="dxa"/>
            <w:vAlign w:val="center"/>
          </w:tcPr>
          <w:p w:rsidR="006A29F8" w:rsidRDefault="002F1F80">
            <w:pPr>
              <w:jc w:val="right"/>
            </w:pPr>
            <w:r>
              <w:rPr>
                <w:color w:val="000000"/>
                <w:sz w:val="24"/>
                <w:szCs w:val="24"/>
              </w:rPr>
              <w:t>500,000</w:t>
            </w:r>
          </w:p>
        </w:tc>
        <w:tc>
          <w:tcPr>
            <w:tcW w:w="2150" w:type="dxa"/>
            <w:vAlign w:val="center"/>
          </w:tcPr>
          <w:p w:rsidR="006A29F8" w:rsidRDefault="002F1F80">
            <w:pPr>
              <w:jc w:val="right"/>
            </w:pPr>
            <w:r>
              <w:rPr>
                <w:color w:val="000000"/>
                <w:sz w:val="24"/>
                <w:szCs w:val="24"/>
              </w:rPr>
              <w:t>51,555,000.00</w:t>
            </w:r>
          </w:p>
        </w:tc>
        <w:tc>
          <w:tcPr>
            <w:tcW w:w="1237" w:type="dxa"/>
            <w:vAlign w:val="center"/>
          </w:tcPr>
          <w:p w:rsidR="006A29F8" w:rsidRDefault="002F1F80">
            <w:pPr>
              <w:jc w:val="right"/>
            </w:pPr>
            <w:r>
              <w:rPr>
                <w:color w:val="000000"/>
                <w:sz w:val="24"/>
                <w:szCs w:val="24"/>
              </w:rPr>
              <w:t>33.00</w:t>
            </w:r>
          </w:p>
        </w:tc>
      </w:tr>
      <w:tr w:rsidR="006A29F8">
        <w:trPr>
          <w:jc w:val="center"/>
        </w:trPr>
        <w:tc>
          <w:tcPr>
            <w:tcW w:w="850" w:type="dxa"/>
            <w:vAlign w:val="center"/>
          </w:tcPr>
          <w:p w:rsidR="006A29F8" w:rsidRDefault="002F1F80">
            <w:pPr>
              <w:jc w:val="center"/>
            </w:pPr>
            <w:r>
              <w:rPr>
                <w:color w:val="000000"/>
                <w:sz w:val="24"/>
                <w:szCs w:val="24"/>
              </w:rPr>
              <w:t>3</w:t>
            </w:r>
          </w:p>
        </w:tc>
        <w:tc>
          <w:tcPr>
            <w:tcW w:w="1475" w:type="dxa"/>
            <w:vAlign w:val="center"/>
          </w:tcPr>
          <w:p w:rsidR="006A29F8" w:rsidRDefault="002F1F80">
            <w:pPr>
              <w:jc w:val="center"/>
            </w:pPr>
            <w:r>
              <w:rPr>
                <w:color w:val="000000"/>
                <w:sz w:val="24"/>
                <w:szCs w:val="24"/>
              </w:rPr>
              <w:t>018001</w:t>
            </w:r>
          </w:p>
        </w:tc>
        <w:tc>
          <w:tcPr>
            <w:tcW w:w="1769" w:type="dxa"/>
            <w:vAlign w:val="center"/>
          </w:tcPr>
          <w:p w:rsidR="006A29F8" w:rsidRDefault="002F1F80">
            <w:pPr>
              <w:jc w:val="center"/>
            </w:pPr>
            <w:r>
              <w:rPr>
                <w:color w:val="000000"/>
                <w:sz w:val="24"/>
                <w:szCs w:val="24"/>
              </w:rPr>
              <w:t>国开</w:t>
            </w:r>
            <w:r>
              <w:rPr>
                <w:color w:val="000000"/>
                <w:sz w:val="24"/>
                <w:szCs w:val="24"/>
              </w:rPr>
              <w:t>1301</w:t>
            </w:r>
          </w:p>
        </w:tc>
        <w:tc>
          <w:tcPr>
            <w:tcW w:w="1387" w:type="dxa"/>
            <w:vAlign w:val="center"/>
          </w:tcPr>
          <w:p w:rsidR="006A29F8" w:rsidRDefault="002F1F80">
            <w:pPr>
              <w:jc w:val="right"/>
            </w:pPr>
            <w:r>
              <w:rPr>
                <w:color w:val="000000"/>
                <w:sz w:val="24"/>
                <w:szCs w:val="24"/>
              </w:rPr>
              <w:t>100,000</w:t>
            </w:r>
          </w:p>
        </w:tc>
        <w:tc>
          <w:tcPr>
            <w:tcW w:w="2150" w:type="dxa"/>
            <w:vAlign w:val="center"/>
          </w:tcPr>
          <w:p w:rsidR="006A29F8" w:rsidRDefault="002F1F80">
            <w:pPr>
              <w:jc w:val="right"/>
            </w:pPr>
            <w:r>
              <w:rPr>
                <w:color w:val="000000"/>
                <w:sz w:val="24"/>
                <w:szCs w:val="24"/>
              </w:rPr>
              <w:t>10,091,000.00</w:t>
            </w:r>
          </w:p>
        </w:tc>
        <w:tc>
          <w:tcPr>
            <w:tcW w:w="1237" w:type="dxa"/>
            <w:vAlign w:val="center"/>
          </w:tcPr>
          <w:p w:rsidR="006A29F8" w:rsidRDefault="002F1F80">
            <w:pPr>
              <w:jc w:val="right"/>
            </w:pPr>
            <w:r>
              <w:rPr>
                <w:color w:val="000000"/>
                <w:sz w:val="24"/>
                <w:szCs w:val="24"/>
              </w:rPr>
              <w:t>6.46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145,216.96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1,149,933.20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3,384,883.98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944.34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4,680,978.48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6A29F8">
        <w:trPr>
          <w:jc w:val="center"/>
        </w:trPr>
        <w:tc>
          <w:tcPr>
            <w:tcW w:w="1129" w:type="dxa"/>
            <w:vAlign w:val="center"/>
          </w:tcPr>
          <w:p w:rsidR="006A29F8" w:rsidRDefault="002F1F80">
            <w:pPr>
              <w:jc w:val="center"/>
            </w:pPr>
            <w:r>
              <w:rPr>
                <w:color w:val="000000"/>
                <w:sz w:val="24"/>
                <w:szCs w:val="24"/>
              </w:rPr>
              <w:t>1</w:t>
            </w:r>
          </w:p>
        </w:tc>
        <w:tc>
          <w:tcPr>
            <w:tcW w:w="1356" w:type="dxa"/>
            <w:vAlign w:val="center"/>
          </w:tcPr>
          <w:p w:rsidR="006A29F8" w:rsidRDefault="002F1F80">
            <w:pPr>
              <w:jc w:val="center"/>
            </w:pPr>
            <w:r>
              <w:rPr>
                <w:color w:val="000000"/>
                <w:sz w:val="24"/>
                <w:szCs w:val="24"/>
              </w:rPr>
              <w:t>600565</w:t>
            </w:r>
          </w:p>
        </w:tc>
        <w:tc>
          <w:tcPr>
            <w:tcW w:w="1355" w:type="dxa"/>
            <w:vAlign w:val="center"/>
          </w:tcPr>
          <w:p w:rsidR="006A29F8" w:rsidRDefault="002F1F80">
            <w:pPr>
              <w:jc w:val="center"/>
            </w:pPr>
            <w:r>
              <w:rPr>
                <w:color w:val="000000"/>
                <w:sz w:val="24"/>
                <w:szCs w:val="24"/>
              </w:rPr>
              <w:t>迪马股份</w:t>
            </w:r>
          </w:p>
        </w:tc>
        <w:tc>
          <w:tcPr>
            <w:tcW w:w="1880" w:type="dxa"/>
            <w:vAlign w:val="center"/>
          </w:tcPr>
          <w:p w:rsidR="006A29F8" w:rsidRDefault="002F1F80">
            <w:pPr>
              <w:jc w:val="right"/>
            </w:pPr>
            <w:r>
              <w:rPr>
                <w:color w:val="000000"/>
                <w:sz w:val="24"/>
                <w:szCs w:val="24"/>
              </w:rPr>
              <w:t>3,636,600.00</w:t>
            </w:r>
          </w:p>
        </w:tc>
        <w:tc>
          <w:tcPr>
            <w:tcW w:w="1724" w:type="dxa"/>
            <w:vAlign w:val="center"/>
          </w:tcPr>
          <w:p w:rsidR="006A29F8" w:rsidRDefault="002F1F80">
            <w:pPr>
              <w:jc w:val="right"/>
            </w:pPr>
            <w:r>
              <w:rPr>
                <w:color w:val="000000"/>
                <w:sz w:val="24"/>
                <w:szCs w:val="24"/>
              </w:rPr>
              <w:t>2.33</w:t>
            </w:r>
          </w:p>
        </w:tc>
        <w:tc>
          <w:tcPr>
            <w:tcW w:w="1424" w:type="dxa"/>
            <w:vAlign w:val="center"/>
          </w:tcPr>
          <w:p w:rsidR="006A29F8" w:rsidRDefault="002F1F80">
            <w:pPr>
              <w:jc w:val="right"/>
            </w:pPr>
            <w:r>
              <w:rPr>
                <w:color w:val="000000"/>
                <w:sz w:val="24"/>
                <w:szCs w:val="24"/>
              </w:rPr>
              <w:t>重大事项</w:t>
            </w:r>
          </w:p>
        </w:tc>
      </w:tr>
      <w:tr w:rsidR="006A29F8">
        <w:trPr>
          <w:jc w:val="center"/>
        </w:trPr>
        <w:tc>
          <w:tcPr>
            <w:tcW w:w="1129" w:type="dxa"/>
            <w:vAlign w:val="center"/>
          </w:tcPr>
          <w:p w:rsidR="006A29F8" w:rsidRDefault="002F1F80">
            <w:pPr>
              <w:jc w:val="center"/>
            </w:pPr>
            <w:r>
              <w:rPr>
                <w:color w:val="000000"/>
                <w:sz w:val="24"/>
                <w:szCs w:val="24"/>
              </w:rPr>
              <w:t>2</w:t>
            </w:r>
          </w:p>
        </w:tc>
        <w:tc>
          <w:tcPr>
            <w:tcW w:w="1356" w:type="dxa"/>
            <w:vAlign w:val="center"/>
          </w:tcPr>
          <w:p w:rsidR="006A29F8" w:rsidRDefault="002F1F80">
            <w:pPr>
              <w:jc w:val="center"/>
            </w:pPr>
            <w:r>
              <w:rPr>
                <w:color w:val="000000"/>
                <w:sz w:val="24"/>
                <w:szCs w:val="24"/>
              </w:rPr>
              <w:t>000938</w:t>
            </w:r>
          </w:p>
        </w:tc>
        <w:tc>
          <w:tcPr>
            <w:tcW w:w="1355" w:type="dxa"/>
            <w:vAlign w:val="center"/>
          </w:tcPr>
          <w:p w:rsidR="006A29F8" w:rsidRDefault="002F1F80">
            <w:pPr>
              <w:jc w:val="center"/>
            </w:pPr>
            <w:r>
              <w:rPr>
                <w:color w:val="000000"/>
                <w:sz w:val="24"/>
                <w:szCs w:val="24"/>
              </w:rPr>
              <w:t>紫光股份</w:t>
            </w:r>
          </w:p>
        </w:tc>
        <w:tc>
          <w:tcPr>
            <w:tcW w:w="1880" w:type="dxa"/>
            <w:vAlign w:val="center"/>
          </w:tcPr>
          <w:p w:rsidR="006A29F8" w:rsidRDefault="002F1F80">
            <w:pPr>
              <w:jc w:val="right"/>
            </w:pPr>
            <w:r>
              <w:rPr>
                <w:color w:val="000000"/>
                <w:sz w:val="24"/>
                <w:szCs w:val="24"/>
              </w:rPr>
              <w:t>2,789,055.75</w:t>
            </w:r>
          </w:p>
        </w:tc>
        <w:tc>
          <w:tcPr>
            <w:tcW w:w="1724" w:type="dxa"/>
            <w:vAlign w:val="center"/>
          </w:tcPr>
          <w:p w:rsidR="006A29F8" w:rsidRDefault="002F1F80">
            <w:pPr>
              <w:jc w:val="right"/>
            </w:pPr>
            <w:r>
              <w:rPr>
                <w:color w:val="000000"/>
                <w:sz w:val="24"/>
                <w:szCs w:val="24"/>
              </w:rPr>
              <w:t>1.79</w:t>
            </w:r>
          </w:p>
        </w:tc>
        <w:tc>
          <w:tcPr>
            <w:tcW w:w="1424" w:type="dxa"/>
            <w:vAlign w:val="center"/>
          </w:tcPr>
          <w:p w:rsidR="006A29F8" w:rsidRDefault="002F1F80">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161,842,059.54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10,773,775.20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34,704,862.89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137,910,971.85</w:t>
            </w:r>
          </w:p>
        </w:tc>
      </w:tr>
    </w:tbl>
    <w:p w:rsidR="006A29F8" w:rsidRDefault="002F1F8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F323FF">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6A29F8" w:rsidRDefault="002F1F8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、中国证监会批准交银施罗德荣泰保本混合型证券投资基金募集的文件；</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、《交银施罗德荣泰保本混合型证券投资基金基金合同》；</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、《交银施罗德荣泰保本混合型证券投资基金招募说明书》；</w:t>
      </w:r>
    </w:p>
    <w:p w:rsidR="006A29F8" w:rsidRDefault="002F1F8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、《交银施罗德荣泰保本混合型证券投资基金托管协议》；</w:t>
      </w:r>
      <w:r>
        <w:rPr>
          <w:color w:val="000000"/>
          <w:sz w:val="24"/>
          <w:szCs w:val="24"/>
        </w:rPr>
        <w:t xml:space="preserve"> </w:t>
      </w:r>
    </w:p>
    <w:p w:rsidR="006A29F8" w:rsidRDefault="002F1F80">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6A29F8" w:rsidRDefault="002F1F80">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6A29F8" w:rsidRDefault="002F1F80">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、关于申请募集交银施罗德荣泰保本混合型证券投资基金之法律意见书；</w:t>
      </w:r>
    </w:p>
    <w:p w:rsidR="006A29F8" w:rsidRDefault="002F1F80">
      <w:pPr>
        <w:spacing w:before="29" w:line="288" w:lineRule="auto"/>
        <w:ind w:firstLineChars="200" w:firstLine="480"/>
        <w:rPr>
          <w:color w:val="000000"/>
          <w:sz w:val="24"/>
          <w:szCs w:val="24"/>
        </w:rPr>
      </w:pPr>
      <w:r>
        <w:rPr>
          <w:color w:val="000000"/>
          <w:sz w:val="24"/>
          <w:szCs w:val="24"/>
        </w:rPr>
        <w:lastRenderedPageBreak/>
        <w:t>8</w:t>
      </w:r>
      <w:r>
        <w:rPr>
          <w:color w:val="000000"/>
          <w:sz w:val="24"/>
          <w:szCs w:val="24"/>
        </w:rPr>
        <w:t>、《交银施罗德荣泰保本混合型证券投资基金保证合同》；</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9</w:t>
      </w:r>
      <w:r w:rsidRPr="00414345">
        <w:rPr>
          <w:color w:val="000000"/>
          <w:sz w:val="24"/>
          <w:szCs w:val="24"/>
        </w:rPr>
        <w:t>、报告期内交银施罗德荣泰保本混合型证券投资基金在指定报刊上各项公告的原稿。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6A29F8" w:rsidRDefault="002F1F80">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C2" w:rsidRDefault="004371C2" w:rsidP="00876D65">
      <w:r>
        <w:separator/>
      </w:r>
    </w:p>
  </w:endnote>
  <w:endnote w:type="continuationSeparator" w:id="0">
    <w:p w:rsidR="004371C2" w:rsidRDefault="004371C2"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9734BB">
      <w:rPr>
        <w:kern w:val="0"/>
        <w:szCs w:val="21"/>
      </w:rPr>
      <w:fldChar w:fldCharType="begin"/>
    </w:r>
    <w:r>
      <w:rPr>
        <w:kern w:val="0"/>
        <w:szCs w:val="21"/>
      </w:rPr>
      <w:instrText xml:space="preserve"> PAGE </w:instrText>
    </w:r>
    <w:r w:rsidR="009734BB">
      <w:rPr>
        <w:kern w:val="0"/>
        <w:szCs w:val="21"/>
      </w:rPr>
      <w:fldChar w:fldCharType="separate"/>
    </w:r>
    <w:r w:rsidR="00072E00">
      <w:rPr>
        <w:noProof/>
        <w:kern w:val="0"/>
        <w:szCs w:val="21"/>
      </w:rPr>
      <w:t>1</w:t>
    </w:r>
    <w:r w:rsidR="009734BB">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9734BB">
      <w:rPr>
        <w:kern w:val="0"/>
        <w:szCs w:val="21"/>
      </w:rPr>
      <w:fldChar w:fldCharType="begin"/>
    </w:r>
    <w:r>
      <w:rPr>
        <w:kern w:val="0"/>
        <w:szCs w:val="21"/>
      </w:rPr>
      <w:instrText xml:space="preserve"> NUMPAGES </w:instrText>
    </w:r>
    <w:r w:rsidR="009734BB">
      <w:rPr>
        <w:kern w:val="0"/>
        <w:szCs w:val="21"/>
      </w:rPr>
      <w:fldChar w:fldCharType="separate"/>
    </w:r>
    <w:r w:rsidR="00072E00">
      <w:rPr>
        <w:noProof/>
        <w:kern w:val="0"/>
        <w:szCs w:val="21"/>
      </w:rPr>
      <w:t>12</w:t>
    </w:r>
    <w:r w:rsidR="009734BB">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C2" w:rsidRDefault="004371C2" w:rsidP="00876D65">
      <w:r>
        <w:separator/>
      </w:r>
    </w:p>
  </w:footnote>
  <w:footnote w:type="continuationSeparator" w:id="0">
    <w:p w:rsidR="004371C2" w:rsidRDefault="004371C2"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72E0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3D52"/>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2F1F80"/>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39C6"/>
    <w:rsid w:val="004061AC"/>
    <w:rsid w:val="00410630"/>
    <w:rsid w:val="00414345"/>
    <w:rsid w:val="004149AC"/>
    <w:rsid w:val="0042009D"/>
    <w:rsid w:val="004216D2"/>
    <w:rsid w:val="00421CD2"/>
    <w:rsid w:val="00426096"/>
    <w:rsid w:val="00427F58"/>
    <w:rsid w:val="00433805"/>
    <w:rsid w:val="004371C2"/>
    <w:rsid w:val="00443869"/>
    <w:rsid w:val="00443ABF"/>
    <w:rsid w:val="00460575"/>
    <w:rsid w:val="00463EC0"/>
    <w:rsid w:val="00464787"/>
    <w:rsid w:val="00471408"/>
    <w:rsid w:val="00473DB4"/>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14DB"/>
    <w:rsid w:val="005B2E9C"/>
    <w:rsid w:val="005B3CC0"/>
    <w:rsid w:val="005B4F93"/>
    <w:rsid w:val="005B73D2"/>
    <w:rsid w:val="005D2B36"/>
    <w:rsid w:val="005E475E"/>
    <w:rsid w:val="005F118D"/>
    <w:rsid w:val="005F3996"/>
    <w:rsid w:val="005F444B"/>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29F8"/>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E27B57-CDC1-440B-B13C-B2217A2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CD8E-1CAB-4A50-910B-E8F486FD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12</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563</cp:revision>
  <dcterms:created xsi:type="dcterms:W3CDTF">2012-10-16T06:07:00Z</dcterms:created>
  <dcterms:modified xsi:type="dcterms:W3CDTF">2015-10-22T06:49:00Z</dcterms:modified>
</cp:coreProperties>
</file>