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E3081" w:rsidRDefault="00AB191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9E3081" w:rsidRDefault="00AB191E">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9E3081" w:rsidRDefault="00AB191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9E3081" w:rsidRDefault="00AB191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9E3081" w:rsidRDefault="00AB191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78,998,262.12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中信标普</w:t>
            </w:r>
            <w:r w:rsidRPr="00414345">
              <w:rPr>
                <w:color w:val="000000"/>
                <w:kern w:val="0"/>
                <w:sz w:val="24"/>
                <w:szCs w:val="24"/>
              </w:rPr>
              <w:lastRenderedPageBreak/>
              <w:t>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B247F" w:rsidRPr="00414345" w:rsidTr="00FB247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B247F" w:rsidRPr="00414345" w:rsidTr="00FB24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3,916,791.23</w:t>
            </w:r>
          </w:p>
        </w:tc>
      </w:tr>
      <w:tr w:rsidR="00FB247F" w:rsidRPr="00414345" w:rsidTr="00FB24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-40,584,422.32</w:t>
            </w:r>
          </w:p>
        </w:tc>
      </w:tr>
      <w:tr w:rsidR="00FB247F" w:rsidRPr="00414345" w:rsidTr="00FB24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-0.5149</w:t>
            </w:r>
          </w:p>
        </w:tc>
      </w:tr>
      <w:tr w:rsidR="00FB247F" w:rsidRPr="00414345" w:rsidTr="00FB24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105,385,428.66</w:t>
            </w:r>
          </w:p>
        </w:tc>
      </w:tr>
      <w:tr w:rsidR="00FB247F" w:rsidRPr="00414345" w:rsidTr="00FB247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1.334</w:t>
            </w:r>
          </w:p>
        </w:tc>
      </w:tr>
    </w:tbl>
    <w:p w:rsidR="009E3081" w:rsidRDefault="00AB191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E3081">
        <w:trPr>
          <w:jc w:val="center"/>
        </w:trPr>
        <w:tc>
          <w:tcPr>
            <w:tcW w:w="1701" w:type="dxa"/>
            <w:vAlign w:val="center"/>
          </w:tcPr>
          <w:p w:rsidR="009E3081" w:rsidRDefault="00AB191E">
            <w:pPr>
              <w:jc w:val="left"/>
            </w:pPr>
            <w:r>
              <w:rPr>
                <w:color w:val="000000"/>
                <w:sz w:val="24"/>
                <w:szCs w:val="24"/>
              </w:rPr>
              <w:t>过去三个月</w:t>
            </w:r>
          </w:p>
        </w:tc>
        <w:tc>
          <w:tcPr>
            <w:tcW w:w="1045" w:type="dxa"/>
            <w:vAlign w:val="center"/>
          </w:tcPr>
          <w:p w:rsidR="009E3081" w:rsidRDefault="00AB191E">
            <w:pPr>
              <w:jc w:val="center"/>
            </w:pPr>
            <w:r>
              <w:rPr>
                <w:color w:val="000000"/>
                <w:sz w:val="24"/>
                <w:szCs w:val="24"/>
              </w:rPr>
              <w:t>-25.31%</w:t>
            </w:r>
          </w:p>
        </w:tc>
        <w:tc>
          <w:tcPr>
            <w:tcW w:w="1344" w:type="dxa"/>
            <w:vAlign w:val="center"/>
          </w:tcPr>
          <w:p w:rsidR="009E3081" w:rsidRDefault="00AB191E">
            <w:pPr>
              <w:jc w:val="center"/>
            </w:pPr>
            <w:r>
              <w:rPr>
                <w:color w:val="000000"/>
                <w:sz w:val="24"/>
                <w:szCs w:val="24"/>
              </w:rPr>
              <w:t>3.90%</w:t>
            </w:r>
          </w:p>
        </w:tc>
        <w:tc>
          <w:tcPr>
            <w:tcW w:w="1194" w:type="dxa"/>
            <w:vAlign w:val="center"/>
          </w:tcPr>
          <w:p w:rsidR="009E3081" w:rsidRDefault="00AB191E">
            <w:pPr>
              <w:jc w:val="center"/>
            </w:pPr>
            <w:r>
              <w:rPr>
                <w:color w:val="000000"/>
                <w:sz w:val="24"/>
                <w:szCs w:val="24"/>
              </w:rPr>
              <w:t>-23.50%</w:t>
            </w:r>
          </w:p>
        </w:tc>
        <w:tc>
          <w:tcPr>
            <w:tcW w:w="1492" w:type="dxa"/>
            <w:vAlign w:val="center"/>
          </w:tcPr>
          <w:p w:rsidR="009E3081" w:rsidRDefault="00AB191E">
            <w:pPr>
              <w:jc w:val="center"/>
            </w:pPr>
            <w:r>
              <w:rPr>
                <w:color w:val="000000"/>
                <w:sz w:val="24"/>
                <w:szCs w:val="24"/>
              </w:rPr>
              <w:t>2.72%</w:t>
            </w:r>
          </w:p>
        </w:tc>
        <w:tc>
          <w:tcPr>
            <w:tcW w:w="1194" w:type="dxa"/>
            <w:vAlign w:val="center"/>
          </w:tcPr>
          <w:p w:rsidR="009E3081" w:rsidRDefault="00AB191E">
            <w:pPr>
              <w:jc w:val="center"/>
            </w:pPr>
            <w:r>
              <w:rPr>
                <w:color w:val="000000"/>
                <w:sz w:val="24"/>
                <w:szCs w:val="24"/>
              </w:rPr>
              <w:t>-1.81%</w:t>
            </w:r>
          </w:p>
        </w:tc>
        <w:tc>
          <w:tcPr>
            <w:tcW w:w="898" w:type="dxa"/>
            <w:vAlign w:val="center"/>
          </w:tcPr>
          <w:p w:rsidR="009E3081" w:rsidRDefault="00AB191E">
            <w:pPr>
              <w:jc w:val="center"/>
            </w:pPr>
            <w:r>
              <w:rPr>
                <w:color w:val="000000"/>
                <w:sz w:val="24"/>
                <w:szCs w:val="24"/>
              </w:rPr>
              <w:t>1.18%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F63EEE" w:rsidP="00C15CAC">
      <w:pPr>
        <w:pStyle w:val="a5"/>
        <w:snapToGrid w:val="0"/>
        <w:spacing w:before="29" w:line="288" w:lineRule="auto"/>
        <w:jc w:val="center"/>
        <w:rPr>
          <w:rFonts w:ascii="Times New Roman" w:hAnsi="Times New Roman" w:cs="Times New Roman"/>
          <w:color w:val="000000"/>
          <w:sz w:val="24"/>
          <w:szCs w:val="24"/>
        </w:rPr>
      </w:pPr>
      <w:r>
        <w:rPr>
          <w:noProof/>
        </w:rPr>
        <w:drawing>
          <wp:inline distT="0" distB="0" distL="0" distR="0" wp14:anchorId="7C285971" wp14:editId="32FC4D8C">
            <wp:extent cx="5274310" cy="3083982"/>
            <wp:effectExtent l="19050" t="0" r="254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r:link="rId11" cstate="print"/>
                    <a:srcRect/>
                    <a:stretch>
                      <a:fillRect/>
                    </a:stretch>
                  </pic:blipFill>
                  <pic:spPr bwMode="auto">
                    <a:xfrm>
                      <a:off x="0" y="0"/>
                      <a:ext cx="5274310" cy="3083982"/>
                    </a:xfrm>
                    <a:prstGeom prst="rect">
                      <a:avLst/>
                    </a:prstGeom>
                    <a:noFill/>
                    <a:ln w="9525">
                      <a:noFill/>
                      <a:miter lim="800000"/>
                      <a:headEnd/>
                      <a:tailEnd/>
                    </a:ln>
                  </pic:spPr>
                </pic:pic>
              </a:graphicData>
            </a:graphic>
          </wp:inline>
        </w:drawing>
      </w:r>
    </w:p>
    <w:p w:rsidR="00FB247F"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57482C">
      <w:pPr>
        <w:autoSpaceDE w:val="0"/>
        <w:autoSpaceDN w:val="0"/>
        <w:adjustRightInd w:val="0"/>
        <w:spacing w:before="29" w:line="288" w:lineRule="auto"/>
        <w:jc w:val="left"/>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E3081">
        <w:trPr>
          <w:jc w:val="center"/>
        </w:trPr>
        <w:tc>
          <w:tcPr>
            <w:tcW w:w="846" w:type="dxa"/>
            <w:vAlign w:val="center"/>
          </w:tcPr>
          <w:p w:rsidR="009E3081" w:rsidRDefault="00AB191E">
            <w:pPr>
              <w:jc w:val="center"/>
            </w:pPr>
            <w:r>
              <w:rPr>
                <w:color w:val="000000"/>
                <w:sz w:val="24"/>
                <w:szCs w:val="24"/>
              </w:rPr>
              <w:t>王少成</w:t>
            </w:r>
          </w:p>
        </w:tc>
        <w:tc>
          <w:tcPr>
            <w:tcW w:w="845" w:type="dxa"/>
            <w:vAlign w:val="center"/>
          </w:tcPr>
          <w:p w:rsidR="009E3081" w:rsidRDefault="00AB191E">
            <w:pPr>
              <w:jc w:val="center"/>
            </w:pPr>
            <w:r>
              <w:rPr>
                <w:color w:val="000000"/>
                <w:sz w:val="24"/>
                <w:szCs w:val="24"/>
              </w:rPr>
              <w:t>交银成长混合、交银成长</w:t>
            </w:r>
            <w:r>
              <w:rPr>
                <w:color w:val="000000"/>
                <w:sz w:val="24"/>
                <w:szCs w:val="24"/>
              </w:rPr>
              <w:t>30</w:t>
            </w:r>
            <w:r>
              <w:rPr>
                <w:color w:val="000000"/>
                <w:sz w:val="24"/>
                <w:szCs w:val="24"/>
              </w:rPr>
              <w:t>混合的基金经理，公司权益投资总监</w:t>
            </w:r>
          </w:p>
        </w:tc>
        <w:tc>
          <w:tcPr>
            <w:tcW w:w="1549" w:type="dxa"/>
            <w:vAlign w:val="center"/>
          </w:tcPr>
          <w:p w:rsidR="009E3081" w:rsidRDefault="00AB191E">
            <w:pPr>
              <w:jc w:val="center"/>
            </w:pPr>
            <w:r>
              <w:rPr>
                <w:color w:val="000000"/>
                <w:sz w:val="24"/>
                <w:szCs w:val="24"/>
              </w:rPr>
              <w:t>2013-07-02</w:t>
            </w:r>
          </w:p>
        </w:tc>
        <w:tc>
          <w:tcPr>
            <w:tcW w:w="1548" w:type="dxa"/>
            <w:vAlign w:val="center"/>
          </w:tcPr>
          <w:p w:rsidR="009E3081" w:rsidRDefault="00AB191E">
            <w:pPr>
              <w:jc w:val="center"/>
            </w:pPr>
            <w:r>
              <w:rPr>
                <w:color w:val="000000"/>
                <w:sz w:val="24"/>
                <w:szCs w:val="24"/>
              </w:rPr>
              <w:t>-</w:t>
            </w:r>
          </w:p>
        </w:tc>
        <w:tc>
          <w:tcPr>
            <w:tcW w:w="1407" w:type="dxa"/>
            <w:vAlign w:val="center"/>
          </w:tcPr>
          <w:p w:rsidR="009E3081" w:rsidRDefault="00AB191E">
            <w:pPr>
              <w:jc w:val="center"/>
            </w:pPr>
            <w:r>
              <w:rPr>
                <w:color w:val="000000"/>
                <w:sz w:val="24"/>
                <w:szCs w:val="24"/>
              </w:rPr>
              <w:t>11</w:t>
            </w:r>
            <w:r>
              <w:rPr>
                <w:color w:val="000000"/>
                <w:sz w:val="24"/>
                <w:szCs w:val="24"/>
              </w:rPr>
              <w:t>年</w:t>
            </w:r>
          </w:p>
        </w:tc>
        <w:tc>
          <w:tcPr>
            <w:tcW w:w="2673" w:type="dxa"/>
            <w:vAlign w:val="center"/>
          </w:tcPr>
          <w:p w:rsidR="009E3081" w:rsidRDefault="00AB191E">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E3081" w:rsidRDefault="00AB191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E3081" w:rsidRDefault="00AB191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E3081" w:rsidRDefault="00AB191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E3081" w:rsidRDefault="00AB191E">
      <w:pPr>
        <w:spacing w:before="29" w:line="288" w:lineRule="auto"/>
        <w:ind w:firstLineChars="200" w:firstLine="480"/>
        <w:rPr>
          <w:color w:val="000000"/>
          <w:sz w:val="24"/>
          <w:szCs w:val="24"/>
        </w:rPr>
      </w:pPr>
      <w:r>
        <w:rPr>
          <w:color w:val="000000"/>
          <w:sz w:val="24"/>
          <w:szCs w:val="24"/>
        </w:rPr>
        <w:t>2015</w:t>
      </w:r>
      <w:r>
        <w:rPr>
          <w:color w:val="000000"/>
          <w:sz w:val="24"/>
          <w:szCs w:val="24"/>
        </w:rPr>
        <w:t>年三季度</w:t>
      </w:r>
      <w:r>
        <w:rPr>
          <w:color w:val="000000"/>
          <w:sz w:val="24"/>
          <w:szCs w:val="24"/>
        </w:rPr>
        <w:t>A</w:t>
      </w:r>
      <w:r>
        <w:rPr>
          <w:color w:val="000000"/>
          <w:sz w:val="24"/>
          <w:szCs w:val="24"/>
        </w:rPr>
        <w:t>股市场再次经历了快速回调。在美元升值周期背景下，全球资金出现系统性的从新兴市场到发达国家市场再配置过程。在中国汇率改革的刺激下，</w:t>
      </w:r>
      <w:r>
        <w:rPr>
          <w:color w:val="000000"/>
          <w:sz w:val="24"/>
          <w:szCs w:val="24"/>
        </w:rPr>
        <w:t>8</w:t>
      </w:r>
      <w:r>
        <w:rPr>
          <w:color w:val="000000"/>
          <w:sz w:val="24"/>
          <w:szCs w:val="24"/>
        </w:rPr>
        <w:t>月国内资本外流的压力陡然增加，在中国政府的强力干预下，</w:t>
      </w:r>
      <w:r>
        <w:rPr>
          <w:color w:val="000000"/>
          <w:sz w:val="24"/>
          <w:szCs w:val="24"/>
        </w:rPr>
        <w:t>9</w:t>
      </w:r>
      <w:r>
        <w:rPr>
          <w:color w:val="000000"/>
          <w:sz w:val="24"/>
          <w:szCs w:val="24"/>
        </w:rPr>
        <w:t>月份外流量有所下降，但依然处于历史同期较高水平。对于发达经济体来说，宽松货币政策对促增长的边际效果持续下降，多年宽松货币政策在各个市场层面驱动的资产价格泡沫如何持续成为一个显性的问题；对于新兴市场国家来说，各层面的脆弱性在如何应对当下显著增加的波动性方面成为一个现实的挑战。</w:t>
      </w:r>
    </w:p>
    <w:p w:rsidR="009E3081" w:rsidRDefault="00AB191E">
      <w:pPr>
        <w:spacing w:before="29" w:line="288" w:lineRule="auto"/>
        <w:ind w:firstLineChars="200" w:firstLine="480"/>
        <w:rPr>
          <w:color w:val="000000"/>
          <w:sz w:val="24"/>
          <w:szCs w:val="24"/>
        </w:rPr>
      </w:pPr>
      <w:r>
        <w:rPr>
          <w:color w:val="000000"/>
          <w:sz w:val="24"/>
          <w:szCs w:val="24"/>
        </w:rPr>
        <w:t>本基金三季度保持在低仓位运行。操作上进行了结构性的微调，增持了部分国企改革和景气程度较高的新兴行业个股。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w:t>
      </w:r>
      <w:r w:rsidRPr="00414345">
        <w:rPr>
          <w:color w:val="000000"/>
          <w:sz w:val="24"/>
          <w:szCs w:val="24"/>
        </w:rPr>
        <w:t>A</w:t>
      </w:r>
      <w:r w:rsidRPr="00414345">
        <w:rPr>
          <w:color w:val="000000"/>
          <w:sz w:val="24"/>
          <w:szCs w:val="24"/>
        </w:rPr>
        <w:t>股或将经历显著的筑底过程。在摆脱汇率约束后，由于国内宏观经济内生增长动力不足，持续的财政和货币政策放松可能是一个必然的选择。实际的效果需要持续观察，目前的经济状况，存在持续倒逼改革的可能性。</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1.334</w:t>
      </w:r>
      <w:r w:rsidRPr="00414345">
        <w:rPr>
          <w:color w:val="000000"/>
          <w:sz w:val="24"/>
          <w:szCs w:val="24"/>
        </w:rPr>
        <w:t>元，本报告期份额净值增长率为</w:t>
      </w:r>
      <w:r w:rsidRPr="00414345">
        <w:rPr>
          <w:color w:val="000000"/>
          <w:sz w:val="24"/>
          <w:szCs w:val="24"/>
        </w:rPr>
        <w:t>-25.31%</w:t>
      </w:r>
      <w:r w:rsidRPr="00414345">
        <w:rPr>
          <w:color w:val="000000"/>
          <w:sz w:val="24"/>
          <w:szCs w:val="24"/>
        </w:rPr>
        <w:t>，同期业绩比较基准增长率为</w:t>
      </w:r>
      <w:r w:rsidRPr="00414345">
        <w:rPr>
          <w:color w:val="000000"/>
          <w:sz w:val="24"/>
          <w:szCs w:val="24"/>
        </w:rPr>
        <w:t>-23.5</w:t>
      </w:r>
      <w:r w:rsidR="000E12D7">
        <w:rPr>
          <w:color w:val="000000"/>
          <w:sz w:val="24"/>
          <w:szCs w:val="24"/>
        </w:rPr>
        <w:t>0</w:t>
      </w:r>
      <w:r w:rsidRPr="00414345">
        <w:rPr>
          <w:color w:val="000000"/>
          <w:sz w:val="24"/>
          <w:szCs w:val="24"/>
        </w:rPr>
        <w:t>%</w:t>
      </w:r>
      <w:r w:rsidRPr="00414345">
        <w:rPr>
          <w:color w:val="000000"/>
          <w:sz w:val="24"/>
          <w:szCs w:val="24"/>
        </w:rPr>
        <w:t>。</w:t>
      </w:r>
    </w:p>
    <w:p w:rsidR="009C5186" w:rsidRPr="003942C1"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72,668,835.65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68.64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72,668,835.65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68.64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33,130,229.23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31.29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67,942.82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105,867,007.70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47,075,949.83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3,271,696.38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3,566,393.08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2,241,864.00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14,512,525.00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2,000,407.36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72,668,835.65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68.96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E3081">
        <w:trPr>
          <w:jc w:val="center"/>
        </w:trPr>
        <w:tc>
          <w:tcPr>
            <w:tcW w:w="855" w:type="dxa"/>
            <w:vAlign w:val="center"/>
          </w:tcPr>
          <w:p w:rsidR="009E3081" w:rsidRDefault="00AB191E">
            <w:pPr>
              <w:jc w:val="center"/>
            </w:pPr>
            <w:r>
              <w:rPr>
                <w:color w:val="000000"/>
                <w:sz w:val="24"/>
                <w:szCs w:val="24"/>
              </w:rPr>
              <w:t>1</w:t>
            </w:r>
          </w:p>
        </w:tc>
        <w:tc>
          <w:tcPr>
            <w:tcW w:w="1334" w:type="dxa"/>
            <w:vAlign w:val="center"/>
          </w:tcPr>
          <w:p w:rsidR="009E3081" w:rsidRDefault="00AB191E">
            <w:pPr>
              <w:jc w:val="center"/>
            </w:pPr>
            <w:r>
              <w:rPr>
                <w:color w:val="000000"/>
                <w:sz w:val="24"/>
                <w:szCs w:val="24"/>
              </w:rPr>
              <w:t>600763</w:t>
            </w:r>
          </w:p>
        </w:tc>
        <w:tc>
          <w:tcPr>
            <w:tcW w:w="1777" w:type="dxa"/>
            <w:vAlign w:val="center"/>
          </w:tcPr>
          <w:p w:rsidR="009E3081" w:rsidRDefault="00AB191E">
            <w:pPr>
              <w:jc w:val="center"/>
            </w:pPr>
            <w:r>
              <w:rPr>
                <w:color w:val="000000"/>
                <w:sz w:val="24"/>
                <w:szCs w:val="24"/>
              </w:rPr>
              <w:t>通策医疗</w:t>
            </w:r>
          </w:p>
        </w:tc>
        <w:tc>
          <w:tcPr>
            <w:tcW w:w="1334" w:type="dxa"/>
            <w:vAlign w:val="center"/>
          </w:tcPr>
          <w:p w:rsidR="009E3081" w:rsidRDefault="00AB191E">
            <w:pPr>
              <w:jc w:val="right"/>
            </w:pPr>
            <w:r>
              <w:rPr>
                <w:color w:val="000000"/>
                <w:sz w:val="24"/>
                <w:szCs w:val="24"/>
              </w:rPr>
              <w:t>196,780</w:t>
            </w:r>
          </w:p>
        </w:tc>
        <w:tc>
          <w:tcPr>
            <w:tcW w:w="1924" w:type="dxa"/>
            <w:vAlign w:val="center"/>
          </w:tcPr>
          <w:p w:rsidR="009E3081" w:rsidRDefault="00AB191E">
            <w:pPr>
              <w:jc w:val="right"/>
            </w:pPr>
            <w:r>
              <w:rPr>
                <w:color w:val="000000"/>
                <w:sz w:val="24"/>
                <w:szCs w:val="24"/>
              </w:rPr>
              <w:t>14,512,525.00</w:t>
            </w:r>
          </w:p>
        </w:tc>
        <w:tc>
          <w:tcPr>
            <w:tcW w:w="1644" w:type="dxa"/>
            <w:vAlign w:val="center"/>
          </w:tcPr>
          <w:p w:rsidR="009E3081" w:rsidRDefault="00AB191E">
            <w:pPr>
              <w:jc w:val="right"/>
            </w:pPr>
            <w:r>
              <w:rPr>
                <w:color w:val="000000"/>
                <w:sz w:val="24"/>
                <w:szCs w:val="24"/>
              </w:rPr>
              <w:t>13.77</w:t>
            </w:r>
          </w:p>
        </w:tc>
      </w:tr>
      <w:tr w:rsidR="009E3081">
        <w:trPr>
          <w:jc w:val="center"/>
        </w:trPr>
        <w:tc>
          <w:tcPr>
            <w:tcW w:w="855" w:type="dxa"/>
            <w:vAlign w:val="center"/>
          </w:tcPr>
          <w:p w:rsidR="009E3081" w:rsidRDefault="00AB191E">
            <w:pPr>
              <w:jc w:val="center"/>
            </w:pPr>
            <w:r>
              <w:rPr>
                <w:color w:val="000000"/>
                <w:sz w:val="24"/>
                <w:szCs w:val="24"/>
              </w:rPr>
              <w:t>2</w:t>
            </w:r>
          </w:p>
        </w:tc>
        <w:tc>
          <w:tcPr>
            <w:tcW w:w="1334" w:type="dxa"/>
            <w:vAlign w:val="center"/>
          </w:tcPr>
          <w:p w:rsidR="009E3081" w:rsidRDefault="00AB191E">
            <w:pPr>
              <w:jc w:val="center"/>
            </w:pPr>
            <w:r>
              <w:rPr>
                <w:color w:val="000000"/>
                <w:sz w:val="24"/>
                <w:szCs w:val="24"/>
              </w:rPr>
              <w:t>600967</w:t>
            </w:r>
          </w:p>
        </w:tc>
        <w:tc>
          <w:tcPr>
            <w:tcW w:w="1777" w:type="dxa"/>
            <w:vAlign w:val="center"/>
          </w:tcPr>
          <w:p w:rsidR="009E3081" w:rsidRDefault="00AB191E">
            <w:pPr>
              <w:jc w:val="center"/>
            </w:pPr>
            <w:r>
              <w:rPr>
                <w:color w:val="000000"/>
                <w:sz w:val="24"/>
                <w:szCs w:val="24"/>
              </w:rPr>
              <w:t>北方创业</w:t>
            </w:r>
          </w:p>
        </w:tc>
        <w:tc>
          <w:tcPr>
            <w:tcW w:w="1334" w:type="dxa"/>
            <w:vAlign w:val="center"/>
          </w:tcPr>
          <w:p w:rsidR="009E3081" w:rsidRDefault="00AB191E">
            <w:pPr>
              <w:jc w:val="right"/>
            </w:pPr>
            <w:r>
              <w:rPr>
                <w:color w:val="000000"/>
                <w:sz w:val="24"/>
                <w:szCs w:val="24"/>
              </w:rPr>
              <w:t>924,712</w:t>
            </w:r>
          </w:p>
        </w:tc>
        <w:tc>
          <w:tcPr>
            <w:tcW w:w="1924" w:type="dxa"/>
            <w:vAlign w:val="center"/>
          </w:tcPr>
          <w:p w:rsidR="009E3081" w:rsidRDefault="00AB191E">
            <w:pPr>
              <w:jc w:val="right"/>
            </w:pPr>
            <w:r>
              <w:rPr>
                <w:color w:val="000000"/>
                <w:sz w:val="24"/>
                <w:szCs w:val="24"/>
              </w:rPr>
              <w:t>13,140,157.52</w:t>
            </w:r>
          </w:p>
        </w:tc>
        <w:tc>
          <w:tcPr>
            <w:tcW w:w="1644" w:type="dxa"/>
            <w:vAlign w:val="center"/>
          </w:tcPr>
          <w:p w:rsidR="009E3081" w:rsidRDefault="00AB191E">
            <w:pPr>
              <w:jc w:val="right"/>
            </w:pPr>
            <w:r>
              <w:rPr>
                <w:color w:val="000000"/>
                <w:sz w:val="24"/>
                <w:szCs w:val="24"/>
              </w:rPr>
              <w:t>12.47</w:t>
            </w:r>
          </w:p>
        </w:tc>
      </w:tr>
      <w:tr w:rsidR="009E3081">
        <w:trPr>
          <w:jc w:val="center"/>
        </w:trPr>
        <w:tc>
          <w:tcPr>
            <w:tcW w:w="855" w:type="dxa"/>
            <w:vAlign w:val="center"/>
          </w:tcPr>
          <w:p w:rsidR="009E3081" w:rsidRDefault="00AB191E">
            <w:pPr>
              <w:jc w:val="center"/>
            </w:pPr>
            <w:r>
              <w:rPr>
                <w:color w:val="000000"/>
                <w:sz w:val="24"/>
                <w:szCs w:val="24"/>
              </w:rPr>
              <w:t>3</w:t>
            </w:r>
          </w:p>
        </w:tc>
        <w:tc>
          <w:tcPr>
            <w:tcW w:w="1334" w:type="dxa"/>
            <w:vAlign w:val="center"/>
          </w:tcPr>
          <w:p w:rsidR="009E3081" w:rsidRDefault="00AB191E">
            <w:pPr>
              <w:jc w:val="center"/>
            </w:pPr>
            <w:r>
              <w:rPr>
                <w:color w:val="000000"/>
                <w:sz w:val="24"/>
                <w:szCs w:val="24"/>
              </w:rPr>
              <w:t>600389</w:t>
            </w:r>
          </w:p>
        </w:tc>
        <w:tc>
          <w:tcPr>
            <w:tcW w:w="1777" w:type="dxa"/>
            <w:vAlign w:val="center"/>
          </w:tcPr>
          <w:p w:rsidR="009E3081" w:rsidRDefault="00AB191E">
            <w:pPr>
              <w:jc w:val="center"/>
            </w:pPr>
            <w:r>
              <w:rPr>
                <w:color w:val="000000"/>
                <w:sz w:val="24"/>
                <w:szCs w:val="24"/>
              </w:rPr>
              <w:t>江山股份</w:t>
            </w:r>
          </w:p>
        </w:tc>
        <w:tc>
          <w:tcPr>
            <w:tcW w:w="1334" w:type="dxa"/>
            <w:vAlign w:val="center"/>
          </w:tcPr>
          <w:p w:rsidR="009E3081" w:rsidRDefault="00AB191E">
            <w:pPr>
              <w:jc w:val="right"/>
            </w:pPr>
            <w:r>
              <w:rPr>
                <w:color w:val="000000"/>
                <w:sz w:val="24"/>
                <w:szCs w:val="24"/>
              </w:rPr>
              <w:t>511,215</w:t>
            </w:r>
          </w:p>
        </w:tc>
        <w:tc>
          <w:tcPr>
            <w:tcW w:w="1924" w:type="dxa"/>
            <w:vAlign w:val="center"/>
          </w:tcPr>
          <w:p w:rsidR="009E3081" w:rsidRDefault="00AB191E">
            <w:pPr>
              <w:jc w:val="right"/>
            </w:pPr>
            <w:r>
              <w:rPr>
                <w:color w:val="000000"/>
                <w:sz w:val="24"/>
                <w:szCs w:val="24"/>
              </w:rPr>
              <w:t>10,157,842.05</w:t>
            </w:r>
          </w:p>
        </w:tc>
        <w:tc>
          <w:tcPr>
            <w:tcW w:w="1644" w:type="dxa"/>
            <w:vAlign w:val="center"/>
          </w:tcPr>
          <w:p w:rsidR="009E3081" w:rsidRDefault="00AB191E">
            <w:pPr>
              <w:jc w:val="right"/>
            </w:pPr>
            <w:r>
              <w:rPr>
                <w:color w:val="000000"/>
                <w:sz w:val="24"/>
                <w:szCs w:val="24"/>
              </w:rPr>
              <w:t>9.64</w:t>
            </w:r>
          </w:p>
        </w:tc>
      </w:tr>
      <w:tr w:rsidR="009E3081">
        <w:trPr>
          <w:jc w:val="center"/>
        </w:trPr>
        <w:tc>
          <w:tcPr>
            <w:tcW w:w="855" w:type="dxa"/>
            <w:vAlign w:val="center"/>
          </w:tcPr>
          <w:p w:rsidR="009E3081" w:rsidRDefault="00AB191E">
            <w:pPr>
              <w:jc w:val="center"/>
            </w:pPr>
            <w:r>
              <w:rPr>
                <w:color w:val="000000"/>
                <w:sz w:val="24"/>
                <w:szCs w:val="24"/>
              </w:rPr>
              <w:t>4</w:t>
            </w:r>
          </w:p>
        </w:tc>
        <w:tc>
          <w:tcPr>
            <w:tcW w:w="1334" w:type="dxa"/>
            <w:vAlign w:val="center"/>
          </w:tcPr>
          <w:p w:rsidR="009E3081" w:rsidRDefault="00AB191E">
            <w:pPr>
              <w:jc w:val="center"/>
            </w:pPr>
            <w:r>
              <w:rPr>
                <w:color w:val="000000"/>
                <w:sz w:val="24"/>
                <w:szCs w:val="24"/>
              </w:rPr>
              <w:t>300005</w:t>
            </w:r>
          </w:p>
        </w:tc>
        <w:tc>
          <w:tcPr>
            <w:tcW w:w="1777" w:type="dxa"/>
            <w:vAlign w:val="center"/>
          </w:tcPr>
          <w:p w:rsidR="009E3081" w:rsidRDefault="00AB191E">
            <w:pPr>
              <w:jc w:val="center"/>
            </w:pPr>
            <w:r>
              <w:rPr>
                <w:color w:val="000000"/>
                <w:sz w:val="24"/>
                <w:szCs w:val="24"/>
              </w:rPr>
              <w:t>探路者</w:t>
            </w:r>
          </w:p>
        </w:tc>
        <w:tc>
          <w:tcPr>
            <w:tcW w:w="1334" w:type="dxa"/>
            <w:vAlign w:val="center"/>
          </w:tcPr>
          <w:p w:rsidR="009E3081" w:rsidRDefault="00AB191E">
            <w:pPr>
              <w:jc w:val="right"/>
            </w:pPr>
            <w:r>
              <w:rPr>
                <w:color w:val="000000"/>
                <w:sz w:val="24"/>
                <w:szCs w:val="24"/>
              </w:rPr>
              <w:t>251,652</w:t>
            </w:r>
          </w:p>
        </w:tc>
        <w:tc>
          <w:tcPr>
            <w:tcW w:w="1924" w:type="dxa"/>
            <w:vAlign w:val="center"/>
          </w:tcPr>
          <w:p w:rsidR="009E3081" w:rsidRDefault="00AB191E">
            <w:pPr>
              <w:jc w:val="right"/>
            </w:pPr>
            <w:r>
              <w:rPr>
                <w:color w:val="000000"/>
                <w:sz w:val="24"/>
                <w:szCs w:val="24"/>
              </w:rPr>
              <w:t>4,353,579.60</w:t>
            </w:r>
          </w:p>
        </w:tc>
        <w:tc>
          <w:tcPr>
            <w:tcW w:w="1644" w:type="dxa"/>
            <w:vAlign w:val="center"/>
          </w:tcPr>
          <w:p w:rsidR="009E3081" w:rsidRDefault="00AB191E">
            <w:pPr>
              <w:jc w:val="right"/>
            </w:pPr>
            <w:r>
              <w:rPr>
                <w:color w:val="000000"/>
                <w:sz w:val="24"/>
                <w:szCs w:val="24"/>
              </w:rPr>
              <w:t>4.13</w:t>
            </w:r>
          </w:p>
        </w:tc>
      </w:tr>
      <w:tr w:rsidR="009E3081">
        <w:trPr>
          <w:jc w:val="center"/>
        </w:trPr>
        <w:tc>
          <w:tcPr>
            <w:tcW w:w="855" w:type="dxa"/>
            <w:vAlign w:val="center"/>
          </w:tcPr>
          <w:p w:rsidR="009E3081" w:rsidRDefault="00AB191E">
            <w:pPr>
              <w:jc w:val="center"/>
            </w:pPr>
            <w:r>
              <w:rPr>
                <w:color w:val="000000"/>
                <w:sz w:val="24"/>
                <w:szCs w:val="24"/>
              </w:rPr>
              <w:t>5</w:t>
            </w:r>
          </w:p>
        </w:tc>
        <w:tc>
          <w:tcPr>
            <w:tcW w:w="1334" w:type="dxa"/>
            <w:vAlign w:val="center"/>
          </w:tcPr>
          <w:p w:rsidR="009E3081" w:rsidRDefault="00AB191E">
            <w:pPr>
              <w:jc w:val="center"/>
            </w:pPr>
            <w:r>
              <w:rPr>
                <w:color w:val="000000"/>
                <w:sz w:val="24"/>
                <w:szCs w:val="24"/>
              </w:rPr>
              <w:t>603555</w:t>
            </w:r>
          </w:p>
        </w:tc>
        <w:tc>
          <w:tcPr>
            <w:tcW w:w="1777" w:type="dxa"/>
            <w:vAlign w:val="center"/>
          </w:tcPr>
          <w:p w:rsidR="009E3081" w:rsidRDefault="00AB191E">
            <w:pPr>
              <w:jc w:val="center"/>
            </w:pPr>
            <w:r>
              <w:rPr>
                <w:color w:val="000000"/>
                <w:sz w:val="24"/>
                <w:szCs w:val="24"/>
              </w:rPr>
              <w:t>贵人鸟</w:t>
            </w:r>
          </w:p>
        </w:tc>
        <w:tc>
          <w:tcPr>
            <w:tcW w:w="1334" w:type="dxa"/>
            <w:vAlign w:val="center"/>
          </w:tcPr>
          <w:p w:rsidR="009E3081" w:rsidRDefault="00AB191E">
            <w:pPr>
              <w:jc w:val="right"/>
            </w:pPr>
            <w:r>
              <w:rPr>
                <w:color w:val="000000"/>
                <w:sz w:val="24"/>
                <w:szCs w:val="24"/>
              </w:rPr>
              <w:t>164,900</w:t>
            </w:r>
          </w:p>
        </w:tc>
        <w:tc>
          <w:tcPr>
            <w:tcW w:w="1924" w:type="dxa"/>
            <w:vAlign w:val="center"/>
          </w:tcPr>
          <w:p w:rsidR="009E3081" w:rsidRDefault="00AB191E">
            <w:pPr>
              <w:jc w:val="right"/>
            </w:pPr>
            <w:r>
              <w:rPr>
                <w:color w:val="000000"/>
                <w:sz w:val="24"/>
                <w:szCs w:val="24"/>
              </w:rPr>
              <w:t>4,076,328.00</w:t>
            </w:r>
          </w:p>
        </w:tc>
        <w:tc>
          <w:tcPr>
            <w:tcW w:w="1644" w:type="dxa"/>
            <w:vAlign w:val="center"/>
          </w:tcPr>
          <w:p w:rsidR="009E3081" w:rsidRDefault="00AB191E">
            <w:pPr>
              <w:jc w:val="right"/>
            </w:pPr>
            <w:r>
              <w:rPr>
                <w:color w:val="000000"/>
                <w:sz w:val="24"/>
                <w:szCs w:val="24"/>
              </w:rPr>
              <w:t>3.87</w:t>
            </w:r>
          </w:p>
        </w:tc>
      </w:tr>
      <w:tr w:rsidR="009E3081">
        <w:trPr>
          <w:jc w:val="center"/>
        </w:trPr>
        <w:tc>
          <w:tcPr>
            <w:tcW w:w="855" w:type="dxa"/>
            <w:vAlign w:val="center"/>
          </w:tcPr>
          <w:p w:rsidR="009E3081" w:rsidRDefault="00AB191E">
            <w:pPr>
              <w:jc w:val="center"/>
            </w:pPr>
            <w:r>
              <w:rPr>
                <w:color w:val="000000"/>
                <w:sz w:val="24"/>
                <w:szCs w:val="24"/>
              </w:rPr>
              <w:t>6</w:t>
            </w:r>
          </w:p>
        </w:tc>
        <w:tc>
          <w:tcPr>
            <w:tcW w:w="1334" w:type="dxa"/>
            <w:vAlign w:val="center"/>
          </w:tcPr>
          <w:p w:rsidR="009E3081" w:rsidRDefault="00AB191E">
            <w:pPr>
              <w:jc w:val="center"/>
            </w:pPr>
            <w:r>
              <w:rPr>
                <w:color w:val="000000"/>
                <w:sz w:val="24"/>
                <w:szCs w:val="24"/>
              </w:rPr>
              <w:t>000061</w:t>
            </w:r>
          </w:p>
        </w:tc>
        <w:tc>
          <w:tcPr>
            <w:tcW w:w="1777" w:type="dxa"/>
            <w:vAlign w:val="center"/>
          </w:tcPr>
          <w:p w:rsidR="009E3081" w:rsidRDefault="00AB191E">
            <w:pPr>
              <w:jc w:val="center"/>
            </w:pPr>
            <w:r>
              <w:rPr>
                <w:color w:val="000000"/>
                <w:sz w:val="24"/>
                <w:szCs w:val="24"/>
              </w:rPr>
              <w:t>农</w:t>
            </w:r>
            <w:r>
              <w:rPr>
                <w:color w:val="000000"/>
                <w:sz w:val="24"/>
                <w:szCs w:val="24"/>
              </w:rPr>
              <w:t xml:space="preserve"> </w:t>
            </w:r>
            <w:r>
              <w:rPr>
                <w:color w:val="000000"/>
                <w:sz w:val="24"/>
                <w:szCs w:val="24"/>
              </w:rPr>
              <w:t>产</w:t>
            </w:r>
            <w:r>
              <w:rPr>
                <w:color w:val="000000"/>
                <w:sz w:val="24"/>
                <w:szCs w:val="24"/>
              </w:rPr>
              <w:t xml:space="preserve"> </w:t>
            </w:r>
            <w:r>
              <w:rPr>
                <w:color w:val="000000"/>
                <w:sz w:val="24"/>
                <w:szCs w:val="24"/>
              </w:rPr>
              <w:t>品</w:t>
            </w:r>
          </w:p>
        </w:tc>
        <w:tc>
          <w:tcPr>
            <w:tcW w:w="1334" w:type="dxa"/>
            <w:vAlign w:val="center"/>
          </w:tcPr>
          <w:p w:rsidR="009E3081" w:rsidRDefault="00AB191E">
            <w:pPr>
              <w:jc w:val="right"/>
            </w:pPr>
            <w:r>
              <w:rPr>
                <w:color w:val="000000"/>
                <w:sz w:val="24"/>
                <w:szCs w:val="24"/>
              </w:rPr>
              <w:t>248,876</w:t>
            </w:r>
          </w:p>
        </w:tc>
        <w:tc>
          <w:tcPr>
            <w:tcW w:w="1924" w:type="dxa"/>
            <w:vAlign w:val="center"/>
          </w:tcPr>
          <w:p w:rsidR="009E3081" w:rsidRDefault="00AB191E">
            <w:pPr>
              <w:jc w:val="right"/>
            </w:pPr>
            <w:r>
              <w:rPr>
                <w:color w:val="000000"/>
                <w:sz w:val="24"/>
                <w:szCs w:val="24"/>
              </w:rPr>
              <w:t>3,566,393.08</w:t>
            </w:r>
          </w:p>
        </w:tc>
        <w:tc>
          <w:tcPr>
            <w:tcW w:w="1644" w:type="dxa"/>
            <w:vAlign w:val="center"/>
          </w:tcPr>
          <w:p w:rsidR="009E3081" w:rsidRDefault="00AB191E">
            <w:pPr>
              <w:jc w:val="right"/>
            </w:pPr>
            <w:r>
              <w:rPr>
                <w:color w:val="000000"/>
                <w:sz w:val="24"/>
                <w:szCs w:val="24"/>
              </w:rPr>
              <w:t>3.38</w:t>
            </w:r>
          </w:p>
        </w:tc>
      </w:tr>
      <w:tr w:rsidR="009E3081">
        <w:trPr>
          <w:jc w:val="center"/>
        </w:trPr>
        <w:tc>
          <w:tcPr>
            <w:tcW w:w="855" w:type="dxa"/>
            <w:vAlign w:val="center"/>
          </w:tcPr>
          <w:p w:rsidR="009E3081" w:rsidRDefault="00AB191E">
            <w:pPr>
              <w:jc w:val="center"/>
            </w:pPr>
            <w:r>
              <w:rPr>
                <w:color w:val="000000"/>
                <w:sz w:val="24"/>
                <w:szCs w:val="24"/>
              </w:rPr>
              <w:t>7</w:t>
            </w:r>
          </w:p>
        </w:tc>
        <w:tc>
          <w:tcPr>
            <w:tcW w:w="1334" w:type="dxa"/>
            <w:vAlign w:val="center"/>
          </w:tcPr>
          <w:p w:rsidR="009E3081" w:rsidRDefault="00AB191E">
            <w:pPr>
              <w:jc w:val="center"/>
            </w:pPr>
            <w:r>
              <w:rPr>
                <w:color w:val="000000"/>
                <w:sz w:val="24"/>
                <w:szCs w:val="24"/>
              </w:rPr>
              <w:t>002568</w:t>
            </w:r>
          </w:p>
        </w:tc>
        <w:tc>
          <w:tcPr>
            <w:tcW w:w="1777" w:type="dxa"/>
            <w:vAlign w:val="center"/>
          </w:tcPr>
          <w:p w:rsidR="009E3081" w:rsidRDefault="00AB191E">
            <w:pPr>
              <w:jc w:val="center"/>
            </w:pPr>
            <w:r>
              <w:rPr>
                <w:color w:val="000000"/>
                <w:sz w:val="24"/>
                <w:szCs w:val="24"/>
              </w:rPr>
              <w:t>百润股份</w:t>
            </w:r>
          </w:p>
        </w:tc>
        <w:tc>
          <w:tcPr>
            <w:tcW w:w="1334" w:type="dxa"/>
            <w:vAlign w:val="center"/>
          </w:tcPr>
          <w:p w:rsidR="009E3081" w:rsidRDefault="00AB191E">
            <w:pPr>
              <w:jc w:val="right"/>
            </w:pPr>
            <w:r>
              <w:rPr>
                <w:color w:val="000000"/>
                <w:sz w:val="24"/>
                <w:szCs w:val="24"/>
              </w:rPr>
              <w:t>76,476</w:t>
            </w:r>
          </w:p>
        </w:tc>
        <w:tc>
          <w:tcPr>
            <w:tcW w:w="1924" w:type="dxa"/>
            <w:vAlign w:val="center"/>
          </w:tcPr>
          <w:p w:rsidR="009E3081" w:rsidRDefault="00AB191E">
            <w:pPr>
              <w:jc w:val="right"/>
            </w:pPr>
            <w:r>
              <w:rPr>
                <w:color w:val="000000"/>
                <w:sz w:val="24"/>
                <w:szCs w:val="24"/>
              </w:rPr>
              <w:t>3,074,335.20</w:t>
            </w:r>
          </w:p>
        </w:tc>
        <w:tc>
          <w:tcPr>
            <w:tcW w:w="1644" w:type="dxa"/>
            <w:vAlign w:val="center"/>
          </w:tcPr>
          <w:p w:rsidR="009E3081" w:rsidRDefault="00AB191E">
            <w:pPr>
              <w:jc w:val="right"/>
            </w:pPr>
            <w:r>
              <w:rPr>
                <w:color w:val="000000"/>
                <w:sz w:val="24"/>
                <w:szCs w:val="24"/>
              </w:rPr>
              <w:t>2.92</w:t>
            </w:r>
          </w:p>
        </w:tc>
      </w:tr>
      <w:tr w:rsidR="009E3081">
        <w:trPr>
          <w:jc w:val="center"/>
        </w:trPr>
        <w:tc>
          <w:tcPr>
            <w:tcW w:w="855" w:type="dxa"/>
            <w:vAlign w:val="center"/>
          </w:tcPr>
          <w:p w:rsidR="009E3081" w:rsidRDefault="00AB191E">
            <w:pPr>
              <w:jc w:val="center"/>
            </w:pPr>
            <w:r>
              <w:rPr>
                <w:color w:val="000000"/>
                <w:sz w:val="24"/>
                <w:szCs w:val="24"/>
              </w:rPr>
              <w:t>8</w:t>
            </w:r>
          </w:p>
        </w:tc>
        <w:tc>
          <w:tcPr>
            <w:tcW w:w="1334" w:type="dxa"/>
            <w:vAlign w:val="center"/>
          </w:tcPr>
          <w:p w:rsidR="009E3081" w:rsidRDefault="00AB191E">
            <w:pPr>
              <w:jc w:val="center"/>
            </w:pPr>
            <w:r>
              <w:rPr>
                <w:color w:val="000000"/>
                <w:sz w:val="24"/>
                <w:szCs w:val="24"/>
              </w:rPr>
              <w:t>002180</w:t>
            </w:r>
          </w:p>
        </w:tc>
        <w:tc>
          <w:tcPr>
            <w:tcW w:w="1777" w:type="dxa"/>
            <w:vAlign w:val="center"/>
          </w:tcPr>
          <w:p w:rsidR="009E3081" w:rsidRDefault="00AB191E">
            <w:pPr>
              <w:jc w:val="center"/>
            </w:pPr>
            <w:r>
              <w:rPr>
                <w:color w:val="000000"/>
                <w:sz w:val="24"/>
                <w:szCs w:val="24"/>
              </w:rPr>
              <w:t>艾派克</w:t>
            </w:r>
          </w:p>
        </w:tc>
        <w:tc>
          <w:tcPr>
            <w:tcW w:w="1334" w:type="dxa"/>
            <w:vAlign w:val="center"/>
          </w:tcPr>
          <w:p w:rsidR="009E3081" w:rsidRDefault="00AB191E">
            <w:pPr>
              <w:jc w:val="right"/>
            </w:pPr>
            <w:r>
              <w:rPr>
                <w:color w:val="000000"/>
                <w:sz w:val="24"/>
                <w:szCs w:val="24"/>
              </w:rPr>
              <w:t>71,800</w:t>
            </w:r>
          </w:p>
        </w:tc>
        <w:tc>
          <w:tcPr>
            <w:tcW w:w="1924" w:type="dxa"/>
            <w:vAlign w:val="center"/>
          </w:tcPr>
          <w:p w:rsidR="009E3081" w:rsidRDefault="00AB191E">
            <w:pPr>
              <w:jc w:val="right"/>
            </w:pPr>
            <w:r>
              <w:rPr>
                <w:color w:val="000000"/>
                <w:sz w:val="24"/>
                <w:szCs w:val="24"/>
              </w:rPr>
              <w:t>2,584,800.00</w:t>
            </w:r>
          </w:p>
        </w:tc>
        <w:tc>
          <w:tcPr>
            <w:tcW w:w="1644" w:type="dxa"/>
            <w:vAlign w:val="center"/>
          </w:tcPr>
          <w:p w:rsidR="009E3081" w:rsidRDefault="00AB191E">
            <w:pPr>
              <w:jc w:val="right"/>
            </w:pPr>
            <w:r>
              <w:rPr>
                <w:color w:val="000000"/>
                <w:sz w:val="24"/>
                <w:szCs w:val="24"/>
              </w:rPr>
              <w:t>2.45</w:t>
            </w:r>
          </w:p>
        </w:tc>
      </w:tr>
      <w:tr w:rsidR="009E3081">
        <w:trPr>
          <w:jc w:val="center"/>
        </w:trPr>
        <w:tc>
          <w:tcPr>
            <w:tcW w:w="855" w:type="dxa"/>
            <w:vAlign w:val="center"/>
          </w:tcPr>
          <w:p w:rsidR="009E3081" w:rsidRDefault="00AB191E">
            <w:pPr>
              <w:jc w:val="center"/>
            </w:pPr>
            <w:r>
              <w:rPr>
                <w:color w:val="000000"/>
                <w:sz w:val="24"/>
                <w:szCs w:val="24"/>
              </w:rPr>
              <w:t>9</w:t>
            </w:r>
          </w:p>
        </w:tc>
        <w:tc>
          <w:tcPr>
            <w:tcW w:w="1334" w:type="dxa"/>
            <w:vAlign w:val="center"/>
          </w:tcPr>
          <w:p w:rsidR="009E3081" w:rsidRDefault="00AB191E">
            <w:pPr>
              <w:jc w:val="center"/>
            </w:pPr>
            <w:r>
              <w:rPr>
                <w:color w:val="000000"/>
                <w:sz w:val="24"/>
                <w:szCs w:val="24"/>
              </w:rPr>
              <w:t>300028</w:t>
            </w:r>
          </w:p>
        </w:tc>
        <w:tc>
          <w:tcPr>
            <w:tcW w:w="1777" w:type="dxa"/>
            <w:vAlign w:val="center"/>
          </w:tcPr>
          <w:p w:rsidR="009E3081" w:rsidRDefault="00AB191E">
            <w:pPr>
              <w:jc w:val="center"/>
            </w:pPr>
            <w:r>
              <w:rPr>
                <w:color w:val="000000"/>
                <w:sz w:val="24"/>
                <w:szCs w:val="24"/>
              </w:rPr>
              <w:t>金亚科技</w:t>
            </w:r>
          </w:p>
        </w:tc>
        <w:tc>
          <w:tcPr>
            <w:tcW w:w="1334" w:type="dxa"/>
            <w:vAlign w:val="center"/>
          </w:tcPr>
          <w:p w:rsidR="009E3081" w:rsidRDefault="00AB191E">
            <w:pPr>
              <w:jc w:val="right"/>
            </w:pPr>
            <w:r>
              <w:rPr>
                <w:color w:val="000000"/>
                <w:sz w:val="24"/>
                <w:szCs w:val="24"/>
              </w:rPr>
              <w:t>137,540</w:t>
            </w:r>
          </w:p>
        </w:tc>
        <w:tc>
          <w:tcPr>
            <w:tcW w:w="1924" w:type="dxa"/>
            <w:vAlign w:val="center"/>
          </w:tcPr>
          <w:p w:rsidR="009E3081" w:rsidRDefault="00AB191E">
            <w:pPr>
              <w:jc w:val="right"/>
            </w:pPr>
            <w:r>
              <w:rPr>
                <w:color w:val="000000"/>
                <w:sz w:val="24"/>
                <w:szCs w:val="24"/>
              </w:rPr>
              <w:t>2,450,962.80</w:t>
            </w:r>
          </w:p>
        </w:tc>
        <w:tc>
          <w:tcPr>
            <w:tcW w:w="1644" w:type="dxa"/>
            <w:vAlign w:val="center"/>
          </w:tcPr>
          <w:p w:rsidR="009E3081" w:rsidRDefault="00AB191E">
            <w:pPr>
              <w:jc w:val="right"/>
            </w:pPr>
            <w:r>
              <w:rPr>
                <w:color w:val="000000"/>
                <w:sz w:val="24"/>
                <w:szCs w:val="24"/>
              </w:rPr>
              <w:t>2.33</w:t>
            </w:r>
          </w:p>
        </w:tc>
      </w:tr>
      <w:tr w:rsidR="009E3081">
        <w:trPr>
          <w:jc w:val="center"/>
        </w:trPr>
        <w:tc>
          <w:tcPr>
            <w:tcW w:w="855" w:type="dxa"/>
            <w:vAlign w:val="center"/>
          </w:tcPr>
          <w:p w:rsidR="009E3081" w:rsidRDefault="00AB191E">
            <w:pPr>
              <w:jc w:val="center"/>
            </w:pPr>
            <w:r>
              <w:rPr>
                <w:color w:val="000000"/>
                <w:sz w:val="24"/>
                <w:szCs w:val="24"/>
              </w:rPr>
              <w:t>10</w:t>
            </w:r>
          </w:p>
        </w:tc>
        <w:tc>
          <w:tcPr>
            <w:tcW w:w="1334" w:type="dxa"/>
            <w:vAlign w:val="center"/>
          </w:tcPr>
          <w:p w:rsidR="009E3081" w:rsidRDefault="00AB191E">
            <w:pPr>
              <w:jc w:val="center"/>
            </w:pPr>
            <w:r>
              <w:rPr>
                <w:color w:val="000000"/>
                <w:sz w:val="24"/>
                <w:szCs w:val="24"/>
              </w:rPr>
              <w:t>600687</w:t>
            </w:r>
          </w:p>
        </w:tc>
        <w:tc>
          <w:tcPr>
            <w:tcW w:w="1777" w:type="dxa"/>
            <w:vAlign w:val="center"/>
          </w:tcPr>
          <w:p w:rsidR="009E3081" w:rsidRDefault="00AB191E">
            <w:pPr>
              <w:jc w:val="center"/>
            </w:pPr>
            <w:r>
              <w:rPr>
                <w:color w:val="000000"/>
                <w:sz w:val="24"/>
                <w:szCs w:val="24"/>
              </w:rPr>
              <w:t>刚泰控股</w:t>
            </w:r>
          </w:p>
        </w:tc>
        <w:tc>
          <w:tcPr>
            <w:tcW w:w="1334" w:type="dxa"/>
            <w:vAlign w:val="center"/>
          </w:tcPr>
          <w:p w:rsidR="009E3081" w:rsidRDefault="00AB191E">
            <w:pPr>
              <w:jc w:val="right"/>
            </w:pPr>
            <w:r>
              <w:rPr>
                <w:color w:val="000000"/>
                <w:sz w:val="24"/>
                <w:szCs w:val="24"/>
              </w:rPr>
              <w:t>170,234</w:t>
            </w:r>
          </w:p>
        </w:tc>
        <w:tc>
          <w:tcPr>
            <w:tcW w:w="1924" w:type="dxa"/>
            <w:vAlign w:val="center"/>
          </w:tcPr>
          <w:p w:rsidR="009E3081" w:rsidRDefault="00AB191E">
            <w:pPr>
              <w:jc w:val="right"/>
            </w:pPr>
            <w:r>
              <w:rPr>
                <w:color w:val="000000"/>
                <w:sz w:val="24"/>
                <w:szCs w:val="24"/>
              </w:rPr>
              <w:t>2,276,028.58</w:t>
            </w:r>
          </w:p>
        </w:tc>
        <w:tc>
          <w:tcPr>
            <w:tcW w:w="1644" w:type="dxa"/>
            <w:vAlign w:val="center"/>
          </w:tcPr>
          <w:p w:rsidR="009E3081" w:rsidRDefault="00AB191E">
            <w:pPr>
              <w:jc w:val="right"/>
            </w:pPr>
            <w:r>
              <w:rPr>
                <w:color w:val="000000"/>
                <w:sz w:val="24"/>
                <w:szCs w:val="24"/>
              </w:rPr>
              <w:t>2.16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48,394.09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6,700.96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12,847.77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67,942.82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9E3081">
        <w:trPr>
          <w:jc w:val="center"/>
        </w:trPr>
        <w:tc>
          <w:tcPr>
            <w:tcW w:w="1129" w:type="dxa"/>
            <w:vAlign w:val="center"/>
          </w:tcPr>
          <w:p w:rsidR="009E3081" w:rsidRDefault="00AB191E">
            <w:pPr>
              <w:jc w:val="center"/>
            </w:pPr>
            <w:r>
              <w:rPr>
                <w:color w:val="000000"/>
                <w:sz w:val="24"/>
                <w:szCs w:val="24"/>
              </w:rPr>
              <w:t>1</w:t>
            </w:r>
          </w:p>
        </w:tc>
        <w:tc>
          <w:tcPr>
            <w:tcW w:w="1356" w:type="dxa"/>
            <w:vAlign w:val="center"/>
          </w:tcPr>
          <w:p w:rsidR="009E3081" w:rsidRDefault="00AB191E">
            <w:pPr>
              <w:jc w:val="center"/>
            </w:pPr>
            <w:r>
              <w:rPr>
                <w:color w:val="000000"/>
                <w:sz w:val="24"/>
                <w:szCs w:val="24"/>
              </w:rPr>
              <w:t>600763</w:t>
            </w:r>
          </w:p>
        </w:tc>
        <w:tc>
          <w:tcPr>
            <w:tcW w:w="1355" w:type="dxa"/>
            <w:vAlign w:val="center"/>
          </w:tcPr>
          <w:p w:rsidR="009E3081" w:rsidRDefault="00AB191E">
            <w:pPr>
              <w:jc w:val="center"/>
            </w:pPr>
            <w:r>
              <w:rPr>
                <w:color w:val="000000"/>
                <w:sz w:val="24"/>
                <w:szCs w:val="24"/>
              </w:rPr>
              <w:t>通策医疗</w:t>
            </w:r>
          </w:p>
        </w:tc>
        <w:tc>
          <w:tcPr>
            <w:tcW w:w="1880" w:type="dxa"/>
            <w:vAlign w:val="center"/>
          </w:tcPr>
          <w:p w:rsidR="009E3081" w:rsidRDefault="00AB191E">
            <w:pPr>
              <w:jc w:val="right"/>
            </w:pPr>
            <w:r>
              <w:rPr>
                <w:color w:val="000000"/>
                <w:sz w:val="24"/>
                <w:szCs w:val="24"/>
              </w:rPr>
              <w:t>14,512,525.00</w:t>
            </w:r>
          </w:p>
        </w:tc>
        <w:tc>
          <w:tcPr>
            <w:tcW w:w="1724" w:type="dxa"/>
            <w:vAlign w:val="center"/>
          </w:tcPr>
          <w:p w:rsidR="009E3081" w:rsidRDefault="00AB191E">
            <w:pPr>
              <w:jc w:val="right"/>
            </w:pPr>
            <w:r>
              <w:rPr>
                <w:color w:val="000000"/>
                <w:sz w:val="24"/>
                <w:szCs w:val="24"/>
              </w:rPr>
              <w:t>13.77</w:t>
            </w:r>
          </w:p>
        </w:tc>
        <w:tc>
          <w:tcPr>
            <w:tcW w:w="1424" w:type="dxa"/>
            <w:vAlign w:val="center"/>
          </w:tcPr>
          <w:p w:rsidR="009E3081" w:rsidRDefault="00AB191E">
            <w:pPr>
              <w:jc w:val="right"/>
            </w:pPr>
            <w:r>
              <w:rPr>
                <w:color w:val="000000"/>
                <w:sz w:val="24"/>
                <w:szCs w:val="24"/>
              </w:rPr>
              <w:t>重大事项</w:t>
            </w:r>
          </w:p>
        </w:tc>
      </w:tr>
      <w:tr w:rsidR="009E3081">
        <w:trPr>
          <w:jc w:val="center"/>
        </w:trPr>
        <w:tc>
          <w:tcPr>
            <w:tcW w:w="1129" w:type="dxa"/>
            <w:vAlign w:val="center"/>
          </w:tcPr>
          <w:p w:rsidR="009E3081" w:rsidRDefault="00AB191E">
            <w:pPr>
              <w:jc w:val="center"/>
            </w:pPr>
            <w:r>
              <w:rPr>
                <w:color w:val="000000"/>
                <w:sz w:val="24"/>
                <w:szCs w:val="24"/>
              </w:rPr>
              <w:t>2</w:t>
            </w:r>
          </w:p>
        </w:tc>
        <w:tc>
          <w:tcPr>
            <w:tcW w:w="1356" w:type="dxa"/>
            <w:vAlign w:val="center"/>
          </w:tcPr>
          <w:p w:rsidR="009E3081" w:rsidRDefault="00AB191E">
            <w:pPr>
              <w:jc w:val="center"/>
            </w:pPr>
            <w:r>
              <w:rPr>
                <w:color w:val="000000"/>
                <w:sz w:val="24"/>
                <w:szCs w:val="24"/>
              </w:rPr>
              <w:t>600967</w:t>
            </w:r>
          </w:p>
        </w:tc>
        <w:tc>
          <w:tcPr>
            <w:tcW w:w="1355" w:type="dxa"/>
            <w:vAlign w:val="center"/>
          </w:tcPr>
          <w:p w:rsidR="009E3081" w:rsidRDefault="00AB191E">
            <w:pPr>
              <w:jc w:val="center"/>
            </w:pPr>
            <w:r>
              <w:rPr>
                <w:color w:val="000000"/>
                <w:sz w:val="24"/>
                <w:szCs w:val="24"/>
              </w:rPr>
              <w:t>北方创业</w:t>
            </w:r>
          </w:p>
        </w:tc>
        <w:tc>
          <w:tcPr>
            <w:tcW w:w="1880" w:type="dxa"/>
            <w:vAlign w:val="center"/>
          </w:tcPr>
          <w:p w:rsidR="009E3081" w:rsidRDefault="00AB191E">
            <w:pPr>
              <w:jc w:val="right"/>
            </w:pPr>
            <w:r>
              <w:rPr>
                <w:color w:val="000000"/>
                <w:sz w:val="24"/>
                <w:szCs w:val="24"/>
              </w:rPr>
              <w:t>13,140,157.52</w:t>
            </w:r>
          </w:p>
        </w:tc>
        <w:tc>
          <w:tcPr>
            <w:tcW w:w="1724" w:type="dxa"/>
            <w:vAlign w:val="center"/>
          </w:tcPr>
          <w:p w:rsidR="009E3081" w:rsidRDefault="00AB191E">
            <w:pPr>
              <w:jc w:val="right"/>
            </w:pPr>
            <w:r>
              <w:rPr>
                <w:color w:val="000000"/>
                <w:sz w:val="24"/>
                <w:szCs w:val="24"/>
              </w:rPr>
              <w:t>12.47</w:t>
            </w:r>
          </w:p>
        </w:tc>
        <w:tc>
          <w:tcPr>
            <w:tcW w:w="1424" w:type="dxa"/>
            <w:vAlign w:val="center"/>
          </w:tcPr>
          <w:p w:rsidR="009E3081" w:rsidRDefault="00AB191E">
            <w:pPr>
              <w:jc w:val="right"/>
            </w:pPr>
            <w:r>
              <w:rPr>
                <w:color w:val="000000"/>
                <w:sz w:val="24"/>
                <w:szCs w:val="24"/>
              </w:rPr>
              <w:t>重大事项</w:t>
            </w:r>
          </w:p>
        </w:tc>
      </w:tr>
      <w:tr w:rsidR="009E3081">
        <w:trPr>
          <w:jc w:val="center"/>
        </w:trPr>
        <w:tc>
          <w:tcPr>
            <w:tcW w:w="1129" w:type="dxa"/>
            <w:vAlign w:val="center"/>
          </w:tcPr>
          <w:p w:rsidR="009E3081" w:rsidRDefault="00AB191E">
            <w:pPr>
              <w:jc w:val="center"/>
            </w:pPr>
            <w:r>
              <w:rPr>
                <w:color w:val="000000"/>
                <w:sz w:val="24"/>
                <w:szCs w:val="24"/>
              </w:rPr>
              <w:t>3</w:t>
            </w:r>
          </w:p>
        </w:tc>
        <w:tc>
          <w:tcPr>
            <w:tcW w:w="1356" w:type="dxa"/>
            <w:vAlign w:val="center"/>
          </w:tcPr>
          <w:p w:rsidR="009E3081" w:rsidRDefault="00AB191E">
            <w:pPr>
              <w:jc w:val="center"/>
            </w:pPr>
            <w:r>
              <w:rPr>
                <w:color w:val="000000"/>
                <w:sz w:val="24"/>
                <w:szCs w:val="24"/>
              </w:rPr>
              <w:t>300028</w:t>
            </w:r>
          </w:p>
        </w:tc>
        <w:tc>
          <w:tcPr>
            <w:tcW w:w="1355" w:type="dxa"/>
            <w:vAlign w:val="center"/>
          </w:tcPr>
          <w:p w:rsidR="009E3081" w:rsidRDefault="00AB191E">
            <w:pPr>
              <w:jc w:val="center"/>
            </w:pPr>
            <w:r>
              <w:rPr>
                <w:color w:val="000000"/>
                <w:sz w:val="24"/>
                <w:szCs w:val="24"/>
              </w:rPr>
              <w:t>金亚科技</w:t>
            </w:r>
          </w:p>
        </w:tc>
        <w:tc>
          <w:tcPr>
            <w:tcW w:w="1880" w:type="dxa"/>
            <w:vAlign w:val="center"/>
          </w:tcPr>
          <w:p w:rsidR="009E3081" w:rsidRDefault="00AB191E">
            <w:pPr>
              <w:jc w:val="right"/>
            </w:pPr>
            <w:r>
              <w:rPr>
                <w:color w:val="000000"/>
                <w:sz w:val="24"/>
                <w:szCs w:val="24"/>
              </w:rPr>
              <w:t>2,450,962.80</w:t>
            </w:r>
          </w:p>
        </w:tc>
        <w:tc>
          <w:tcPr>
            <w:tcW w:w="1724" w:type="dxa"/>
            <w:vAlign w:val="center"/>
          </w:tcPr>
          <w:p w:rsidR="009E3081" w:rsidRDefault="00AB191E">
            <w:pPr>
              <w:jc w:val="right"/>
            </w:pPr>
            <w:r>
              <w:rPr>
                <w:color w:val="000000"/>
                <w:sz w:val="24"/>
                <w:szCs w:val="24"/>
              </w:rPr>
              <w:t>2.33</w:t>
            </w:r>
          </w:p>
        </w:tc>
        <w:tc>
          <w:tcPr>
            <w:tcW w:w="1424" w:type="dxa"/>
            <w:vAlign w:val="center"/>
          </w:tcPr>
          <w:p w:rsidR="009E3081" w:rsidRDefault="00AB191E">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81,071,277.97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22,595,792.99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24,668,808.84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78,998,262.12</w:t>
            </w:r>
          </w:p>
        </w:tc>
      </w:tr>
    </w:tbl>
    <w:p w:rsidR="009E3081" w:rsidRDefault="00AB191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9E3081" w:rsidRDefault="00AB191E">
      <w:pPr>
        <w:spacing w:before="29" w:line="288" w:lineRule="auto"/>
        <w:ind w:firstLineChars="200" w:firstLine="480"/>
        <w:rPr>
          <w:color w:val="000000"/>
          <w:sz w:val="24"/>
          <w:szCs w:val="24"/>
        </w:rPr>
      </w:pPr>
      <w:r>
        <w:rPr>
          <w:color w:val="000000"/>
          <w:sz w:val="24"/>
          <w:szCs w:val="24"/>
        </w:rPr>
        <w:t xml:space="preserve">1. </w:t>
      </w:r>
      <w:r>
        <w:rPr>
          <w:color w:val="000000"/>
          <w:sz w:val="24"/>
          <w:szCs w:val="24"/>
        </w:rPr>
        <w:t>根据《中华人民共和国证券投资基金法》、《关于实施</w:t>
      </w:r>
      <w:r>
        <w:rPr>
          <w:color w:val="000000"/>
          <w:sz w:val="24"/>
          <w:szCs w:val="24"/>
        </w:rPr>
        <w:t>&lt;</w:t>
      </w:r>
      <w:r>
        <w:rPr>
          <w:color w:val="000000"/>
          <w:sz w:val="24"/>
          <w:szCs w:val="24"/>
        </w:rPr>
        <w:t>公开募集证券投资基金运作管理办法</w:t>
      </w:r>
      <w:r>
        <w:rPr>
          <w:color w:val="000000"/>
          <w:sz w:val="24"/>
          <w:szCs w:val="24"/>
        </w:rPr>
        <w:t>&gt;</w:t>
      </w:r>
      <w:r>
        <w:rPr>
          <w:color w:val="000000"/>
          <w:sz w:val="24"/>
          <w:szCs w:val="24"/>
        </w:rPr>
        <w:t>有关问题的规定》以及《公开募集证券投资基金运作管理办法》第三十条的规定</w:t>
      </w:r>
      <w:r>
        <w:rPr>
          <w:color w:val="000000"/>
          <w:sz w:val="24"/>
          <w:szCs w:val="24"/>
        </w:rPr>
        <w:t>“</w:t>
      </w:r>
      <w:r>
        <w:rPr>
          <w:color w:val="000000"/>
          <w:sz w:val="24"/>
          <w:szCs w:val="24"/>
        </w:rPr>
        <w:t>基金合同和基金招募说明书应当按照下列规定载明基金的类别：（一）百分之八十以上的基金资产投资于股票的，为股票基金；</w:t>
      </w:r>
      <w:r>
        <w:rPr>
          <w:color w:val="000000"/>
          <w:sz w:val="24"/>
          <w:szCs w:val="24"/>
        </w:rPr>
        <w:t>……</w:t>
      </w:r>
      <w:r>
        <w:rPr>
          <w:color w:val="000000"/>
          <w:sz w:val="24"/>
          <w:szCs w:val="24"/>
        </w:rPr>
        <w:t>（五）投资于股票、债券、货币市场工具或其他基金份额，并且股票投资、债券投资、基金投资的比例不符合第（一）项、第（二）项、第（四）项规定的，为混合基金；</w:t>
      </w:r>
      <w:r>
        <w:rPr>
          <w:color w:val="000000"/>
          <w:sz w:val="24"/>
          <w:szCs w:val="24"/>
        </w:rPr>
        <w:t>……”</w:t>
      </w:r>
      <w:r>
        <w:rPr>
          <w:color w:val="000000"/>
          <w:sz w:val="24"/>
          <w:szCs w:val="24"/>
        </w:rPr>
        <w:t>，由于交银施罗德成长</w:t>
      </w:r>
      <w:r>
        <w:rPr>
          <w:color w:val="000000"/>
          <w:sz w:val="24"/>
          <w:szCs w:val="24"/>
        </w:rPr>
        <w:t>30</w:t>
      </w:r>
      <w:r>
        <w:rPr>
          <w:color w:val="000000"/>
          <w:sz w:val="24"/>
          <w:szCs w:val="24"/>
        </w:rPr>
        <w:t>股票型证券投资基金的基金投资比例已不符合《公开募集证券投资基金运作管理办法》中关于股票型基金的要求，经与基金托管人协商一致，并报中国证监会备案，本基金管理人决定自</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日起，调整本基金类型为混合型基金，基金名称变更为</w:t>
      </w:r>
      <w:r>
        <w:rPr>
          <w:color w:val="000000"/>
          <w:sz w:val="24"/>
          <w:szCs w:val="24"/>
        </w:rPr>
        <w:t>“</w:t>
      </w:r>
      <w:r>
        <w:rPr>
          <w:color w:val="000000"/>
          <w:sz w:val="24"/>
          <w:szCs w:val="24"/>
        </w:rPr>
        <w:t>交银施罗德成长</w:t>
      </w:r>
      <w:r>
        <w:rPr>
          <w:color w:val="000000"/>
          <w:sz w:val="24"/>
          <w:szCs w:val="24"/>
        </w:rPr>
        <w:t>30</w:t>
      </w:r>
      <w:r>
        <w:rPr>
          <w:color w:val="000000"/>
          <w:sz w:val="24"/>
          <w:szCs w:val="24"/>
        </w:rPr>
        <w:t>混合型证券投资基金</w:t>
      </w:r>
      <w:r>
        <w:rPr>
          <w:color w:val="000000"/>
          <w:sz w:val="24"/>
          <w:szCs w:val="24"/>
        </w:rPr>
        <w:t>”</w:t>
      </w:r>
      <w:r>
        <w:rPr>
          <w:color w:val="000000"/>
          <w:sz w:val="24"/>
          <w:szCs w:val="24"/>
        </w:rPr>
        <w:t>，同时相应修改基金合同和托管协议相关表述。详情请见本基金管理人于</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5</w:t>
      </w:r>
      <w:r>
        <w:rPr>
          <w:color w:val="000000"/>
          <w:sz w:val="24"/>
          <w:szCs w:val="24"/>
        </w:rPr>
        <w:t>日发布的《交银施罗德基金管理有限公司关于旗下部分基金变更基金类别及修改基金名称并相应修改基金合同和托管协议的公告》。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xml:space="preserve">2. </w:t>
      </w:r>
      <w:r w:rsidRPr="00414345">
        <w:rPr>
          <w:color w:val="000000"/>
          <w:sz w:val="24"/>
          <w:szCs w:val="24"/>
        </w:rPr>
        <w:t>鉴于交银施罗德成长</w:t>
      </w:r>
      <w:r w:rsidRPr="00414345">
        <w:rPr>
          <w:color w:val="000000"/>
          <w:sz w:val="24"/>
          <w:szCs w:val="24"/>
        </w:rPr>
        <w:t>30</w:t>
      </w:r>
      <w:r w:rsidRPr="00414345">
        <w:rPr>
          <w:color w:val="000000"/>
          <w:sz w:val="24"/>
          <w:szCs w:val="24"/>
        </w:rPr>
        <w:t>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日起将交银施罗德成长</w:t>
      </w:r>
      <w:r w:rsidRPr="00414345">
        <w:rPr>
          <w:color w:val="000000"/>
          <w:sz w:val="24"/>
          <w:szCs w:val="24"/>
        </w:rPr>
        <w:t>30</w:t>
      </w:r>
      <w:r w:rsidRPr="00414345">
        <w:rPr>
          <w:color w:val="000000"/>
          <w:sz w:val="24"/>
          <w:szCs w:val="24"/>
        </w:rPr>
        <w:t>混合型证券投资基金的业绩比较基准由原</w:t>
      </w:r>
      <w:r w:rsidRPr="00414345">
        <w:rPr>
          <w:color w:val="000000"/>
          <w:sz w:val="24"/>
          <w:szCs w:val="24"/>
        </w:rPr>
        <w:t>“75%</w:t>
      </w:r>
      <w:r w:rsidR="00465A43" w:rsidRPr="00414345">
        <w:rPr>
          <w:color w:val="000000"/>
          <w:kern w:val="0"/>
          <w:sz w:val="24"/>
          <w:szCs w:val="24"/>
        </w:rPr>
        <w:t>×</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00465A43" w:rsidRPr="00414345">
        <w:rPr>
          <w:color w:val="000000"/>
          <w:kern w:val="0"/>
          <w:sz w:val="24"/>
          <w:szCs w:val="24"/>
        </w:rPr>
        <w:t>×</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00465A43" w:rsidRPr="00414345">
        <w:rPr>
          <w:color w:val="000000"/>
          <w:kern w:val="0"/>
          <w:sz w:val="24"/>
          <w:szCs w:val="24"/>
        </w:rPr>
        <w:t>×</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00465A43" w:rsidRPr="00414345">
        <w:rPr>
          <w:color w:val="000000"/>
          <w:kern w:val="0"/>
          <w:sz w:val="24"/>
          <w:szCs w:val="24"/>
        </w:rPr>
        <w:t>×</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E3081" w:rsidRDefault="00AB191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9E3081" w:rsidRDefault="00AB191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9E3081" w:rsidRDefault="00AB191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9E3081" w:rsidRDefault="00AB191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9E3081" w:rsidRDefault="00AB191E">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sidR="00FB3E9C">
        <w:rPr>
          <w:rFonts w:hint="eastAsia"/>
          <w:color w:val="000000"/>
          <w:sz w:val="24"/>
          <w:szCs w:val="24"/>
        </w:rPr>
        <w:t>股票</w:t>
      </w:r>
      <w:r w:rsidR="00FB3E9C">
        <w:rPr>
          <w:color w:val="000000"/>
          <w:sz w:val="24"/>
          <w:szCs w:val="24"/>
        </w:rPr>
        <w:t>型</w:t>
      </w:r>
      <w:r>
        <w:rPr>
          <w:color w:val="000000"/>
          <w:sz w:val="24"/>
          <w:szCs w:val="24"/>
        </w:rPr>
        <w:t>证券投资基金之法律意见书；</w:t>
      </w:r>
      <w:r>
        <w:rPr>
          <w:color w:val="000000"/>
          <w:sz w:val="24"/>
          <w:szCs w:val="24"/>
        </w:rPr>
        <w:t xml:space="preserve"> </w:t>
      </w:r>
    </w:p>
    <w:p w:rsidR="009E3081" w:rsidRDefault="00AB191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E3081" w:rsidRDefault="00AB191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E3081" w:rsidRDefault="00AB191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F02" w:rsidRDefault="00156F02" w:rsidP="00876D65">
      <w:r>
        <w:separator/>
      </w:r>
    </w:p>
  </w:endnote>
  <w:endnote w:type="continuationSeparator" w:id="0">
    <w:p w:rsidR="00156F02" w:rsidRDefault="00156F0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57482C">
      <w:rPr>
        <w:noProof/>
        <w:kern w:val="0"/>
        <w:szCs w:val="21"/>
      </w:rPr>
      <w:t>2</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57482C">
      <w:rPr>
        <w:noProof/>
        <w:kern w:val="0"/>
        <w:szCs w:val="21"/>
      </w:rPr>
      <w:t>12</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F02" w:rsidRDefault="00156F02" w:rsidP="00876D65">
      <w:r>
        <w:separator/>
      </w:r>
    </w:p>
  </w:footnote>
  <w:footnote w:type="continuationSeparator" w:id="0">
    <w:p w:rsidR="00156F02" w:rsidRDefault="00156F0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12D7"/>
    <w:rsid w:val="000E7E5E"/>
    <w:rsid w:val="000F6CC8"/>
    <w:rsid w:val="00111261"/>
    <w:rsid w:val="00133015"/>
    <w:rsid w:val="00137452"/>
    <w:rsid w:val="00137B31"/>
    <w:rsid w:val="00144F93"/>
    <w:rsid w:val="00147376"/>
    <w:rsid w:val="0015450B"/>
    <w:rsid w:val="00154BE1"/>
    <w:rsid w:val="00156F02"/>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42C1"/>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65A43"/>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482C"/>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3425"/>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081"/>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191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3EEE"/>
    <w:rsid w:val="00F66A51"/>
    <w:rsid w:val="00F71057"/>
    <w:rsid w:val="00F71A4B"/>
    <w:rsid w:val="00F728CF"/>
    <w:rsid w:val="00F743D4"/>
    <w:rsid w:val="00F80AC3"/>
    <w:rsid w:val="00F81917"/>
    <w:rsid w:val="00F83B17"/>
    <w:rsid w:val="00F87EDA"/>
    <w:rsid w:val="00F970EE"/>
    <w:rsid w:val="00FA775C"/>
    <w:rsid w:val="00FB0BC9"/>
    <w:rsid w:val="00FB247F"/>
    <w:rsid w:val="00FB3E9C"/>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24DA92-C3E3-4125-A5B9-6978FA87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10C08.39044D7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BA8B8-FBF9-4557-AD0E-6E37EE3E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12</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567</cp:revision>
  <dcterms:created xsi:type="dcterms:W3CDTF">2012-10-16T06:07:00Z</dcterms:created>
  <dcterms:modified xsi:type="dcterms:W3CDTF">2015-10-22T06:53:00Z</dcterms:modified>
</cp:coreProperties>
</file>