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873AD" w:rsidRDefault="00641F8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873AD" w:rsidRDefault="00641F87">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873AD" w:rsidRDefault="00641F8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873AD" w:rsidRDefault="00641F8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873AD" w:rsidRDefault="00641F8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252,559,389.85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D029B" w:rsidRPr="00414345" w:rsidTr="00ED029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D029B" w:rsidRPr="00414345" w:rsidTr="00ED02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-62,607,295.85</w:t>
            </w:r>
          </w:p>
        </w:tc>
      </w:tr>
      <w:tr w:rsidR="00ED029B" w:rsidRPr="00414345" w:rsidTr="00ED02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-70,628,376.94</w:t>
            </w:r>
          </w:p>
        </w:tc>
      </w:tr>
      <w:tr w:rsidR="00ED029B" w:rsidRPr="00414345" w:rsidTr="00ED02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-0.2692</w:t>
            </w:r>
          </w:p>
        </w:tc>
      </w:tr>
      <w:tr w:rsidR="00ED029B" w:rsidRPr="00414345" w:rsidTr="00ED02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369,356,748.50</w:t>
            </w:r>
          </w:p>
        </w:tc>
      </w:tr>
      <w:tr w:rsidR="00ED029B" w:rsidRPr="00414345" w:rsidTr="00ED029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1.462</w:t>
            </w:r>
          </w:p>
        </w:tc>
      </w:tr>
    </w:tbl>
    <w:p w:rsidR="001873AD" w:rsidRDefault="00641F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873AD">
        <w:trPr>
          <w:jc w:val="center"/>
        </w:trPr>
        <w:tc>
          <w:tcPr>
            <w:tcW w:w="1701" w:type="dxa"/>
            <w:vAlign w:val="center"/>
          </w:tcPr>
          <w:p w:rsidR="001873AD" w:rsidRDefault="00641F87">
            <w:pPr>
              <w:jc w:val="left"/>
            </w:pPr>
            <w:r>
              <w:rPr>
                <w:color w:val="000000"/>
                <w:sz w:val="24"/>
                <w:szCs w:val="24"/>
              </w:rPr>
              <w:t>过去三个月</w:t>
            </w:r>
          </w:p>
        </w:tc>
        <w:tc>
          <w:tcPr>
            <w:tcW w:w="1045" w:type="dxa"/>
            <w:vAlign w:val="center"/>
          </w:tcPr>
          <w:p w:rsidR="001873AD" w:rsidRDefault="00641F87">
            <w:pPr>
              <w:jc w:val="center"/>
            </w:pPr>
            <w:r>
              <w:rPr>
                <w:color w:val="000000"/>
                <w:sz w:val="24"/>
                <w:szCs w:val="24"/>
              </w:rPr>
              <w:t>-13.29%</w:t>
            </w:r>
          </w:p>
        </w:tc>
        <w:tc>
          <w:tcPr>
            <w:tcW w:w="1344" w:type="dxa"/>
            <w:vAlign w:val="center"/>
          </w:tcPr>
          <w:p w:rsidR="001873AD" w:rsidRDefault="00641F87">
            <w:pPr>
              <w:jc w:val="center"/>
            </w:pPr>
            <w:r>
              <w:rPr>
                <w:color w:val="000000"/>
                <w:sz w:val="24"/>
                <w:szCs w:val="24"/>
              </w:rPr>
              <w:t>3.57%</w:t>
            </w:r>
          </w:p>
        </w:tc>
        <w:tc>
          <w:tcPr>
            <w:tcW w:w="1194" w:type="dxa"/>
            <w:vAlign w:val="center"/>
          </w:tcPr>
          <w:p w:rsidR="001873AD" w:rsidRDefault="00641F87">
            <w:pPr>
              <w:jc w:val="center"/>
            </w:pPr>
            <w:r>
              <w:rPr>
                <w:color w:val="000000"/>
                <w:sz w:val="24"/>
                <w:szCs w:val="24"/>
              </w:rPr>
              <w:t>-23.50%</w:t>
            </w:r>
          </w:p>
        </w:tc>
        <w:tc>
          <w:tcPr>
            <w:tcW w:w="1492" w:type="dxa"/>
            <w:vAlign w:val="center"/>
          </w:tcPr>
          <w:p w:rsidR="001873AD" w:rsidRDefault="00641F87">
            <w:pPr>
              <w:jc w:val="center"/>
            </w:pPr>
            <w:r>
              <w:rPr>
                <w:color w:val="000000"/>
                <w:sz w:val="24"/>
                <w:szCs w:val="24"/>
              </w:rPr>
              <w:t>2.72%</w:t>
            </w:r>
          </w:p>
        </w:tc>
        <w:tc>
          <w:tcPr>
            <w:tcW w:w="1194" w:type="dxa"/>
            <w:vAlign w:val="center"/>
          </w:tcPr>
          <w:p w:rsidR="001873AD" w:rsidRDefault="00641F87">
            <w:pPr>
              <w:jc w:val="center"/>
            </w:pPr>
            <w:r>
              <w:rPr>
                <w:color w:val="000000"/>
                <w:sz w:val="24"/>
                <w:szCs w:val="24"/>
              </w:rPr>
              <w:t>10.21%</w:t>
            </w:r>
          </w:p>
        </w:tc>
        <w:tc>
          <w:tcPr>
            <w:tcW w:w="898" w:type="dxa"/>
            <w:vAlign w:val="center"/>
          </w:tcPr>
          <w:p w:rsidR="001873AD" w:rsidRDefault="00641F87">
            <w:pPr>
              <w:jc w:val="center"/>
            </w:pPr>
            <w:r>
              <w:rPr>
                <w:color w:val="000000"/>
                <w:sz w:val="24"/>
                <w:szCs w:val="24"/>
              </w:rPr>
              <w:t>0.85%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17A94"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16B8C690" wp14:editId="49A6497E">
            <wp:extent cx="5731510" cy="3356610"/>
            <wp:effectExtent l="0" t="0" r="0" b="0"/>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9</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873AD">
        <w:trPr>
          <w:jc w:val="center"/>
        </w:trPr>
        <w:tc>
          <w:tcPr>
            <w:tcW w:w="846" w:type="dxa"/>
            <w:vAlign w:val="center"/>
          </w:tcPr>
          <w:p w:rsidR="001873AD" w:rsidRDefault="00641F87">
            <w:pPr>
              <w:jc w:val="center"/>
            </w:pPr>
            <w:r>
              <w:rPr>
                <w:color w:val="000000"/>
                <w:sz w:val="24"/>
                <w:szCs w:val="24"/>
              </w:rPr>
              <w:t>王崇</w:t>
            </w:r>
          </w:p>
        </w:tc>
        <w:tc>
          <w:tcPr>
            <w:tcW w:w="845" w:type="dxa"/>
            <w:vAlign w:val="center"/>
          </w:tcPr>
          <w:p w:rsidR="001873AD" w:rsidRDefault="00641F87">
            <w:pPr>
              <w:jc w:val="center"/>
            </w:pPr>
            <w:r>
              <w:rPr>
                <w:color w:val="000000"/>
                <w:sz w:val="24"/>
                <w:szCs w:val="24"/>
              </w:rPr>
              <w:t>交银新成长混合的基金经理</w:t>
            </w:r>
          </w:p>
        </w:tc>
        <w:tc>
          <w:tcPr>
            <w:tcW w:w="1549" w:type="dxa"/>
            <w:vAlign w:val="center"/>
          </w:tcPr>
          <w:p w:rsidR="001873AD" w:rsidRDefault="00641F87">
            <w:pPr>
              <w:jc w:val="center"/>
            </w:pPr>
            <w:r>
              <w:rPr>
                <w:color w:val="000000"/>
                <w:sz w:val="24"/>
                <w:szCs w:val="24"/>
              </w:rPr>
              <w:t>2014-10-22</w:t>
            </w:r>
          </w:p>
        </w:tc>
        <w:tc>
          <w:tcPr>
            <w:tcW w:w="1548" w:type="dxa"/>
            <w:vAlign w:val="center"/>
          </w:tcPr>
          <w:p w:rsidR="001873AD" w:rsidRDefault="00641F87">
            <w:pPr>
              <w:jc w:val="center"/>
            </w:pPr>
            <w:r>
              <w:rPr>
                <w:color w:val="000000"/>
                <w:sz w:val="24"/>
                <w:szCs w:val="24"/>
              </w:rPr>
              <w:t>-</w:t>
            </w:r>
          </w:p>
        </w:tc>
        <w:tc>
          <w:tcPr>
            <w:tcW w:w="1407" w:type="dxa"/>
            <w:vAlign w:val="center"/>
          </w:tcPr>
          <w:p w:rsidR="001873AD" w:rsidRDefault="00641F87">
            <w:pPr>
              <w:jc w:val="center"/>
            </w:pPr>
            <w:r>
              <w:rPr>
                <w:color w:val="000000"/>
                <w:sz w:val="24"/>
                <w:szCs w:val="24"/>
              </w:rPr>
              <w:t>7</w:t>
            </w:r>
            <w:r>
              <w:rPr>
                <w:color w:val="000000"/>
                <w:sz w:val="24"/>
                <w:szCs w:val="24"/>
              </w:rPr>
              <w:t>年</w:t>
            </w:r>
          </w:p>
        </w:tc>
        <w:tc>
          <w:tcPr>
            <w:tcW w:w="2673" w:type="dxa"/>
            <w:vAlign w:val="center"/>
          </w:tcPr>
          <w:p w:rsidR="001873AD" w:rsidRDefault="00641F87">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873AD" w:rsidRDefault="00641F8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873AD" w:rsidRDefault="00641F8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873AD" w:rsidRDefault="00641F8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bookmarkStart w:id="0" w:name="_GoBack"/>
      <w:bookmarkEnd w:id="0"/>
    </w:p>
    <w:p w:rsidR="00F54406" w:rsidRPr="00F54406" w:rsidRDefault="00F5440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873AD" w:rsidRDefault="00641F87">
      <w:pPr>
        <w:spacing w:before="29" w:line="288" w:lineRule="auto"/>
        <w:ind w:firstLineChars="200" w:firstLine="480"/>
        <w:rPr>
          <w:color w:val="000000"/>
          <w:sz w:val="24"/>
          <w:szCs w:val="24"/>
        </w:rPr>
      </w:pPr>
      <w:r>
        <w:rPr>
          <w:color w:val="000000"/>
          <w:sz w:val="24"/>
          <w:szCs w:val="24"/>
        </w:rPr>
        <w:t>2015</w:t>
      </w:r>
      <w:r>
        <w:rPr>
          <w:color w:val="000000"/>
          <w:sz w:val="24"/>
          <w:szCs w:val="24"/>
        </w:rPr>
        <w:t>年三季度，经济疲弱引致政策放松的组合基调没有变化；工业增加值和</w:t>
      </w:r>
      <w:r>
        <w:rPr>
          <w:color w:val="000000"/>
          <w:sz w:val="24"/>
          <w:szCs w:val="24"/>
        </w:rPr>
        <w:t>PPI</w:t>
      </w:r>
      <w:r>
        <w:rPr>
          <w:color w:val="000000"/>
          <w:sz w:val="24"/>
          <w:szCs w:val="24"/>
        </w:rPr>
        <w:t>继续回落，经济增长和企业盈利下行压力较大，同时货币政策延续宽松。市场层面，三季度受监管层扩大清理配资范围以及</w:t>
      </w:r>
      <w:r>
        <w:rPr>
          <w:color w:val="000000"/>
          <w:sz w:val="24"/>
          <w:szCs w:val="24"/>
        </w:rPr>
        <w:t>8</w:t>
      </w:r>
      <w:r>
        <w:rPr>
          <w:color w:val="000000"/>
          <w:sz w:val="24"/>
          <w:szCs w:val="24"/>
        </w:rPr>
        <w:t>月中旬人民币一次性贬值影响，</w:t>
      </w:r>
      <w:r>
        <w:rPr>
          <w:color w:val="000000"/>
          <w:sz w:val="24"/>
          <w:szCs w:val="24"/>
        </w:rPr>
        <w:t>A</w:t>
      </w:r>
      <w:r>
        <w:rPr>
          <w:color w:val="000000"/>
          <w:sz w:val="24"/>
          <w:szCs w:val="24"/>
        </w:rPr>
        <w:t>股市场出现大幅下跌，中小板、创业板指数跌幅大于主板指数，尤其以互联网计算机为首的</w:t>
      </w:r>
      <w:r>
        <w:rPr>
          <w:color w:val="000000"/>
          <w:sz w:val="24"/>
          <w:szCs w:val="24"/>
        </w:rPr>
        <w:t>TMT</w:t>
      </w:r>
      <w:r>
        <w:rPr>
          <w:color w:val="000000"/>
          <w:sz w:val="24"/>
          <w:szCs w:val="24"/>
        </w:rPr>
        <w:t>科技股跌幅较大。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本基金三季度采取积极防御策略，一方面，降低仓位，相对有效避免系统性下跌风险；另一方面，在进行行业配置和个股选择时，优选质地优良估值合理的行业和公司股票，规避单纯讲故事、传统行业转型</w:t>
      </w:r>
      <w:r w:rsidRPr="00414345">
        <w:rPr>
          <w:color w:val="000000"/>
          <w:sz w:val="24"/>
          <w:szCs w:val="24"/>
        </w:rPr>
        <w:t>“</w:t>
      </w:r>
      <w:r w:rsidRPr="00414345">
        <w:rPr>
          <w:color w:val="000000"/>
          <w:sz w:val="24"/>
          <w:szCs w:val="24"/>
        </w:rPr>
        <w:t>插翅膀</w:t>
      </w:r>
      <w:r w:rsidRPr="00414345">
        <w:rPr>
          <w:color w:val="000000"/>
          <w:sz w:val="24"/>
          <w:szCs w:val="24"/>
        </w:rPr>
        <w:t>”</w:t>
      </w:r>
      <w:r w:rsidRPr="00414345">
        <w:rPr>
          <w:color w:val="000000"/>
          <w:sz w:val="24"/>
          <w:szCs w:val="24"/>
        </w:rPr>
        <w:t>的公司股票，有效控制个股下跌风险。展望四季度，我们并不悲观，虽然熊市似乎已深入人心，但负面因素逐渐被市场所消化反应，如果后续实际利率水平继续下行，股票市场可能不乏机会。在经历三季度大幅下跌</w:t>
      </w:r>
      <w:r w:rsidRPr="00414345">
        <w:rPr>
          <w:color w:val="000000"/>
          <w:sz w:val="24"/>
          <w:szCs w:val="24"/>
        </w:rPr>
        <w:lastRenderedPageBreak/>
        <w:t>后，</w:t>
      </w:r>
      <w:r w:rsidRPr="00414345">
        <w:rPr>
          <w:color w:val="000000"/>
          <w:sz w:val="24"/>
          <w:szCs w:val="24"/>
        </w:rPr>
        <w:t>3000</w:t>
      </w:r>
      <w:r w:rsidRPr="00414345">
        <w:rPr>
          <w:color w:val="000000"/>
          <w:sz w:val="24"/>
          <w:szCs w:val="24"/>
        </w:rPr>
        <w:t>点附近市场泡沫被消除不少，尽管基本面角度仍旧不足够便宜，但部分优质公司股价已逐渐进入可买入的价值投资区间的上限。本基金将继续关注互联网、老龄化需求、环保等行业的投资机会，继续坚持在一定安全边际的前提下，投资具有良好成长前景的行业和个股，努力为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1.462</w:t>
      </w:r>
      <w:r w:rsidRPr="00414345">
        <w:rPr>
          <w:color w:val="000000"/>
          <w:sz w:val="24"/>
          <w:szCs w:val="24"/>
        </w:rPr>
        <w:t>元，本报告期份额净值增长率为</w:t>
      </w:r>
      <w:r w:rsidRPr="00414345">
        <w:rPr>
          <w:color w:val="000000"/>
          <w:sz w:val="24"/>
          <w:szCs w:val="24"/>
        </w:rPr>
        <w:t>-13.29%</w:t>
      </w:r>
      <w:r w:rsidRPr="00414345">
        <w:rPr>
          <w:color w:val="000000"/>
          <w:sz w:val="24"/>
          <w:szCs w:val="24"/>
        </w:rPr>
        <w:t>，同期业绩比较基准增长率为</w:t>
      </w:r>
      <w:r w:rsidRPr="00414345">
        <w:rPr>
          <w:color w:val="000000"/>
          <w:sz w:val="24"/>
          <w:szCs w:val="24"/>
        </w:rPr>
        <w:t>-23.50%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D8111C">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266,164,301.93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266,164,301.93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30,080,000.00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30,080,000.00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87,165,219.43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22.64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1,564,856.85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384,974,378.21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861.00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162,210,254.84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15,430,779.00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17,067,763.60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41,650,748.83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12,126,956.10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17,674,979.04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266,164,301.93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873AD">
        <w:trPr>
          <w:jc w:val="center"/>
        </w:trPr>
        <w:tc>
          <w:tcPr>
            <w:tcW w:w="855" w:type="dxa"/>
            <w:vAlign w:val="center"/>
          </w:tcPr>
          <w:p w:rsidR="001873AD" w:rsidRDefault="00641F87">
            <w:pPr>
              <w:jc w:val="center"/>
            </w:pPr>
            <w:r>
              <w:rPr>
                <w:color w:val="000000"/>
                <w:sz w:val="24"/>
                <w:szCs w:val="24"/>
              </w:rPr>
              <w:t>1</w:t>
            </w:r>
          </w:p>
        </w:tc>
        <w:tc>
          <w:tcPr>
            <w:tcW w:w="1334" w:type="dxa"/>
            <w:vAlign w:val="center"/>
          </w:tcPr>
          <w:p w:rsidR="001873AD" w:rsidRDefault="00641F87">
            <w:pPr>
              <w:jc w:val="center"/>
            </w:pPr>
            <w:r>
              <w:rPr>
                <w:color w:val="000000"/>
                <w:sz w:val="24"/>
                <w:szCs w:val="24"/>
              </w:rPr>
              <w:t>300017</w:t>
            </w:r>
          </w:p>
        </w:tc>
        <w:tc>
          <w:tcPr>
            <w:tcW w:w="1777" w:type="dxa"/>
            <w:vAlign w:val="center"/>
          </w:tcPr>
          <w:p w:rsidR="001873AD" w:rsidRDefault="00641F87">
            <w:pPr>
              <w:jc w:val="center"/>
            </w:pPr>
            <w:r>
              <w:rPr>
                <w:color w:val="000000"/>
                <w:sz w:val="24"/>
                <w:szCs w:val="24"/>
              </w:rPr>
              <w:t>网宿科技</w:t>
            </w:r>
          </w:p>
        </w:tc>
        <w:tc>
          <w:tcPr>
            <w:tcW w:w="1334" w:type="dxa"/>
            <w:vAlign w:val="center"/>
          </w:tcPr>
          <w:p w:rsidR="001873AD" w:rsidRDefault="00641F87">
            <w:pPr>
              <w:jc w:val="right"/>
            </w:pPr>
            <w:r>
              <w:rPr>
                <w:color w:val="000000"/>
                <w:sz w:val="24"/>
                <w:szCs w:val="24"/>
              </w:rPr>
              <w:t>447,315</w:t>
            </w:r>
          </w:p>
        </w:tc>
        <w:tc>
          <w:tcPr>
            <w:tcW w:w="1924" w:type="dxa"/>
            <w:vAlign w:val="center"/>
          </w:tcPr>
          <w:p w:rsidR="001873AD" w:rsidRDefault="00641F87">
            <w:pPr>
              <w:jc w:val="right"/>
            </w:pPr>
            <w:r>
              <w:rPr>
                <w:color w:val="000000"/>
                <w:sz w:val="24"/>
                <w:szCs w:val="24"/>
              </w:rPr>
              <w:t>23,577,973.65</w:t>
            </w:r>
          </w:p>
        </w:tc>
        <w:tc>
          <w:tcPr>
            <w:tcW w:w="1644" w:type="dxa"/>
            <w:vAlign w:val="center"/>
          </w:tcPr>
          <w:p w:rsidR="001873AD" w:rsidRDefault="00641F87">
            <w:pPr>
              <w:jc w:val="right"/>
            </w:pPr>
            <w:r>
              <w:rPr>
                <w:color w:val="000000"/>
                <w:sz w:val="24"/>
                <w:szCs w:val="24"/>
              </w:rPr>
              <w:t>6.38</w:t>
            </w:r>
          </w:p>
        </w:tc>
      </w:tr>
      <w:tr w:rsidR="001873AD">
        <w:trPr>
          <w:jc w:val="center"/>
        </w:trPr>
        <w:tc>
          <w:tcPr>
            <w:tcW w:w="855" w:type="dxa"/>
            <w:vAlign w:val="center"/>
          </w:tcPr>
          <w:p w:rsidR="001873AD" w:rsidRDefault="00641F87">
            <w:pPr>
              <w:jc w:val="center"/>
            </w:pPr>
            <w:r>
              <w:rPr>
                <w:color w:val="000000"/>
                <w:sz w:val="24"/>
                <w:szCs w:val="24"/>
              </w:rPr>
              <w:t>2</w:t>
            </w:r>
          </w:p>
        </w:tc>
        <w:tc>
          <w:tcPr>
            <w:tcW w:w="1334" w:type="dxa"/>
            <w:vAlign w:val="center"/>
          </w:tcPr>
          <w:p w:rsidR="001873AD" w:rsidRDefault="00641F87">
            <w:pPr>
              <w:jc w:val="center"/>
            </w:pPr>
            <w:r>
              <w:rPr>
                <w:color w:val="000000"/>
                <w:sz w:val="24"/>
                <w:szCs w:val="24"/>
              </w:rPr>
              <w:t>002020</w:t>
            </w:r>
          </w:p>
        </w:tc>
        <w:tc>
          <w:tcPr>
            <w:tcW w:w="1777" w:type="dxa"/>
            <w:vAlign w:val="center"/>
          </w:tcPr>
          <w:p w:rsidR="001873AD" w:rsidRDefault="00641F87">
            <w:pPr>
              <w:jc w:val="center"/>
            </w:pPr>
            <w:r>
              <w:rPr>
                <w:color w:val="000000"/>
                <w:sz w:val="24"/>
                <w:szCs w:val="24"/>
              </w:rPr>
              <w:t>京新药业</w:t>
            </w:r>
          </w:p>
        </w:tc>
        <w:tc>
          <w:tcPr>
            <w:tcW w:w="1334" w:type="dxa"/>
            <w:vAlign w:val="center"/>
          </w:tcPr>
          <w:p w:rsidR="001873AD" w:rsidRDefault="00641F87">
            <w:pPr>
              <w:jc w:val="right"/>
            </w:pPr>
            <w:r>
              <w:rPr>
                <w:color w:val="000000"/>
                <w:sz w:val="24"/>
                <w:szCs w:val="24"/>
              </w:rPr>
              <w:t>725,358</w:t>
            </w:r>
          </w:p>
        </w:tc>
        <w:tc>
          <w:tcPr>
            <w:tcW w:w="1924" w:type="dxa"/>
            <w:vAlign w:val="center"/>
          </w:tcPr>
          <w:p w:rsidR="001873AD" w:rsidRDefault="00641F87">
            <w:pPr>
              <w:jc w:val="right"/>
            </w:pPr>
            <w:r>
              <w:rPr>
                <w:color w:val="000000"/>
                <w:sz w:val="24"/>
                <w:szCs w:val="24"/>
              </w:rPr>
              <w:t>19,221,987.00</w:t>
            </w:r>
          </w:p>
        </w:tc>
        <w:tc>
          <w:tcPr>
            <w:tcW w:w="1644" w:type="dxa"/>
            <w:vAlign w:val="center"/>
          </w:tcPr>
          <w:p w:rsidR="001873AD" w:rsidRDefault="00641F87">
            <w:pPr>
              <w:jc w:val="right"/>
            </w:pPr>
            <w:r>
              <w:rPr>
                <w:color w:val="000000"/>
                <w:sz w:val="24"/>
                <w:szCs w:val="24"/>
              </w:rPr>
              <w:t>5.20</w:t>
            </w:r>
          </w:p>
        </w:tc>
      </w:tr>
      <w:tr w:rsidR="001873AD">
        <w:trPr>
          <w:jc w:val="center"/>
        </w:trPr>
        <w:tc>
          <w:tcPr>
            <w:tcW w:w="855" w:type="dxa"/>
            <w:vAlign w:val="center"/>
          </w:tcPr>
          <w:p w:rsidR="001873AD" w:rsidRDefault="00641F87">
            <w:pPr>
              <w:jc w:val="center"/>
            </w:pPr>
            <w:r>
              <w:rPr>
                <w:color w:val="000000"/>
                <w:sz w:val="24"/>
                <w:szCs w:val="24"/>
              </w:rPr>
              <w:t>3</w:t>
            </w:r>
          </w:p>
        </w:tc>
        <w:tc>
          <w:tcPr>
            <w:tcW w:w="1334" w:type="dxa"/>
            <w:vAlign w:val="center"/>
          </w:tcPr>
          <w:p w:rsidR="001873AD" w:rsidRDefault="00641F87">
            <w:pPr>
              <w:jc w:val="center"/>
            </w:pPr>
            <w:r>
              <w:rPr>
                <w:color w:val="000000"/>
                <w:sz w:val="24"/>
                <w:szCs w:val="24"/>
              </w:rPr>
              <w:t>600054</w:t>
            </w:r>
          </w:p>
        </w:tc>
        <w:tc>
          <w:tcPr>
            <w:tcW w:w="1777" w:type="dxa"/>
            <w:vAlign w:val="center"/>
          </w:tcPr>
          <w:p w:rsidR="001873AD" w:rsidRDefault="00641F87">
            <w:pPr>
              <w:jc w:val="center"/>
            </w:pPr>
            <w:r>
              <w:rPr>
                <w:color w:val="000000"/>
                <w:sz w:val="24"/>
                <w:szCs w:val="24"/>
              </w:rPr>
              <w:t>黄山旅游</w:t>
            </w:r>
          </w:p>
        </w:tc>
        <w:tc>
          <w:tcPr>
            <w:tcW w:w="1334" w:type="dxa"/>
            <w:vAlign w:val="center"/>
          </w:tcPr>
          <w:p w:rsidR="001873AD" w:rsidRDefault="00641F87">
            <w:pPr>
              <w:jc w:val="right"/>
            </w:pPr>
            <w:r>
              <w:rPr>
                <w:color w:val="000000"/>
                <w:sz w:val="24"/>
                <w:szCs w:val="24"/>
              </w:rPr>
              <w:t>917,704</w:t>
            </w:r>
          </w:p>
        </w:tc>
        <w:tc>
          <w:tcPr>
            <w:tcW w:w="1924" w:type="dxa"/>
            <w:vAlign w:val="center"/>
          </w:tcPr>
          <w:p w:rsidR="001873AD" w:rsidRDefault="00641F87">
            <w:pPr>
              <w:jc w:val="right"/>
            </w:pPr>
            <w:r>
              <w:rPr>
                <w:color w:val="000000"/>
                <w:sz w:val="24"/>
                <w:szCs w:val="24"/>
              </w:rPr>
              <w:t>17,674,979.04</w:t>
            </w:r>
          </w:p>
        </w:tc>
        <w:tc>
          <w:tcPr>
            <w:tcW w:w="1644" w:type="dxa"/>
            <w:vAlign w:val="center"/>
          </w:tcPr>
          <w:p w:rsidR="001873AD" w:rsidRDefault="00641F87">
            <w:pPr>
              <w:jc w:val="right"/>
            </w:pPr>
            <w:r>
              <w:rPr>
                <w:color w:val="000000"/>
                <w:sz w:val="24"/>
                <w:szCs w:val="24"/>
              </w:rPr>
              <w:t>4.79</w:t>
            </w:r>
          </w:p>
        </w:tc>
      </w:tr>
      <w:tr w:rsidR="001873AD">
        <w:trPr>
          <w:jc w:val="center"/>
        </w:trPr>
        <w:tc>
          <w:tcPr>
            <w:tcW w:w="855" w:type="dxa"/>
            <w:vAlign w:val="center"/>
          </w:tcPr>
          <w:p w:rsidR="001873AD" w:rsidRDefault="00641F87">
            <w:pPr>
              <w:jc w:val="center"/>
            </w:pPr>
            <w:r>
              <w:rPr>
                <w:color w:val="000000"/>
                <w:sz w:val="24"/>
                <w:szCs w:val="24"/>
              </w:rPr>
              <w:t>4</w:t>
            </w:r>
          </w:p>
        </w:tc>
        <w:tc>
          <w:tcPr>
            <w:tcW w:w="1334" w:type="dxa"/>
            <w:vAlign w:val="center"/>
          </w:tcPr>
          <w:p w:rsidR="001873AD" w:rsidRDefault="00641F87">
            <w:pPr>
              <w:jc w:val="center"/>
            </w:pPr>
            <w:r>
              <w:rPr>
                <w:color w:val="000000"/>
                <w:sz w:val="24"/>
                <w:szCs w:val="24"/>
              </w:rPr>
              <w:t>002450</w:t>
            </w:r>
          </w:p>
        </w:tc>
        <w:tc>
          <w:tcPr>
            <w:tcW w:w="1777" w:type="dxa"/>
            <w:vAlign w:val="center"/>
          </w:tcPr>
          <w:p w:rsidR="001873AD" w:rsidRDefault="00641F87">
            <w:pPr>
              <w:jc w:val="center"/>
            </w:pPr>
            <w:r>
              <w:rPr>
                <w:color w:val="000000"/>
                <w:sz w:val="24"/>
                <w:szCs w:val="24"/>
              </w:rPr>
              <w:t>康得新</w:t>
            </w:r>
          </w:p>
        </w:tc>
        <w:tc>
          <w:tcPr>
            <w:tcW w:w="1334" w:type="dxa"/>
            <w:vAlign w:val="center"/>
          </w:tcPr>
          <w:p w:rsidR="001873AD" w:rsidRDefault="00641F87">
            <w:pPr>
              <w:jc w:val="right"/>
            </w:pPr>
            <w:r>
              <w:rPr>
                <w:color w:val="000000"/>
                <w:sz w:val="24"/>
                <w:szCs w:val="24"/>
              </w:rPr>
              <w:t>570,291</w:t>
            </w:r>
          </w:p>
        </w:tc>
        <w:tc>
          <w:tcPr>
            <w:tcW w:w="1924" w:type="dxa"/>
            <w:vAlign w:val="center"/>
          </w:tcPr>
          <w:p w:rsidR="001873AD" w:rsidRDefault="00641F87">
            <w:pPr>
              <w:jc w:val="right"/>
            </w:pPr>
            <w:r>
              <w:rPr>
                <w:color w:val="000000"/>
                <w:sz w:val="24"/>
                <w:szCs w:val="24"/>
              </w:rPr>
              <w:t>17,274,114.39</w:t>
            </w:r>
          </w:p>
        </w:tc>
        <w:tc>
          <w:tcPr>
            <w:tcW w:w="1644" w:type="dxa"/>
            <w:vAlign w:val="center"/>
          </w:tcPr>
          <w:p w:rsidR="001873AD" w:rsidRDefault="00641F87">
            <w:pPr>
              <w:jc w:val="right"/>
            </w:pPr>
            <w:r>
              <w:rPr>
                <w:color w:val="000000"/>
                <w:sz w:val="24"/>
                <w:szCs w:val="24"/>
              </w:rPr>
              <w:t>4.68</w:t>
            </w:r>
          </w:p>
        </w:tc>
      </w:tr>
      <w:tr w:rsidR="001873AD">
        <w:trPr>
          <w:jc w:val="center"/>
        </w:trPr>
        <w:tc>
          <w:tcPr>
            <w:tcW w:w="855" w:type="dxa"/>
            <w:vAlign w:val="center"/>
          </w:tcPr>
          <w:p w:rsidR="001873AD" w:rsidRDefault="00641F87">
            <w:pPr>
              <w:jc w:val="center"/>
            </w:pPr>
            <w:r>
              <w:rPr>
                <w:color w:val="000000"/>
                <w:sz w:val="24"/>
                <w:szCs w:val="24"/>
              </w:rPr>
              <w:t>5</w:t>
            </w:r>
          </w:p>
        </w:tc>
        <w:tc>
          <w:tcPr>
            <w:tcW w:w="1334" w:type="dxa"/>
            <w:vAlign w:val="center"/>
          </w:tcPr>
          <w:p w:rsidR="001873AD" w:rsidRDefault="00641F87">
            <w:pPr>
              <w:jc w:val="center"/>
            </w:pPr>
            <w:r>
              <w:rPr>
                <w:color w:val="000000"/>
                <w:sz w:val="24"/>
                <w:szCs w:val="24"/>
              </w:rPr>
              <w:t>300262</w:t>
            </w:r>
          </w:p>
        </w:tc>
        <w:tc>
          <w:tcPr>
            <w:tcW w:w="1777" w:type="dxa"/>
            <w:vAlign w:val="center"/>
          </w:tcPr>
          <w:p w:rsidR="001873AD" w:rsidRDefault="00641F87">
            <w:pPr>
              <w:jc w:val="center"/>
            </w:pPr>
            <w:r>
              <w:rPr>
                <w:color w:val="000000"/>
                <w:sz w:val="24"/>
                <w:szCs w:val="24"/>
              </w:rPr>
              <w:t>巴安水务</w:t>
            </w:r>
          </w:p>
        </w:tc>
        <w:tc>
          <w:tcPr>
            <w:tcW w:w="1334" w:type="dxa"/>
            <w:vAlign w:val="center"/>
          </w:tcPr>
          <w:p w:rsidR="001873AD" w:rsidRDefault="00641F87">
            <w:pPr>
              <w:jc w:val="right"/>
            </w:pPr>
            <w:r>
              <w:rPr>
                <w:color w:val="000000"/>
                <w:sz w:val="24"/>
                <w:szCs w:val="24"/>
              </w:rPr>
              <w:t>1,130,460</w:t>
            </w:r>
          </w:p>
        </w:tc>
        <w:tc>
          <w:tcPr>
            <w:tcW w:w="1924" w:type="dxa"/>
            <w:vAlign w:val="center"/>
          </w:tcPr>
          <w:p w:rsidR="001873AD" w:rsidRDefault="00641F87">
            <w:pPr>
              <w:jc w:val="right"/>
            </w:pPr>
            <w:r>
              <w:rPr>
                <w:color w:val="000000"/>
                <w:sz w:val="24"/>
                <w:szCs w:val="24"/>
              </w:rPr>
              <w:t>15,430,779.00</w:t>
            </w:r>
          </w:p>
        </w:tc>
        <w:tc>
          <w:tcPr>
            <w:tcW w:w="1644" w:type="dxa"/>
            <w:vAlign w:val="center"/>
          </w:tcPr>
          <w:p w:rsidR="001873AD" w:rsidRDefault="00641F87">
            <w:pPr>
              <w:jc w:val="right"/>
            </w:pPr>
            <w:r>
              <w:rPr>
                <w:color w:val="000000"/>
                <w:sz w:val="24"/>
                <w:szCs w:val="24"/>
              </w:rPr>
              <w:t>4.18</w:t>
            </w:r>
          </w:p>
        </w:tc>
      </w:tr>
      <w:tr w:rsidR="001873AD">
        <w:trPr>
          <w:jc w:val="center"/>
        </w:trPr>
        <w:tc>
          <w:tcPr>
            <w:tcW w:w="855" w:type="dxa"/>
            <w:vAlign w:val="center"/>
          </w:tcPr>
          <w:p w:rsidR="001873AD" w:rsidRDefault="00641F87">
            <w:pPr>
              <w:jc w:val="center"/>
            </w:pPr>
            <w:r>
              <w:rPr>
                <w:color w:val="000000"/>
                <w:sz w:val="24"/>
                <w:szCs w:val="24"/>
              </w:rPr>
              <w:lastRenderedPageBreak/>
              <w:t>6</w:t>
            </w:r>
          </w:p>
        </w:tc>
        <w:tc>
          <w:tcPr>
            <w:tcW w:w="1334" w:type="dxa"/>
            <w:vAlign w:val="center"/>
          </w:tcPr>
          <w:p w:rsidR="001873AD" w:rsidRDefault="00641F87">
            <w:pPr>
              <w:jc w:val="center"/>
            </w:pPr>
            <w:r>
              <w:rPr>
                <w:color w:val="000000"/>
                <w:sz w:val="24"/>
                <w:szCs w:val="24"/>
              </w:rPr>
              <w:t>300367</w:t>
            </w:r>
          </w:p>
        </w:tc>
        <w:tc>
          <w:tcPr>
            <w:tcW w:w="1777" w:type="dxa"/>
            <w:vAlign w:val="center"/>
          </w:tcPr>
          <w:p w:rsidR="001873AD" w:rsidRDefault="00641F87">
            <w:pPr>
              <w:jc w:val="center"/>
            </w:pPr>
            <w:r>
              <w:rPr>
                <w:color w:val="000000"/>
                <w:sz w:val="24"/>
                <w:szCs w:val="24"/>
              </w:rPr>
              <w:t>东方网力</w:t>
            </w:r>
          </w:p>
        </w:tc>
        <w:tc>
          <w:tcPr>
            <w:tcW w:w="1334" w:type="dxa"/>
            <w:vAlign w:val="center"/>
          </w:tcPr>
          <w:p w:rsidR="001873AD" w:rsidRDefault="00641F87">
            <w:pPr>
              <w:jc w:val="right"/>
            </w:pPr>
            <w:r>
              <w:rPr>
                <w:color w:val="000000"/>
                <w:sz w:val="24"/>
                <w:szCs w:val="24"/>
              </w:rPr>
              <w:t>233,900</w:t>
            </w:r>
          </w:p>
        </w:tc>
        <w:tc>
          <w:tcPr>
            <w:tcW w:w="1924" w:type="dxa"/>
            <w:vAlign w:val="center"/>
          </w:tcPr>
          <w:p w:rsidR="001873AD" w:rsidRDefault="00641F87">
            <w:pPr>
              <w:jc w:val="right"/>
            </w:pPr>
            <w:r>
              <w:rPr>
                <w:color w:val="000000"/>
                <w:sz w:val="24"/>
                <w:szCs w:val="24"/>
              </w:rPr>
              <w:t>13,184,943.00</w:t>
            </w:r>
          </w:p>
        </w:tc>
        <w:tc>
          <w:tcPr>
            <w:tcW w:w="1644" w:type="dxa"/>
            <w:vAlign w:val="center"/>
          </w:tcPr>
          <w:p w:rsidR="001873AD" w:rsidRDefault="00641F87">
            <w:pPr>
              <w:jc w:val="right"/>
            </w:pPr>
            <w:r>
              <w:rPr>
                <w:color w:val="000000"/>
                <w:sz w:val="24"/>
                <w:szCs w:val="24"/>
              </w:rPr>
              <w:t>3.57</w:t>
            </w:r>
          </w:p>
        </w:tc>
      </w:tr>
      <w:tr w:rsidR="001873AD">
        <w:trPr>
          <w:jc w:val="center"/>
        </w:trPr>
        <w:tc>
          <w:tcPr>
            <w:tcW w:w="855" w:type="dxa"/>
            <w:vAlign w:val="center"/>
          </w:tcPr>
          <w:p w:rsidR="001873AD" w:rsidRDefault="00641F87">
            <w:pPr>
              <w:jc w:val="center"/>
            </w:pPr>
            <w:r>
              <w:rPr>
                <w:color w:val="000000"/>
                <w:sz w:val="24"/>
                <w:szCs w:val="24"/>
              </w:rPr>
              <w:t>7</w:t>
            </w:r>
          </w:p>
        </w:tc>
        <w:tc>
          <w:tcPr>
            <w:tcW w:w="1334" w:type="dxa"/>
            <w:vAlign w:val="center"/>
          </w:tcPr>
          <w:p w:rsidR="001873AD" w:rsidRDefault="00641F87">
            <w:pPr>
              <w:jc w:val="center"/>
            </w:pPr>
            <w:r>
              <w:rPr>
                <w:color w:val="000000"/>
                <w:sz w:val="24"/>
                <w:szCs w:val="24"/>
              </w:rPr>
              <w:t>600418</w:t>
            </w:r>
          </w:p>
        </w:tc>
        <w:tc>
          <w:tcPr>
            <w:tcW w:w="1777" w:type="dxa"/>
            <w:vAlign w:val="center"/>
          </w:tcPr>
          <w:p w:rsidR="001873AD" w:rsidRDefault="00641F87">
            <w:pPr>
              <w:jc w:val="center"/>
            </w:pPr>
            <w:r>
              <w:rPr>
                <w:color w:val="000000"/>
                <w:sz w:val="24"/>
                <w:szCs w:val="24"/>
              </w:rPr>
              <w:t>江淮汽车</w:t>
            </w:r>
          </w:p>
        </w:tc>
        <w:tc>
          <w:tcPr>
            <w:tcW w:w="1334" w:type="dxa"/>
            <w:vAlign w:val="center"/>
          </w:tcPr>
          <w:p w:rsidR="001873AD" w:rsidRDefault="00641F87">
            <w:pPr>
              <w:jc w:val="right"/>
            </w:pPr>
            <w:r>
              <w:rPr>
                <w:color w:val="000000"/>
                <w:sz w:val="24"/>
                <w:szCs w:val="24"/>
              </w:rPr>
              <w:t>952,500</w:t>
            </w:r>
          </w:p>
        </w:tc>
        <w:tc>
          <w:tcPr>
            <w:tcW w:w="1924" w:type="dxa"/>
            <w:vAlign w:val="center"/>
          </w:tcPr>
          <w:p w:rsidR="001873AD" w:rsidRDefault="00641F87">
            <w:pPr>
              <w:jc w:val="right"/>
            </w:pPr>
            <w:r>
              <w:rPr>
                <w:color w:val="000000"/>
                <w:sz w:val="24"/>
                <w:szCs w:val="24"/>
              </w:rPr>
              <w:t>12,649,200.00</w:t>
            </w:r>
          </w:p>
        </w:tc>
        <w:tc>
          <w:tcPr>
            <w:tcW w:w="1644" w:type="dxa"/>
            <w:vAlign w:val="center"/>
          </w:tcPr>
          <w:p w:rsidR="001873AD" w:rsidRDefault="00641F87">
            <w:pPr>
              <w:jc w:val="right"/>
            </w:pPr>
            <w:r>
              <w:rPr>
                <w:color w:val="000000"/>
                <w:sz w:val="24"/>
                <w:szCs w:val="24"/>
              </w:rPr>
              <w:t>3.42</w:t>
            </w:r>
          </w:p>
        </w:tc>
      </w:tr>
      <w:tr w:rsidR="001873AD">
        <w:trPr>
          <w:jc w:val="center"/>
        </w:trPr>
        <w:tc>
          <w:tcPr>
            <w:tcW w:w="855" w:type="dxa"/>
            <w:vAlign w:val="center"/>
          </w:tcPr>
          <w:p w:rsidR="001873AD" w:rsidRDefault="00641F87">
            <w:pPr>
              <w:jc w:val="center"/>
            </w:pPr>
            <w:r>
              <w:rPr>
                <w:color w:val="000000"/>
                <w:sz w:val="24"/>
                <w:szCs w:val="24"/>
              </w:rPr>
              <w:t>8</w:t>
            </w:r>
          </w:p>
        </w:tc>
        <w:tc>
          <w:tcPr>
            <w:tcW w:w="1334" w:type="dxa"/>
            <w:vAlign w:val="center"/>
          </w:tcPr>
          <w:p w:rsidR="001873AD" w:rsidRDefault="00641F87">
            <w:pPr>
              <w:jc w:val="center"/>
            </w:pPr>
            <w:r>
              <w:rPr>
                <w:color w:val="000000"/>
                <w:sz w:val="24"/>
                <w:szCs w:val="24"/>
              </w:rPr>
              <w:t>600276</w:t>
            </w:r>
          </w:p>
        </w:tc>
        <w:tc>
          <w:tcPr>
            <w:tcW w:w="1777" w:type="dxa"/>
            <w:vAlign w:val="center"/>
          </w:tcPr>
          <w:p w:rsidR="001873AD" w:rsidRDefault="00641F87">
            <w:pPr>
              <w:jc w:val="center"/>
            </w:pPr>
            <w:r>
              <w:rPr>
                <w:color w:val="000000"/>
                <w:sz w:val="24"/>
                <w:szCs w:val="24"/>
              </w:rPr>
              <w:t>恒瑞医药</w:t>
            </w:r>
          </w:p>
        </w:tc>
        <w:tc>
          <w:tcPr>
            <w:tcW w:w="1334" w:type="dxa"/>
            <w:vAlign w:val="center"/>
          </w:tcPr>
          <w:p w:rsidR="001873AD" w:rsidRDefault="00641F87">
            <w:pPr>
              <w:jc w:val="right"/>
            </w:pPr>
            <w:r>
              <w:rPr>
                <w:color w:val="000000"/>
                <w:sz w:val="24"/>
                <w:szCs w:val="24"/>
              </w:rPr>
              <w:t>263,228</w:t>
            </w:r>
          </w:p>
        </w:tc>
        <w:tc>
          <w:tcPr>
            <w:tcW w:w="1924" w:type="dxa"/>
            <w:vAlign w:val="center"/>
          </w:tcPr>
          <w:p w:rsidR="001873AD" w:rsidRDefault="00641F87">
            <w:pPr>
              <w:jc w:val="right"/>
            </w:pPr>
            <w:r>
              <w:rPr>
                <w:color w:val="000000"/>
                <w:sz w:val="24"/>
                <w:szCs w:val="24"/>
              </w:rPr>
              <w:t>12,158,501.32</w:t>
            </w:r>
          </w:p>
        </w:tc>
        <w:tc>
          <w:tcPr>
            <w:tcW w:w="1644" w:type="dxa"/>
            <w:vAlign w:val="center"/>
          </w:tcPr>
          <w:p w:rsidR="001873AD" w:rsidRDefault="00641F87">
            <w:pPr>
              <w:jc w:val="right"/>
            </w:pPr>
            <w:r>
              <w:rPr>
                <w:color w:val="000000"/>
                <w:sz w:val="24"/>
                <w:szCs w:val="24"/>
              </w:rPr>
              <w:t>3.29</w:t>
            </w:r>
          </w:p>
        </w:tc>
      </w:tr>
      <w:tr w:rsidR="001873AD">
        <w:trPr>
          <w:jc w:val="center"/>
        </w:trPr>
        <w:tc>
          <w:tcPr>
            <w:tcW w:w="855" w:type="dxa"/>
            <w:vAlign w:val="center"/>
          </w:tcPr>
          <w:p w:rsidR="001873AD" w:rsidRDefault="00641F87">
            <w:pPr>
              <w:jc w:val="center"/>
            </w:pPr>
            <w:r>
              <w:rPr>
                <w:color w:val="000000"/>
                <w:sz w:val="24"/>
                <w:szCs w:val="24"/>
              </w:rPr>
              <w:t>9</w:t>
            </w:r>
          </w:p>
        </w:tc>
        <w:tc>
          <w:tcPr>
            <w:tcW w:w="1334" w:type="dxa"/>
            <w:vAlign w:val="center"/>
          </w:tcPr>
          <w:p w:rsidR="001873AD" w:rsidRDefault="00641F87">
            <w:pPr>
              <w:jc w:val="center"/>
            </w:pPr>
            <w:r>
              <w:rPr>
                <w:color w:val="000000"/>
                <w:sz w:val="24"/>
                <w:szCs w:val="24"/>
              </w:rPr>
              <w:t>300332</w:t>
            </w:r>
          </w:p>
        </w:tc>
        <w:tc>
          <w:tcPr>
            <w:tcW w:w="1777" w:type="dxa"/>
            <w:vAlign w:val="center"/>
          </w:tcPr>
          <w:p w:rsidR="001873AD" w:rsidRDefault="00641F87">
            <w:pPr>
              <w:jc w:val="center"/>
            </w:pPr>
            <w:r>
              <w:rPr>
                <w:color w:val="000000"/>
                <w:sz w:val="24"/>
                <w:szCs w:val="24"/>
              </w:rPr>
              <w:t>天壕环境</w:t>
            </w:r>
          </w:p>
        </w:tc>
        <w:tc>
          <w:tcPr>
            <w:tcW w:w="1334" w:type="dxa"/>
            <w:vAlign w:val="center"/>
          </w:tcPr>
          <w:p w:rsidR="001873AD" w:rsidRDefault="00641F87">
            <w:pPr>
              <w:jc w:val="right"/>
            </w:pPr>
            <w:r>
              <w:rPr>
                <w:color w:val="000000"/>
                <w:sz w:val="24"/>
                <w:szCs w:val="24"/>
              </w:rPr>
              <w:t>597,387</w:t>
            </w:r>
          </w:p>
        </w:tc>
        <w:tc>
          <w:tcPr>
            <w:tcW w:w="1924" w:type="dxa"/>
            <w:vAlign w:val="center"/>
          </w:tcPr>
          <w:p w:rsidR="001873AD" w:rsidRDefault="00641F87">
            <w:pPr>
              <w:jc w:val="right"/>
            </w:pPr>
            <w:r>
              <w:rPr>
                <w:color w:val="000000"/>
                <w:sz w:val="24"/>
                <w:szCs w:val="24"/>
              </w:rPr>
              <w:t>12,126,956.10</w:t>
            </w:r>
          </w:p>
        </w:tc>
        <w:tc>
          <w:tcPr>
            <w:tcW w:w="1644" w:type="dxa"/>
            <w:vAlign w:val="center"/>
          </w:tcPr>
          <w:p w:rsidR="001873AD" w:rsidRDefault="00641F87">
            <w:pPr>
              <w:jc w:val="right"/>
            </w:pPr>
            <w:r>
              <w:rPr>
                <w:color w:val="000000"/>
                <w:sz w:val="24"/>
                <w:szCs w:val="24"/>
              </w:rPr>
              <w:t>3.28</w:t>
            </w:r>
          </w:p>
        </w:tc>
      </w:tr>
      <w:tr w:rsidR="001873AD">
        <w:trPr>
          <w:jc w:val="center"/>
        </w:trPr>
        <w:tc>
          <w:tcPr>
            <w:tcW w:w="855" w:type="dxa"/>
            <w:vAlign w:val="center"/>
          </w:tcPr>
          <w:p w:rsidR="001873AD" w:rsidRDefault="00641F87">
            <w:pPr>
              <w:jc w:val="center"/>
            </w:pPr>
            <w:r>
              <w:rPr>
                <w:color w:val="000000"/>
                <w:sz w:val="24"/>
                <w:szCs w:val="24"/>
              </w:rPr>
              <w:t>10</w:t>
            </w:r>
          </w:p>
        </w:tc>
        <w:tc>
          <w:tcPr>
            <w:tcW w:w="1334" w:type="dxa"/>
            <w:vAlign w:val="center"/>
          </w:tcPr>
          <w:p w:rsidR="001873AD" w:rsidRDefault="00641F87">
            <w:pPr>
              <w:jc w:val="center"/>
            </w:pPr>
            <w:r>
              <w:rPr>
                <w:color w:val="000000"/>
                <w:sz w:val="24"/>
                <w:szCs w:val="24"/>
              </w:rPr>
              <w:t>600804</w:t>
            </w:r>
          </w:p>
        </w:tc>
        <w:tc>
          <w:tcPr>
            <w:tcW w:w="1777" w:type="dxa"/>
            <w:vAlign w:val="center"/>
          </w:tcPr>
          <w:p w:rsidR="001873AD" w:rsidRDefault="00641F87">
            <w:pPr>
              <w:jc w:val="center"/>
            </w:pPr>
            <w:r>
              <w:rPr>
                <w:color w:val="000000"/>
                <w:sz w:val="24"/>
                <w:szCs w:val="24"/>
              </w:rPr>
              <w:t>鹏博士</w:t>
            </w:r>
          </w:p>
        </w:tc>
        <w:tc>
          <w:tcPr>
            <w:tcW w:w="1334" w:type="dxa"/>
            <w:vAlign w:val="center"/>
          </w:tcPr>
          <w:p w:rsidR="001873AD" w:rsidRDefault="00641F87">
            <w:pPr>
              <w:jc w:val="right"/>
            </w:pPr>
            <w:r>
              <w:rPr>
                <w:color w:val="000000"/>
                <w:sz w:val="24"/>
                <w:szCs w:val="24"/>
              </w:rPr>
              <w:t>548,722</w:t>
            </w:r>
          </w:p>
        </w:tc>
        <w:tc>
          <w:tcPr>
            <w:tcW w:w="1924" w:type="dxa"/>
            <w:vAlign w:val="center"/>
          </w:tcPr>
          <w:p w:rsidR="001873AD" w:rsidRDefault="00641F87">
            <w:pPr>
              <w:jc w:val="right"/>
            </w:pPr>
            <w:r>
              <w:rPr>
                <w:color w:val="000000"/>
                <w:sz w:val="24"/>
                <w:szCs w:val="24"/>
              </w:rPr>
              <w:t>11,813,984.66</w:t>
            </w:r>
          </w:p>
        </w:tc>
        <w:tc>
          <w:tcPr>
            <w:tcW w:w="1644" w:type="dxa"/>
            <w:vAlign w:val="center"/>
          </w:tcPr>
          <w:p w:rsidR="001873AD" w:rsidRDefault="00641F87">
            <w:pPr>
              <w:jc w:val="right"/>
            </w:pPr>
            <w:r>
              <w:rPr>
                <w:color w:val="000000"/>
                <w:sz w:val="24"/>
                <w:szCs w:val="24"/>
              </w:rPr>
              <w:t>3.20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30,080,000.00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30,080,000.00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30,080,000.00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873AD">
        <w:trPr>
          <w:jc w:val="center"/>
        </w:trPr>
        <w:tc>
          <w:tcPr>
            <w:tcW w:w="850" w:type="dxa"/>
            <w:vAlign w:val="center"/>
          </w:tcPr>
          <w:p w:rsidR="001873AD" w:rsidRDefault="00641F87">
            <w:pPr>
              <w:jc w:val="center"/>
            </w:pPr>
            <w:r>
              <w:rPr>
                <w:color w:val="000000"/>
                <w:sz w:val="24"/>
                <w:szCs w:val="24"/>
              </w:rPr>
              <w:t>1</w:t>
            </w:r>
          </w:p>
        </w:tc>
        <w:tc>
          <w:tcPr>
            <w:tcW w:w="1475" w:type="dxa"/>
            <w:vAlign w:val="center"/>
          </w:tcPr>
          <w:p w:rsidR="001873AD" w:rsidRDefault="00641F87">
            <w:pPr>
              <w:jc w:val="center"/>
            </w:pPr>
            <w:r>
              <w:rPr>
                <w:color w:val="000000"/>
                <w:sz w:val="24"/>
                <w:szCs w:val="24"/>
              </w:rPr>
              <w:t>140230</w:t>
            </w:r>
          </w:p>
        </w:tc>
        <w:tc>
          <w:tcPr>
            <w:tcW w:w="1769" w:type="dxa"/>
            <w:vAlign w:val="center"/>
          </w:tcPr>
          <w:p w:rsidR="001873AD" w:rsidRDefault="00641F87">
            <w:pPr>
              <w:jc w:val="center"/>
            </w:pPr>
            <w:r>
              <w:rPr>
                <w:color w:val="000000"/>
                <w:sz w:val="24"/>
                <w:szCs w:val="24"/>
              </w:rPr>
              <w:t>14</w:t>
            </w:r>
            <w:r>
              <w:rPr>
                <w:color w:val="000000"/>
                <w:sz w:val="24"/>
                <w:szCs w:val="24"/>
              </w:rPr>
              <w:t>国开</w:t>
            </w:r>
            <w:r>
              <w:rPr>
                <w:color w:val="000000"/>
                <w:sz w:val="24"/>
                <w:szCs w:val="24"/>
              </w:rPr>
              <w:t>30</w:t>
            </w:r>
          </w:p>
        </w:tc>
        <w:tc>
          <w:tcPr>
            <w:tcW w:w="1387" w:type="dxa"/>
            <w:vAlign w:val="center"/>
          </w:tcPr>
          <w:p w:rsidR="001873AD" w:rsidRDefault="00641F87">
            <w:pPr>
              <w:jc w:val="right"/>
            </w:pPr>
            <w:r>
              <w:rPr>
                <w:color w:val="000000"/>
                <w:sz w:val="24"/>
                <w:szCs w:val="24"/>
              </w:rPr>
              <w:t>200,000</w:t>
            </w:r>
          </w:p>
        </w:tc>
        <w:tc>
          <w:tcPr>
            <w:tcW w:w="2150" w:type="dxa"/>
            <w:vAlign w:val="center"/>
          </w:tcPr>
          <w:p w:rsidR="001873AD" w:rsidRDefault="00641F87">
            <w:pPr>
              <w:jc w:val="right"/>
            </w:pPr>
            <w:r>
              <w:rPr>
                <w:color w:val="000000"/>
                <w:sz w:val="24"/>
                <w:szCs w:val="24"/>
              </w:rPr>
              <w:t>20,044,000.00</w:t>
            </w:r>
          </w:p>
        </w:tc>
        <w:tc>
          <w:tcPr>
            <w:tcW w:w="1237" w:type="dxa"/>
            <w:vAlign w:val="center"/>
          </w:tcPr>
          <w:p w:rsidR="001873AD" w:rsidRDefault="00641F87">
            <w:pPr>
              <w:jc w:val="right"/>
            </w:pPr>
            <w:r>
              <w:rPr>
                <w:color w:val="000000"/>
                <w:sz w:val="24"/>
                <w:szCs w:val="24"/>
              </w:rPr>
              <w:t>5.43</w:t>
            </w:r>
          </w:p>
        </w:tc>
      </w:tr>
      <w:tr w:rsidR="001873AD">
        <w:trPr>
          <w:jc w:val="center"/>
        </w:trPr>
        <w:tc>
          <w:tcPr>
            <w:tcW w:w="850" w:type="dxa"/>
            <w:vAlign w:val="center"/>
          </w:tcPr>
          <w:p w:rsidR="001873AD" w:rsidRDefault="00641F87">
            <w:pPr>
              <w:jc w:val="center"/>
            </w:pPr>
            <w:r>
              <w:rPr>
                <w:color w:val="000000"/>
                <w:sz w:val="24"/>
                <w:szCs w:val="24"/>
              </w:rPr>
              <w:t>2</w:t>
            </w:r>
          </w:p>
        </w:tc>
        <w:tc>
          <w:tcPr>
            <w:tcW w:w="1475" w:type="dxa"/>
            <w:vAlign w:val="center"/>
          </w:tcPr>
          <w:p w:rsidR="001873AD" w:rsidRDefault="00641F87">
            <w:pPr>
              <w:jc w:val="center"/>
            </w:pPr>
            <w:r>
              <w:rPr>
                <w:color w:val="000000"/>
                <w:sz w:val="24"/>
                <w:szCs w:val="24"/>
              </w:rPr>
              <w:t>150301</w:t>
            </w:r>
          </w:p>
        </w:tc>
        <w:tc>
          <w:tcPr>
            <w:tcW w:w="1769" w:type="dxa"/>
            <w:vAlign w:val="center"/>
          </w:tcPr>
          <w:p w:rsidR="001873AD" w:rsidRDefault="00641F87">
            <w:pPr>
              <w:jc w:val="center"/>
            </w:pPr>
            <w:r>
              <w:rPr>
                <w:color w:val="000000"/>
                <w:sz w:val="24"/>
                <w:szCs w:val="24"/>
              </w:rPr>
              <w:t>15</w:t>
            </w:r>
            <w:r>
              <w:rPr>
                <w:color w:val="000000"/>
                <w:sz w:val="24"/>
                <w:szCs w:val="24"/>
              </w:rPr>
              <w:t>进出</w:t>
            </w:r>
            <w:r>
              <w:rPr>
                <w:color w:val="000000"/>
                <w:sz w:val="24"/>
                <w:szCs w:val="24"/>
              </w:rPr>
              <w:t>01</w:t>
            </w:r>
          </w:p>
        </w:tc>
        <w:tc>
          <w:tcPr>
            <w:tcW w:w="1387" w:type="dxa"/>
            <w:vAlign w:val="center"/>
          </w:tcPr>
          <w:p w:rsidR="001873AD" w:rsidRDefault="00641F87">
            <w:pPr>
              <w:jc w:val="right"/>
            </w:pPr>
            <w:r>
              <w:rPr>
                <w:color w:val="000000"/>
                <w:sz w:val="24"/>
                <w:szCs w:val="24"/>
              </w:rPr>
              <w:t>100,000</w:t>
            </w:r>
          </w:p>
        </w:tc>
        <w:tc>
          <w:tcPr>
            <w:tcW w:w="2150" w:type="dxa"/>
            <w:vAlign w:val="center"/>
          </w:tcPr>
          <w:p w:rsidR="001873AD" w:rsidRDefault="00641F87">
            <w:pPr>
              <w:jc w:val="right"/>
            </w:pPr>
            <w:r>
              <w:rPr>
                <w:color w:val="000000"/>
                <w:sz w:val="24"/>
                <w:szCs w:val="24"/>
              </w:rPr>
              <w:t>10,036,000.00</w:t>
            </w:r>
          </w:p>
        </w:tc>
        <w:tc>
          <w:tcPr>
            <w:tcW w:w="1237" w:type="dxa"/>
            <w:vAlign w:val="center"/>
          </w:tcPr>
          <w:p w:rsidR="001873AD" w:rsidRDefault="00641F87">
            <w:pPr>
              <w:jc w:val="right"/>
            </w:pPr>
            <w:r>
              <w:rPr>
                <w:color w:val="000000"/>
                <w:sz w:val="24"/>
                <w:szCs w:val="24"/>
              </w:rPr>
              <w:t>2.72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559,903.03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887,607.20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117,346.62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1,564,856.85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873AD">
        <w:trPr>
          <w:jc w:val="center"/>
        </w:trPr>
        <w:tc>
          <w:tcPr>
            <w:tcW w:w="1129" w:type="dxa"/>
            <w:vAlign w:val="center"/>
          </w:tcPr>
          <w:p w:rsidR="001873AD" w:rsidRDefault="00641F87">
            <w:pPr>
              <w:jc w:val="center"/>
            </w:pPr>
            <w:r>
              <w:rPr>
                <w:color w:val="000000"/>
                <w:sz w:val="24"/>
                <w:szCs w:val="24"/>
              </w:rPr>
              <w:lastRenderedPageBreak/>
              <w:t>1</w:t>
            </w:r>
          </w:p>
        </w:tc>
        <w:tc>
          <w:tcPr>
            <w:tcW w:w="1356" w:type="dxa"/>
            <w:vAlign w:val="center"/>
          </w:tcPr>
          <w:p w:rsidR="001873AD" w:rsidRDefault="00641F87">
            <w:pPr>
              <w:jc w:val="center"/>
            </w:pPr>
            <w:r>
              <w:rPr>
                <w:color w:val="000000"/>
                <w:sz w:val="24"/>
                <w:szCs w:val="24"/>
              </w:rPr>
              <w:t>300262</w:t>
            </w:r>
          </w:p>
        </w:tc>
        <w:tc>
          <w:tcPr>
            <w:tcW w:w="1355" w:type="dxa"/>
            <w:vAlign w:val="center"/>
          </w:tcPr>
          <w:p w:rsidR="001873AD" w:rsidRDefault="00641F87">
            <w:pPr>
              <w:jc w:val="center"/>
            </w:pPr>
            <w:r>
              <w:rPr>
                <w:color w:val="000000"/>
                <w:sz w:val="24"/>
                <w:szCs w:val="24"/>
              </w:rPr>
              <w:t>巴安水务</w:t>
            </w:r>
          </w:p>
        </w:tc>
        <w:tc>
          <w:tcPr>
            <w:tcW w:w="1880" w:type="dxa"/>
            <w:vAlign w:val="center"/>
          </w:tcPr>
          <w:p w:rsidR="001873AD" w:rsidRDefault="00641F87">
            <w:pPr>
              <w:jc w:val="right"/>
            </w:pPr>
            <w:r>
              <w:rPr>
                <w:color w:val="000000"/>
                <w:sz w:val="24"/>
                <w:szCs w:val="24"/>
              </w:rPr>
              <w:t>15,430,779.00</w:t>
            </w:r>
          </w:p>
        </w:tc>
        <w:tc>
          <w:tcPr>
            <w:tcW w:w="1724" w:type="dxa"/>
            <w:vAlign w:val="center"/>
          </w:tcPr>
          <w:p w:rsidR="001873AD" w:rsidRDefault="00641F87">
            <w:pPr>
              <w:jc w:val="right"/>
            </w:pPr>
            <w:r>
              <w:rPr>
                <w:color w:val="000000"/>
                <w:sz w:val="24"/>
                <w:szCs w:val="24"/>
              </w:rPr>
              <w:t>4.18</w:t>
            </w:r>
          </w:p>
        </w:tc>
        <w:tc>
          <w:tcPr>
            <w:tcW w:w="1424" w:type="dxa"/>
            <w:vAlign w:val="center"/>
          </w:tcPr>
          <w:p w:rsidR="001873AD" w:rsidRDefault="00641F87">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296,367,057.25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54,546,457.30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98,354,124.70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252,559,389.85</w:t>
            </w:r>
          </w:p>
        </w:tc>
      </w:tr>
    </w:tbl>
    <w:p w:rsidR="001873AD" w:rsidRDefault="00641F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1873AD" w:rsidRDefault="00641F87">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根据《中华人民共和国证券投资基金法》、《关于实施</w:t>
      </w:r>
      <w:r>
        <w:rPr>
          <w:color w:val="000000"/>
          <w:sz w:val="24"/>
          <w:szCs w:val="24"/>
        </w:rPr>
        <w:t>&lt;</w:t>
      </w:r>
      <w:r>
        <w:rPr>
          <w:color w:val="000000"/>
          <w:sz w:val="24"/>
          <w:szCs w:val="24"/>
        </w:rPr>
        <w:t>公开募集证券投资基金运作管理办法</w:t>
      </w:r>
      <w:r>
        <w:rPr>
          <w:color w:val="000000"/>
          <w:sz w:val="24"/>
          <w:szCs w:val="24"/>
        </w:rPr>
        <w:t>&gt;</w:t>
      </w:r>
      <w:r>
        <w:rPr>
          <w:color w:val="000000"/>
          <w:sz w:val="24"/>
          <w:szCs w:val="24"/>
        </w:rPr>
        <w:t>有关问题的规定》以及《公开募集证券投资基金运作管理办法》第三十条的规定</w:t>
      </w:r>
      <w:r>
        <w:rPr>
          <w:color w:val="000000"/>
          <w:sz w:val="24"/>
          <w:szCs w:val="24"/>
        </w:rPr>
        <w:t>“</w:t>
      </w:r>
      <w:r>
        <w:rPr>
          <w:color w:val="000000"/>
          <w:sz w:val="24"/>
          <w:szCs w:val="24"/>
        </w:rPr>
        <w:t>基金合同和基金招募说明书应当按照下列规定载明基金的类别：（一）百分之八十以上的基金资产投资于股票的，为股票基金；</w:t>
      </w:r>
      <w:r>
        <w:rPr>
          <w:color w:val="000000"/>
          <w:sz w:val="24"/>
          <w:szCs w:val="24"/>
        </w:rPr>
        <w:t>……</w:t>
      </w:r>
      <w:r>
        <w:rPr>
          <w:color w:val="000000"/>
          <w:sz w:val="24"/>
          <w:szCs w:val="24"/>
        </w:rPr>
        <w:t>（五）投资于股票、债券、货币市场工具或其他基金份额，并且股票投资、债券投资、基金投资的比例不符合第（一）项、第（二）项、第（四）项规定的，为混合基金；</w:t>
      </w:r>
      <w:r>
        <w:rPr>
          <w:color w:val="000000"/>
          <w:sz w:val="24"/>
          <w:szCs w:val="24"/>
        </w:rPr>
        <w:t>……”</w:t>
      </w:r>
      <w:r>
        <w:rPr>
          <w:color w:val="000000"/>
          <w:sz w:val="24"/>
          <w:szCs w:val="24"/>
        </w:rPr>
        <w:t>，由于交银施罗德新成长股票型证券投资基金的基金投资比例已不符合《公开募集证券投资基金运作管理办法》中关于股票型基金的要求，经与基金托管人协商一致，并报中国证监会备案，本基金管理人决</w:t>
      </w:r>
      <w:r>
        <w:rPr>
          <w:color w:val="000000"/>
          <w:sz w:val="24"/>
          <w:szCs w:val="24"/>
        </w:rPr>
        <w:lastRenderedPageBreak/>
        <w:t>定自</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日起，调整本基金类型为混合型基金，基金名称变更为</w:t>
      </w:r>
      <w:r>
        <w:rPr>
          <w:color w:val="000000"/>
          <w:sz w:val="24"/>
          <w:szCs w:val="24"/>
        </w:rPr>
        <w:t>“</w:t>
      </w:r>
      <w:r>
        <w:rPr>
          <w:color w:val="000000"/>
          <w:sz w:val="24"/>
          <w:szCs w:val="24"/>
        </w:rPr>
        <w:t>交银施罗德新成长混合型证券投资基金</w:t>
      </w:r>
      <w:r>
        <w:rPr>
          <w:color w:val="000000"/>
          <w:sz w:val="24"/>
          <w:szCs w:val="24"/>
        </w:rPr>
        <w:t>”</w:t>
      </w:r>
      <w:r>
        <w:rPr>
          <w:color w:val="000000"/>
          <w:sz w:val="24"/>
          <w:szCs w:val="24"/>
        </w:rPr>
        <w:t>，同时相应修改基金合同和托管协议相关表述。详情请见本基金管理人于</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5</w:t>
      </w:r>
      <w:r>
        <w:rPr>
          <w:color w:val="000000"/>
          <w:sz w:val="24"/>
          <w:szCs w:val="24"/>
        </w:rPr>
        <w:t>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鉴于交银施罗德新成长混合型证券投资基金的业绩比较基准的指数停止计算编制，本基金管理人根据基金合同的相关约定，经与基金托管人协商一致，并报中国证监会备案，决定自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日起将交银施罗德新成长混合型证券投资基金的业绩比较基准由原</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873AD" w:rsidRDefault="00641F8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1873AD" w:rsidRDefault="00641F8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1873AD" w:rsidRDefault="00641F8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1873AD" w:rsidRDefault="00641F8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1873AD" w:rsidRDefault="00641F8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1873AD" w:rsidRDefault="00641F8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1873AD" w:rsidRDefault="00641F8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873AD" w:rsidRDefault="00641F8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17" w:rsidRDefault="005E3D17" w:rsidP="00876D65">
      <w:r>
        <w:separator/>
      </w:r>
    </w:p>
  </w:endnote>
  <w:endnote w:type="continuationSeparator" w:id="0">
    <w:p w:rsidR="005E3D17" w:rsidRDefault="005E3D1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D8111C">
      <w:rPr>
        <w:noProof/>
        <w:kern w:val="0"/>
        <w:szCs w:val="21"/>
      </w:rPr>
      <w:t>10</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D8111C">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17" w:rsidRDefault="005E3D17" w:rsidP="00876D65">
      <w:r>
        <w:separator/>
      </w:r>
    </w:p>
  </w:footnote>
  <w:footnote w:type="continuationSeparator" w:id="0">
    <w:p w:rsidR="005E3D17" w:rsidRDefault="005E3D1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35D5"/>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873AD"/>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3D17"/>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1F87"/>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077E"/>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17A94"/>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11C"/>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29B"/>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406"/>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B1A13-916A-4842-938C-F744FEC3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A0EC-04DF-42B4-A279-D0C54298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2015-10-22T06:51:00Z</dcterms:modified>
</cp:coreProperties>
</file>