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2015年第3季度报告</w:t>
      </w:r>
    </w:p>
    <w:p w:rsidR="009A2283" w:rsidRPr="005858C2" w:rsidRDefault="00577209" w:rsidP="007C14DF">
      <w:pPr>
        <w:spacing w:before="29" w:line="288" w:lineRule="auto"/>
        <w:jc w:val="center"/>
        <w:rPr>
          <w:b/>
          <w:sz w:val="36"/>
          <w:szCs w:val="36"/>
        </w:rPr>
      </w:pPr>
      <w:r w:rsidRPr="005858C2">
        <w:rPr>
          <w:b/>
          <w:sz w:val="36"/>
          <w:szCs w:val="36"/>
        </w:rPr>
        <w:t/>
      </w:r>
      <w:r w:rsidR="00121533" w:rsidRPr="005858C2">
        <w:rPr>
          <w:b/>
          <w:sz w:val="36"/>
          <w:szCs w:val="36"/>
        </w:rPr>
        <w:t>2015年9月30日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二〇一五年十月二十七日</w:t>
      </w:r>
    </w:p>
    <w:p w:rsidR="009238DB" w:rsidRPr="007F52FA" w:rsidRDefault="009238DB" w:rsidP="00514118">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基金托管人中信银行股份有限公司根据本基金合同规定，于2015年10月26日复核了本报告中的财务指标、净值表现和投资组合报告等内容，保证复核内容不存在虚假记载、误导性陈述或者重大遗漏。　　</w:t>
      </w:r>
    </w:p>
    <w:p>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本报告期自2015年7月1日起至9月30日止。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514118">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2013年4月18日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1,186,979,390.84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交银双轮动债券A/B</w:t>
            </w:r>
          </w:p>
        </w:tc>
        <w:tc>
          <w:tcPr>
            <w:tcW w:w="3048"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交银双轮动债券C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w="2922"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1,057,579,816.95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129,399,573.89</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注：本基金A类基金份额采用前端收费模式，B类基金份额采用后端收费模式，前端交易代码即为A类基金份额交易代码，后端交易代码即为B类基金份额交易代码。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514118">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(2015年7月1日-2015年9月30日)</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交银双轮动债券A/B</w:t>
            </w: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交银双轮动债券C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2,103,362.41</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1,182,373.28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3,290,780.76</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1,765,987.74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0.0150</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1,123,554,004.33</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136,189,418.30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1.062</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1.052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交银双轮动债券A/B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1.81%</w:t>
            </w:r>
          </w:p>
        </w:tc>
        <w:tc>
          <w:tcPr>
            <w:vAlign w:val="center"/>
          </w:tcPr>
          <w:p>
            <w:pPr>
              <w:jc w:val="center"/>
            </w:pPr>
            <w:r>
              <w:rPr>
                <w:color w:val="000000"/>
                <w:sz w:val="24"/>
              </w:rPr>
              <w:t>0.07%</w:t>
            </w:r>
          </w:p>
        </w:tc>
        <w:tc>
          <w:tcPr>
            <w:vAlign w:val="center"/>
          </w:tcPr>
          <w:p>
            <w:pPr>
              <w:jc w:val="center"/>
            </w:pPr>
            <w:r>
              <w:rPr>
                <w:color w:val="000000"/>
                <w:sz w:val="24"/>
              </w:rPr>
              <w:t>1.12%</w:t>
            </w:r>
          </w:p>
        </w:tc>
        <w:tc>
          <w:tcPr>
            <w:vAlign w:val="center"/>
          </w:tcPr>
          <w:p>
            <w:pPr>
              <w:jc w:val="center"/>
            </w:pPr>
            <w:r>
              <w:rPr>
                <w:color w:val="000000"/>
                <w:sz w:val="24"/>
              </w:rPr>
              <w:t>0.06%</w:t>
            </w:r>
          </w:p>
        </w:tc>
        <w:tc>
          <w:tcPr>
            <w:vAlign w:val="center"/>
          </w:tcPr>
          <w:p>
            <w:pPr>
              <w:jc w:val="center"/>
            </w:pPr>
            <w:r>
              <w:rPr>
                <w:color w:val="000000"/>
                <w:sz w:val="24"/>
              </w:rPr>
              <w:t>0.69%</w:t>
            </w:r>
          </w:p>
        </w:tc>
        <w:tc>
          <w:tcPr>
            <w:vAlign w:val="center"/>
          </w:tcPr>
          <w:p>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交银双轮动债券C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1.63%</w:t>
            </w:r>
          </w:p>
        </w:tc>
        <w:tc>
          <w:tcPr>
            <w:vAlign w:val="center"/>
          </w:tcPr>
          <w:p>
            <w:pPr>
              <w:jc w:val="center"/>
            </w:pPr>
            <w:r>
              <w:rPr>
                <w:color w:val="000000"/>
                <w:sz w:val="24"/>
              </w:rPr>
              <w:t>0.07%</w:t>
            </w:r>
          </w:p>
        </w:tc>
        <w:tc>
          <w:tcPr>
            <w:vAlign w:val="center"/>
          </w:tcPr>
          <w:p>
            <w:pPr>
              <w:jc w:val="center"/>
            </w:pPr>
            <w:r>
              <w:rPr>
                <w:color w:val="000000"/>
                <w:sz w:val="24"/>
              </w:rPr>
              <w:t>1.12%</w:t>
            </w:r>
          </w:p>
        </w:tc>
        <w:tc>
          <w:tcPr>
            <w:vAlign w:val="center"/>
          </w:tcPr>
          <w:p>
            <w:pPr>
              <w:jc w:val="center"/>
            </w:pPr>
            <w:r>
              <w:rPr>
                <w:color w:val="000000"/>
                <w:sz w:val="24"/>
              </w:rPr>
              <w:t>0.06%</w:t>
            </w:r>
          </w:p>
        </w:tc>
        <w:tc>
          <w:tcPr>
            <w:vAlign w:val="center"/>
          </w:tcPr>
          <w:p>
            <w:pPr>
              <w:jc w:val="center"/>
            </w:pPr>
            <w:r>
              <w:rPr>
                <w:color w:val="000000"/>
                <w:sz w:val="24"/>
              </w:rPr>
              <w:t>0.51%</w:t>
            </w:r>
          </w:p>
        </w:tc>
        <w:tc>
          <w:tcPr>
            <w:vAlign w:val="center"/>
          </w:tcPr>
          <w:p>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2013年4月18日</w:t>
      </w:r>
      <w:r w:rsidR="009A045B" w:rsidRPr="007F52FA">
        <w:rPr>
          <w:rFonts w:ascii="Times New Roman" w:hAnsi="Times New Roman"/>
          <w:sz w:val="24"/>
          <w:szCs w:val="24"/>
        </w:rPr>
        <w:t>至</w:t>
      </w:r>
      <w:r w:rsidRPr="007F52FA">
        <w:rPr>
          <w:rFonts w:ascii="Times New Roman" w:hAnsi="Times New Roman"/>
          <w:sz w:val="24"/>
          <w:szCs w:val="24"/>
        </w:rPr>
        <w:t>2015年9月30日</w:t>
      </w:r>
      <w:r w:rsidRPr="007F52FA">
        <w:rPr>
          <w:rFonts w:ascii="Times New Roman" w:hAnsi="Times New Roman"/>
          <w:sz w:val="24"/>
          <w:szCs w:val="24"/>
        </w:rPr>
        <w:t>）</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交银双轮动债券C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r w:rsidRPr="007F52FA">
        <w:rPr>
          <w:color w:val="000000"/>
          <w:sz w:val="24"/>
        </w:rPr>
        <w:t/>
      </w:r>
      <w:r w:rsidR="00FE7FBD" w:rsidRPr="007F52FA">
        <w:rPr>
          <w:color w:val="000000"/>
          <w:sz w:val="24"/>
        </w:rPr>
        <w:t/>
      </w:r>
      <w:r w:rsidRPr="007F52FA">
        <w:rPr>
          <w:color w:val="000000"/>
          <w:sz w:val="24"/>
        </w:rPr>
        <w:t/>
      </w: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514118">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赵凌琦</w:t>
            </w:r>
          </w:p>
        </w:tc>
        <w:tc>
          <w:tcPr>
            <w:vAlign w:val="center"/>
          </w:tcPr>
          <w:p>
            <w:pPr>
              <w:jc w:val="center"/>
            </w:pPr>
            <w:r>
              <w:rPr>
                <w:color w:val="000000"/>
                <w:sz w:val="24"/>
              </w:rPr>
              <w:t>交银增利债券、交银信用添利债券（LOF）、交银理财60天债券、交银双轮动债券、交银定期支付月月丰债券、交银强化回报债券、交银丰盈收益债券的基金经理，公司固定收益部副总经理</w:t>
            </w:r>
          </w:p>
        </w:tc>
        <w:tc>
          <w:tcPr>
            <w:vAlign w:val="center"/>
          </w:tcPr>
          <w:p>
            <w:pPr>
              <w:jc w:val="center"/>
            </w:pPr>
            <w:r>
              <w:rPr>
                <w:color w:val="000000"/>
                <w:sz w:val="24"/>
              </w:rPr>
              <w:t>2014-03-31</w:t>
            </w:r>
          </w:p>
        </w:tc>
        <w:tc>
          <w:tcPr>
            <w:vAlign w:val="center"/>
          </w:tcPr>
          <w:p>
            <w:pPr>
              <w:jc w:val="center"/>
            </w:pPr>
            <w:r>
              <w:rPr>
                <w:color w:val="000000"/>
                <w:sz w:val="24"/>
              </w:rPr>
              <w:t>2015-08-29</w:t>
            </w:r>
          </w:p>
        </w:tc>
        <w:tc>
          <w:tcPr>
            <w:vAlign w:val="center"/>
          </w:tcPr>
          <w:p>
            <w:pPr>
              <w:jc w:val="center"/>
            </w:pPr>
            <w:r>
              <w:rPr>
                <w:color w:val="000000"/>
                <w:sz w:val="24"/>
              </w:rPr>
              <w:t>2年</w:t>
            </w:r>
          </w:p>
        </w:tc>
        <w:tc>
          <w:tcPr>
            <w:vAlign w:val="center"/>
          </w:tcPr>
          <w:p>
            <w:pPr>
              <w:jc w:val="both"/>
            </w:pPr>
            <w:r>
              <w:rPr>
                <w:color w:val="000000"/>
                <w:sz w:val="24"/>
              </w:rPr>
              <w:t>赵凌琦女士，10年金融投资经验，财政部财政科研所经济学硕士。历任中国航空集团财务公司投资经理，中国人寿资产管理有限公司投资经理。2013年加入交银施罗德基金管理有限公司。2013年9月3日至2015年8月15日担任交银施罗德定期支付月月丰债券型证券投资基金基金经理，2014年1月28日至2015年8月15日担任交银施罗德强化回报债券型证券投资基金基金经理，2014年3月31日至2015年8月15日担任交银施罗德理财60天债券型证券投资基金基金经理。2014年3月31日至2015年8月28日担任交银施罗德双轮动债券型证券投资基金基金经理，2014年8月11日至2015年8月28日担任交银施罗德丰盈收益债券型证券投资基金基金经理，2015年5月9日至2015年8月28日担任交银施罗德信用添利债券证券投资基金（LOF）基金经理，2015年5月9日至2015年8月28日担任交银施罗德增利债券证券投资基金基金经理。</w:t>
            </w:r>
          </w:p>
        </w:tc>
      </w:tr>
      <w:tr>
        <w:tc>
          <w:tcPr>
            <w:vAlign w:val="center"/>
          </w:tcPr>
          <w:p>
            <w:pPr>
              <w:jc w:val="center"/>
            </w:pPr>
            <w:r>
              <w:rPr>
                <w:color w:val="000000"/>
                <w:sz w:val="24"/>
              </w:rPr>
              <w:t>孙超</w:t>
            </w:r>
          </w:p>
        </w:tc>
        <w:tc>
          <w:tcPr>
            <w:vAlign w:val="center"/>
          </w:tcPr>
          <w:p>
            <w:pPr>
              <w:jc w:val="center"/>
            </w:pPr>
            <w:r>
              <w:rPr>
                <w:color w:val="000000"/>
                <w:sz w:val="24"/>
              </w:rPr>
              <w:t>交银增利债券、交银纯债债券发起、交银理财60天债券、交银双轮动债券、交银定期支付月月丰债券、交银强化回报债券、交银丰润收益债券、交银丰享收益债券、交银丰泽收益债券的基金经理</w:t>
            </w:r>
          </w:p>
        </w:tc>
        <w:tc>
          <w:tcPr>
            <w:vAlign w:val="center"/>
          </w:tcPr>
          <w:p>
            <w:pPr>
              <w:jc w:val="center"/>
            </w:pPr>
            <w:r>
              <w:rPr>
                <w:color w:val="000000"/>
                <w:sz w:val="24"/>
              </w:rPr>
              <w:t>2014-08-26</w:t>
            </w:r>
          </w:p>
        </w:tc>
        <w:tc>
          <w:tcPr>
            <w:vAlign w:val="center"/>
          </w:tcPr>
          <w:p>
            <w:pPr>
              <w:jc w:val="center"/>
            </w:pPr>
            <w:r>
              <w:rPr>
                <w:color w:val="000000"/>
                <w:sz w:val="24"/>
              </w:rPr>
              <w:t>-</w:t>
            </w:r>
          </w:p>
        </w:tc>
        <w:tc>
          <w:tcPr>
            <w:vAlign w:val="center"/>
          </w:tcPr>
          <w:p>
            <w:pPr>
              <w:jc w:val="center"/>
            </w:pPr>
            <w:r>
              <w:rPr>
                <w:color w:val="000000"/>
                <w:sz w:val="24"/>
              </w:rPr>
              <w:t>4年</w:t>
            </w:r>
          </w:p>
        </w:tc>
        <w:tc>
          <w:tcPr>
            <w:vAlign w:val="center"/>
          </w:tcPr>
          <w:p>
            <w:pPr>
              <w:jc w:val="both"/>
            </w:pPr>
            <w:r>
              <w:rPr>
                <w:color w:val="000000"/>
                <w:sz w:val="24"/>
              </w:rPr>
              <w:t>孙超先生，美国哥伦比亚大学经济学硕士。历任中信建投证券股份有限公司资产管理部经理、高级经理。2013年加入交银施罗德基金管理有限公司，历任基金经理助理。</w:t>
            </w: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交银信用添利债券(LOF)、交银双轮动债券的基金经理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3年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pPr>
        <w:spacing w:before="29" w:line="288" w:lineRule="auto"/>
        <w:ind w:firstLineChars="200" w:firstLine="480"/>
        <w:rPr>
          <w:color w:val="000000"/>
          <w:sz w:val="24"/>
        </w:rPr>
      </w:pPr>
      <w:r>
        <w:rPr>
          <w:color w:val="000000"/>
          <w:sz w:val="24"/>
        </w:rPr>
        <w:t>本报告期内，债券市场受益于股市剧烈下跌带来的资产配置切换，表现相对较好。长端下行较为明显，同时期限利差有所收窄，信用债收益率也跟随利率债有所下行。债券市场走出了一轮较为明显的资金驱动的行情。</w:t>
      </w:r>
    </w:p>
    <w:p>
      <w:pPr>
        <w:spacing w:before="29" w:line="288" w:lineRule="auto"/>
        <w:ind w:firstLineChars="200" w:firstLine="480"/>
        <w:rPr>
          <w:color w:val="000000"/>
          <w:sz w:val="24"/>
        </w:rPr>
      </w:pPr>
      <w:r>
        <w:rPr>
          <w:color w:val="000000"/>
          <w:sz w:val="24"/>
        </w:rPr>
        <w:t>本报告期内，本基金为应对持续的大规模申购，在积极配置的同时，采取了信用债仓位维持相对较短久期，并用长端利率债进行波段交易，以达到加长久期的同时仍能保持较高流动性的操作策略。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银行理财等资金配置需求依然强烈，股票市场处于震荡行情，高收益资产稀缺，在各大类资产中债券或仍然具有较高的配置价值。年内政府债务置换已过大半，再加上利率债等也已经度过三季度发行最高峰，四季度供给量将大幅减少。最新的经济数据显示基本面依然疲弱，汇率短期内也趋于稳定，这都有利于中长期利率下行。信用债方面，信用利差已经压缩至历史低位，而实体经济盈利情况恶化明显，信用风险将逐渐暴露。债券绝对收益率下降会倒逼银行理财的收益率下行，未来低利率环境有望成为常态。货币当局为了对冲外汇储备下降以及引导资金成本下行，有望维持比较宽松的货币政策，年内再次降准、降息均可期。但同时，政府已经加大财政刺激，基建等投资力度有望加大，应警惕基本面边际改善对债市预期的变化以及投资者风险偏好的提升。</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2015年9月30日，交银双轮动债券A/B份额净值为1.062元，本报告期份额净值增长率为1.81%，同期业绩比较基准增长率为1.12%；交银双轮动债券C份额净值为1.052元，本报告期份额净值增长率为1.63%，同期业绩比较基准增长率为1.12%。</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514118">
      <w:pPr>
        <w:pStyle w:val="1"/>
        <w:tabs>
          <w:tab w:val="center" w:pos="4410"/>
        </w:tabs>
        <w:spacing w:beforeLines="100" w:afterLines="100"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1,128,183,851.32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1,035,550,851.32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92,633,000.00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7.35</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
            </w:r>
            <w:r w:rsidRPr="007F52FA">
              <w:rPr>
                <w:rFonts w:eastAsiaTheme="minorEastAsia"/>
                <w:color w:val="000000"/>
                <w:sz w:val="24"/>
              </w:rPr>
              <w:lastRenderedPageBreak/>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lastRenderedPageBreak/>
              <w:t/>
            </w:r>
            <w:r w:rsidRPr="007F52FA">
              <w:rPr>
                <w:rFonts w:eastAsiaTheme="minorEastAsia"/>
                <w:color w:val="000000"/>
                <w:sz w:val="24"/>
              </w:rPr>
              <w:lastRenderedPageBreak/>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lastRenderedPageBreak/>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110,000,485.00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9,056,229.50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
            </w:r>
            <w:r w:rsidRPr="007F52FA">
              <w:rPr>
                <w:color w:val="000000"/>
                <w:sz w:val="24"/>
              </w:rPr>
              <w:lastRenderedPageBreak/>
              <w:t/>
            </w:r>
            <w:r w:rsidR="004170FA" w:rsidRPr="007F52FA">
              <w:rPr>
                <w:color w:val="000000"/>
                <w:sz w:val="24"/>
              </w:rPr>
              <w:t/>
            </w: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lastRenderedPageBreak/>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
            </w:r>
            <w:r w:rsidRPr="007F52FA">
              <w:rPr>
                <w:color w:val="000000"/>
                <w:sz w:val="24"/>
              </w:rPr>
              <w:lastRenderedPageBreak/>
              <w:t>13,314,576.32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lastRenderedPageBreak/>
              <w:t/>
            </w:r>
            <w:r w:rsidRPr="007F52FA">
              <w:rPr>
                <w:color w:val="000000"/>
                <w:sz w:val="24"/>
              </w:rPr>
              <w:lastRenderedPageBreak/>
              <w:t>1.06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
            </w:r>
            <w:r w:rsidR="004170FA" w:rsidRPr="007F52FA">
              <w:rPr>
                <w:color w:val="000000"/>
                <w:sz w:val="24"/>
              </w:rPr>
              <w:t/>
            </w: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1,260,555,142.14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416,968,770.00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416,968,770.00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355,566,081.32</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159,885,000.00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12.69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103,131,000.00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lastRenderedPageBreak/>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1,035,550,851.32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150416</w:t>
            </w:r>
          </w:p>
        </w:tc>
        <w:tc>
          <w:tcPr>
            <w:vAlign w:val="center"/>
          </w:tcPr>
          <w:p>
            <w:pPr>
              <w:jc w:val="center"/>
            </w:pPr>
            <w:r>
              <w:rPr>
                <w:color w:val="000000"/>
                <w:sz w:val="24"/>
              </w:rPr>
              <w:t>15农发16</w:t>
            </w:r>
          </w:p>
        </w:tc>
        <w:tc>
          <w:tcPr>
            <w:vAlign w:val="center"/>
          </w:tcPr>
          <w:p>
            <w:pPr>
              <w:jc w:val="right"/>
            </w:pPr>
            <w:r>
              <w:rPr>
                <w:color w:val="000000"/>
                <w:sz w:val="24"/>
              </w:rPr>
              <w:t>1,400,000</w:t>
            </w:r>
          </w:p>
        </w:tc>
        <w:tc>
          <w:tcPr>
            <w:vAlign w:val="center"/>
          </w:tcPr>
          <w:p>
            <w:pPr>
              <w:jc w:val="right"/>
            </w:pPr>
            <w:r>
              <w:rPr>
                <w:color w:val="000000"/>
                <w:sz w:val="24"/>
              </w:rPr>
              <w:t>140,042,000.00</w:t>
            </w:r>
          </w:p>
        </w:tc>
        <w:tc>
          <w:tcPr>
            <w:vAlign w:val="center"/>
          </w:tcPr>
          <w:p>
            <w:pPr>
              <w:jc w:val="right"/>
            </w:pPr>
            <w:r>
              <w:rPr>
                <w:color w:val="000000"/>
                <w:sz w:val="24"/>
              </w:rPr>
              <w:t>11.12</w:t>
            </w:r>
          </w:p>
        </w:tc>
      </w:tr>
      <w:tr>
        <w:tc>
          <w:tcPr>
            <w:vAlign w:val="center"/>
          </w:tcPr>
          <w:p>
            <w:pPr>
              <w:jc w:val="center"/>
            </w:pPr>
            <w:r>
              <w:rPr>
                <w:color w:val="000000"/>
                <w:sz w:val="24"/>
              </w:rPr>
              <w:t>2</w:t>
            </w:r>
          </w:p>
        </w:tc>
        <w:tc>
          <w:tcPr>
            <w:vAlign w:val="center"/>
          </w:tcPr>
          <w:p>
            <w:pPr>
              <w:jc w:val="center"/>
            </w:pPr>
            <w:r>
              <w:rPr>
                <w:color w:val="000000"/>
                <w:sz w:val="24"/>
              </w:rPr>
              <w:t>150210</w:t>
            </w:r>
          </w:p>
        </w:tc>
        <w:tc>
          <w:tcPr>
            <w:vAlign w:val="center"/>
          </w:tcPr>
          <w:p>
            <w:pPr>
              <w:jc w:val="center"/>
            </w:pPr>
            <w:r>
              <w:rPr>
                <w:color w:val="000000"/>
                <w:sz w:val="24"/>
              </w:rPr>
              <w:t>15国开10</w:t>
            </w:r>
          </w:p>
        </w:tc>
        <w:tc>
          <w:tcPr>
            <w:vAlign w:val="center"/>
          </w:tcPr>
          <w:p>
            <w:pPr>
              <w:jc w:val="right"/>
            </w:pPr>
            <w:r>
              <w:rPr>
                <w:color w:val="000000"/>
                <w:sz w:val="24"/>
              </w:rPr>
              <w:t>1,000,000</w:t>
            </w:r>
          </w:p>
        </w:tc>
        <w:tc>
          <w:tcPr>
            <w:vAlign w:val="center"/>
          </w:tcPr>
          <w:p>
            <w:pPr>
              <w:jc w:val="right"/>
            </w:pPr>
            <w:r>
              <w:rPr>
                <w:color w:val="000000"/>
                <w:sz w:val="24"/>
              </w:rPr>
              <w:t>104,040,000.00</w:t>
            </w:r>
          </w:p>
        </w:tc>
        <w:tc>
          <w:tcPr>
            <w:vAlign w:val="center"/>
          </w:tcPr>
          <w:p>
            <w:pPr>
              <w:jc w:val="right"/>
            </w:pPr>
            <w:r>
              <w:rPr>
                <w:color w:val="000000"/>
                <w:sz w:val="24"/>
              </w:rPr>
              <w:t>8.26</w:t>
            </w:r>
          </w:p>
        </w:tc>
      </w:tr>
      <w:tr>
        <w:tc>
          <w:tcPr>
            <w:vAlign w:val="center"/>
          </w:tcPr>
          <w:p>
            <w:pPr>
              <w:jc w:val="center"/>
            </w:pPr>
            <w:r>
              <w:rPr>
                <w:color w:val="000000"/>
                <w:sz w:val="24"/>
              </w:rPr>
              <w:t>3</w:t>
            </w:r>
          </w:p>
        </w:tc>
        <w:tc>
          <w:tcPr>
            <w:vAlign w:val="center"/>
          </w:tcPr>
          <w:p>
            <w:pPr>
              <w:jc w:val="center"/>
            </w:pPr>
            <w:r>
              <w:rPr>
                <w:color w:val="000000"/>
                <w:sz w:val="24"/>
              </w:rPr>
              <w:t>1280218</w:t>
            </w:r>
          </w:p>
        </w:tc>
        <w:tc>
          <w:tcPr>
            <w:vAlign w:val="center"/>
          </w:tcPr>
          <w:p>
            <w:pPr>
              <w:jc w:val="center"/>
            </w:pPr>
            <w:r>
              <w:rPr>
                <w:color w:val="000000"/>
                <w:sz w:val="24"/>
              </w:rPr>
              <w:t>12沪建债</w:t>
            </w:r>
          </w:p>
        </w:tc>
        <w:tc>
          <w:tcPr>
            <w:vAlign w:val="center"/>
          </w:tcPr>
          <w:p>
            <w:pPr>
              <w:jc w:val="right"/>
            </w:pPr>
            <w:r>
              <w:rPr>
                <w:color w:val="000000"/>
                <w:sz w:val="24"/>
              </w:rPr>
              <w:t>1,000,000</w:t>
            </w:r>
          </w:p>
        </w:tc>
        <w:tc>
          <w:tcPr>
            <w:vAlign w:val="center"/>
          </w:tcPr>
          <w:p>
            <w:pPr>
              <w:jc w:val="right"/>
            </w:pPr>
            <w:r>
              <w:rPr>
                <w:color w:val="000000"/>
                <w:sz w:val="24"/>
              </w:rPr>
              <w:t>81,570,000.00</w:t>
            </w:r>
          </w:p>
        </w:tc>
        <w:tc>
          <w:tcPr>
            <w:vAlign w:val="center"/>
          </w:tcPr>
          <w:p>
            <w:pPr>
              <w:jc w:val="right"/>
            </w:pPr>
            <w:r>
              <w:rPr>
                <w:color w:val="000000"/>
                <w:sz w:val="24"/>
              </w:rPr>
              <w:t>6.48</w:t>
            </w:r>
          </w:p>
        </w:tc>
      </w:tr>
      <w:tr>
        <w:tc>
          <w:tcPr>
            <w:vAlign w:val="center"/>
          </w:tcPr>
          <w:p>
            <w:pPr>
              <w:jc w:val="center"/>
            </w:pPr>
            <w:r>
              <w:rPr>
                <w:color w:val="000000"/>
                <w:sz w:val="24"/>
              </w:rPr>
              <w:t>4</w:t>
            </w:r>
          </w:p>
        </w:tc>
        <w:tc>
          <w:tcPr>
            <w:vAlign w:val="center"/>
          </w:tcPr>
          <w:p>
            <w:pPr>
              <w:jc w:val="center"/>
            </w:pPr>
            <w:r>
              <w:rPr>
                <w:color w:val="000000"/>
                <w:sz w:val="24"/>
              </w:rPr>
              <w:t>150212</w:t>
            </w:r>
          </w:p>
        </w:tc>
        <w:tc>
          <w:tcPr>
            <w:vAlign w:val="center"/>
          </w:tcPr>
          <w:p>
            <w:pPr>
              <w:jc w:val="center"/>
            </w:pPr>
            <w:r>
              <w:rPr>
                <w:color w:val="000000"/>
                <w:sz w:val="24"/>
              </w:rPr>
              <w:t>15国开12</w:t>
            </w:r>
          </w:p>
        </w:tc>
        <w:tc>
          <w:tcPr>
            <w:vAlign w:val="center"/>
          </w:tcPr>
          <w:p>
            <w:pPr>
              <w:jc w:val="right"/>
            </w:pPr>
            <w:r>
              <w:rPr>
                <w:color w:val="000000"/>
                <w:sz w:val="24"/>
              </w:rPr>
              <w:t>700,000</w:t>
            </w:r>
          </w:p>
        </w:tc>
        <w:tc>
          <w:tcPr>
            <w:vAlign w:val="center"/>
          </w:tcPr>
          <w:p>
            <w:pPr>
              <w:jc w:val="right"/>
            </w:pPr>
            <w:r>
              <w:rPr>
                <w:color w:val="000000"/>
                <w:sz w:val="24"/>
              </w:rPr>
              <w:t>70,490,000.00</w:t>
            </w:r>
          </w:p>
        </w:tc>
        <w:tc>
          <w:tcPr>
            <w:vAlign w:val="center"/>
          </w:tcPr>
          <w:p>
            <w:pPr>
              <w:jc w:val="right"/>
            </w:pPr>
            <w:r>
              <w:rPr>
                <w:color w:val="000000"/>
                <w:sz w:val="24"/>
              </w:rPr>
              <w:t>5.60</w:t>
            </w:r>
          </w:p>
        </w:tc>
      </w:tr>
      <w:tr>
        <w:tc>
          <w:tcPr>
            <w:vAlign w:val="center"/>
          </w:tcPr>
          <w:p>
            <w:pPr>
              <w:jc w:val="center"/>
            </w:pPr>
            <w:r>
              <w:rPr>
                <w:color w:val="000000"/>
                <w:sz w:val="24"/>
              </w:rPr>
              <w:t>5</w:t>
            </w:r>
          </w:p>
        </w:tc>
        <w:tc>
          <w:tcPr>
            <w:vAlign w:val="center"/>
          </w:tcPr>
          <w:p>
            <w:pPr>
              <w:jc w:val="center"/>
            </w:pPr>
            <w:r>
              <w:rPr>
                <w:color w:val="000000"/>
                <w:sz w:val="24"/>
              </w:rPr>
              <w:t>1280436</w:t>
            </w:r>
          </w:p>
        </w:tc>
        <w:tc>
          <w:tcPr>
            <w:vAlign w:val="center"/>
          </w:tcPr>
          <w:p>
            <w:pPr>
              <w:jc w:val="center"/>
            </w:pPr>
            <w:r>
              <w:rPr>
                <w:color w:val="000000"/>
                <w:sz w:val="24"/>
              </w:rPr>
              <w:t>12郑州城投债</w:t>
            </w:r>
          </w:p>
        </w:tc>
        <w:tc>
          <w:tcPr>
            <w:vAlign w:val="center"/>
          </w:tcPr>
          <w:p>
            <w:pPr>
              <w:jc w:val="right"/>
            </w:pPr>
            <w:r>
              <w:rPr>
                <w:color w:val="000000"/>
                <w:sz w:val="24"/>
              </w:rPr>
              <w:t>500,000</w:t>
            </w:r>
          </w:p>
        </w:tc>
        <w:tc>
          <w:tcPr>
            <w:vAlign w:val="center"/>
          </w:tcPr>
          <w:p>
            <w:pPr>
              <w:jc w:val="right"/>
            </w:pPr>
            <w:r>
              <w:rPr>
                <w:color w:val="000000"/>
                <w:sz w:val="24"/>
              </w:rPr>
              <w:t>52,875,000.00</w:t>
            </w:r>
          </w:p>
        </w:tc>
        <w:tc>
          <w:tcPr>
            <w:vAlign w:val="center"/>
          </w:tcPr>
          <w:p>
            <w:pPr>
              <w:jc w:val="right"/>
            </w:pPr>
            <w:r>
              <w:rPr>
                <w:color w:val="000000"/>
                <w:sz w:val="24"/>
              </w:rPr>
              <w:t>4.20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tblPr>
      <w:tblGrid>
        <w:gridCol w:w="1391"/>
        <w:gridCol w:w="1390"/>
        <w:gridCol w:w="1391"/>
        <w:gridCol w:w="1690"/>
        <w:gridCol w:w="1690"/>
        <w:gridCol w:w="169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1589213</w:t>
            </w:r>
          </w:p>
        </w:tc>
        <w:tc>
          <w:tcPr>
            <w:vAlign w:val="center"/>
          </w:tcPr>
          <w:p>
            <w:pPr>
              <w:jc w:val="center"/>
            </w:pPr>
            <w:r>
              <w:rPr>
                <w:color w:val="000000"/>
                <w:sz w:val="24"/>
              </w:rPr>
              <w:t>15开元5A3</w:t>
            </w:r>
          </w:p>
        </w:tc>
        <w:tc>
          <w:tcPr>
            <w:vAlign w:val="center"/>
          </w:tcPr>
          <w:p>
            <w:pPr>
              <w:jc w:val="right"/>
            </w:pPr>
            <w:r>
              <w:rPr>
                <w:color w:val="000000"/>
                <w:sz w:val="24"/>
              </w:rPr>
              <w:t>400,000</w:t>
            </w:r>
          </w:p>
        </w:tc>
        <w:tc>
          <w:tcPr>
            <w:vAlign w:val="center"/>
          </w:tcPr>
          <w:p>
            <w:pPr>
              <w:jc w:val="right"/>
            </w:pPr>
            <w:r>
              <w:rPr>
                <w:color w:val="000000"/>
                <w:sz w:val="24"/>
              </w:rPr>
              <w:t>39,588,000.00</w:t>
            </w:r>
          </w:p>
        </w:tc>
        <w:tc>
          <w:tcPr>
            <w:vAlign w:val="center"/>
          </w:tcPr>
          <w:p>
            <w:pPr>
              <w:jc w:val="right"/>
            </w:pPr>
            <w:r>
              <w:rPr>
                <w:color w:val="000000"/>
                <w:sz w:val="24"/>
              </w:rPr>
              <w:t>3.14</w:t>
            </w:r>
          </w:p>
        </w:tc>
      </w:tr>
      <w:tr>
        <w:tc>
          <w:tcPr>
            <w:vAlign w:val="center"/>
          </w:tcPr>
          <w:p>
            <w:pPr>
              <w:jc w:val="center"/>
            </w:pPr>
            <w:r>
              <w:rPr>
                <w:color w:val="000000"/>
                <w:sz w:val="24"/>
              </w:rPr>
              <w:t>2</w:t>
            </w:r>
          </w:p>
        </w:tc>
        <w:tc>
          <w:tcPr>
            <w:vAlign w:val="center"/>
          </w:tcPr>
          <w:p>
            <w:pPr>
              <w:jc w:val="center"/>
            </w:pPr>
            <w:r>
              <w:rPr>
                <w:color w:val="000000"/>
                <w:sz w:val="24"/>
              </w:rPr>
              <w:t>1589212</w:t>
            </w:r>
          </w:p>
        </w:tc>
        <w:tc>
          <w:tcPr>
            <w:vAlign w:val="center"/>
          </w:tcPr>
          <w:p>
            <w:pPr>
              <w:jc w:val="center"/>
            </w:pPr>
            <w:r>
              <w:rPr>
                <w:color w:val="000000"/>
                <w:sz w:val="24"/>
              </w:rPr>
              <w:t>15开元5A2</w:t>
            </w:r>
          </w:p>
        </w:tc>
        <w:tc>
          <w:tcPr>
            <w:vAlign w:val="center"/>
          </w:tcPr>
          <w:p>
            <w:pPr>
              <w:jc w:val="right"/>
            </w:pPr>
            <w:r>
              <w:rPr>
                <w:color w:val="000000"/>
                <w:sz w:val="24"/>
              </w:rPr>
              <w:t>300,000</w:t>
            </w:r>
          </w:p>
        </w:tc>
        <w:tc>
          <w:tcPr>
            <w:vAlign w:val="center"/>
          </w:tcPr>
          <w:p>
            <w:pPr>
              <w:jc w:val="right"/>
            </w:pPr>
            <w:r>
              <w:rPr>
                <w:color w:val="000000"/>
                <w:sz w:val="24"/>
              </w:rPr>
              <w:t>30,045,000.00</w:t>
            </w:r>
          </w:p>
        </w:tc>
        <w:tc>
          <w:tcPr>
            <w:vAlign w:val="center"/>
          </w:tcPr>
          <w:p>
            <w:pPr>
              <w:jc w:val="right"/>
            </w:pPr>
            <w:r>
              <w:rPr>
                <w:color w:val="000000"/>
                <w:sz w:val="24"/>
              </w:rPr>
              <w:t>2.39</w:t>
            </w:r>
          </w:p>
        </w:tc>
      </w:tr>
      <w:tr>
        <w:tc>
          <w:tcPr>
            <w:vAlign w:val="center"/>
          </w:tcPr>
          <w:p>
            <w:pPr>
              <w:jc w:val="center"/>
            </w:pPr>
            <w:r>
              <w:rPr>
                <w:color w:val="000000"/>
                <w:sz w:val="24"/>
              </w:rPr>
              <w:t>3</w:t>
            </w:r>
          </w:p>
        </w:tc>
        <w:tc>
          <w:tcPr>
            <w:vAlign w:val="center"/>
          </w:tcPr>
          <w:p>
            <w:pPr>
              <w:jc w:val="center"/>
            </w:pPr>
            <w:r>
              <w:rPr>
                <w:color w:val="000000"/>
                <w:sz w:val="24"/>
              </w:rPr>
              <w:t>123928</w:t>
            </w:r>
          </w:p>
        </w:tc>
        <w:tc>
          <w:tcPr>
            <w:vAlign w:val="center"/>
          </w:tcPr>
          <w:p>
            <w:pPr>
              <w:jc w:val="center"/>
            </w:pPr>
            <w:r>
              <w:rPr>
                <w:color w:val="000000"/>
                <w:sz w:val="24"/>
              </w:rPr>
              <w:t>高新热03</w:t>
            </w:r>
          </w:p>
        </w:tc>
        <w:tc>
          <w:tcPr>
            <w:vAlign w:val="center"/>
          </w:tcPr>
          <w:p>
            <w:pPr>
              <w:jc w:val="right"/>
            </w:pPr>
            <w:r>
              <w:rPr>
                <w:color w:val="000000"/>
                <w:sz w:val="24"/>
              </w:rPr>
              <w:t>70,000</w:t>
            </w:r>
          </w:p>
        </w:tc>
        <w:tc>
          <w:tcPr>
            <w:vAlign w:val="center"/>
          </w:tcPr>
          <w:p>
            <w:pPr>
              <w:jc w:val="right"/>
            </w:pPr>
            <w:r>
              <w:rPr>
                <w:color w:val="000000"/>
                <w:sz w:val="24"/>
              </w:rPr>
              <w:t>7,000,000.00</w:t>
            </w:r>
          </w:p>
        </w:tc>
        <w:tc>
          <w:tcPr>
            <w:vAlign w:val="center"/>
          </w:tcPr>
          <w:p>
            <w:pPr>
              <w:jc w:val="right"/>
            </w:pPr>
            <w:r>
              <w:rPr>
                <w:color w:val="000000"/>
                <w:sz w:val="24"/>
              </w:rPr>
              <w:t>0.56</w:t>
            </w:r>
          </w:p>
        </w:tc>
      </w:tr>
      <w:tr>
        <w:tc>
          <w:tcPr>
            <w:vAlign w:val="center"/>
          </w:tcPr>
          <w:p>
            <w:pPr>
              <w:jc w:val="center"/>
            </w:pPr>
            <w:r>
              <w:rPr>
                <w:color w:val="000000"/>
                <w:sz w:val="24"/>
              </w:rPr>
              <w:t>4</w:t>
            </w:r>
          </w:p>
        </w:tc>
        <w:tc>
          <w:tcPr>
            <w:vAlign w:val="center"/>
          </w:tcPr>
          <w:p>
            <w:pPr>
              <w:jc w:val="center"/>
            </w:pPr>
            <w:r>
              <w:rPr>
                <w:color w:val="000000"/>
                <w:sz w:val="24"/>
              </w:rPr>
              <w:t>123927</w:t>
            </w:r>
          </w:p>
        </w:tc>
        <w:tc>
          <w:tcPr>
            <w:vAlign w:val="center"/>
          </w:tcPr>
          <w:p>
            <w:pPr>
              <w:jc w:val="center"/>
            </w:pPr>
            <w:r>
              <w:rPr>
                <w:color w:val="000000"/>
                <w:sz w:val="24"/>
              </w:rPr>
              <w:t>高新热02</w:t>
            </w:r>
          </w:p>
        </w:tc>
        <w:tc>
          <w:tcPr>
            <w:vAlign w:val="center"/>
          </w:tcPr>
          <w:p>
            <w:pPr>
              <w:jc w:val="right"/>
            </w:pPr>
            <w:r>
              <w:rPr>
                <w:color w:val="000000"/>
                <w:sz w:val="24"/>
              </w:rPr>
              <w:t>60,000</w:t>
            </w:r>
          </w:p>
        </w:tc>
        <w:tc>
          <w:tcPr>
            <w:vAlign w:val="center"/>
          </w:tcPr>
          <w:p>
            <w:pPr>
              <w:jc w:val="right"/>
            </w:pPr>
            <w:r>
              <w:rPr>
                <w:color w:val="000000"/>
                <w:sz w:val="24"/>
              </w:rPr>
              <w:t>6,000,000.00</w:t>
            </w:r>
          </w:p>
        </w:tc>
        <w:tc>
          <w:tcPr>
            <w:vAlign w:val="center"/>
          </w:tcPr>
          <w:p>
            <w:pPr>
              <w:jc w:val="right"/>
            </w:pPr>
            <w:r>
              <w:rPr>
                <w:color w:val="000000"/>
                <w:sz w:val="24"/>
              </w:rPr>
              <w:t>0.48</w:t>
            </w:r>
          </w:p>
        </w:tc>
      </w:tr>
      <w:tr>
        <w:tc>
          <w:tcPr>
            <w:vAlign w:val="center"/>
          </w:tcPr>
          <w:p>
            <w:pPr>
              <w:jc w:val="center"/>
            </w:pPr>
            <w:r>
              <w:rPr>
                <w:color w:val="000000"/>
                <w:sz w:val="24"/>
              </w:rPr>
              <w:t>5</w:t>
            </w:r>
          </w:p>
        </w:tc>
        <w:tc>
          <w:tcPr>
            <w:vAlign w:val="center"/>
          </w:tcPr>
          <w:p>
            <w:pPr>
              <w:jc w:val="center"/>
            </w:pPr>
            <w:r>
              <w:rPr>
                <w:color w:val="000000"/>
                <w:sz w:val="24"/>
              </w:rPr>
              <w:t>123926</w:t>
            </w:r>
          </w:p>
        </w:tc>
        <w:tc>
          <w:tcPr>
            <w:vAlign w:val="center"/>
          </w:tcPr>
          <w:p>
            <w:pPr>
              <w:jc w:val="center"/>
            </w:pPr>
            <w:r>
              <w:rPr>
                <w:color w:val="000000"/>
                <w:sz w:val="24"/>
              </w:rPr>
              <w:t>高新热01</w:t>
            </w:r>
          </w:p>
        </w:tc>
        <w:tc>
          <w:tcPr>
            <w:vAlign w:val="center"/>
          </w:tcPr>
          <w:p>
            <w:pPr>
              <w:jc w:val="right"/>
            </w:pPr>
            <w:r>
              <w:rPr>
                <w:color w:val="000000"/>
                <w:sz w:val="24"/>
              </w:rPr>
              <w:t>50,000</w:t>
            </w:r>
          </w:p>
        </w:tc>
        <w:tc>
          <w:tcPr>
            <w:vAlign w:val="center"/>
          </w:tcPr>
          <w:p>
            <w:pPr>
              <w:jc w:val="right"/>
            </w:pPr>
            <w:r>
              <w:rPr>
                <w:color w:val="000000"/>
                <w:sz w:val="24"/>
              </w:rPr>
              <w:t>5,000,000.00</w:t>
            </w:r>
          </w:p>
        </w:tc>
        <w:tc>
          <w:tcPr>
            <w:vAlign w:val="center"/>
          </w:tcPr>
          <w:p>
            <w:pPr>
              <w:jc w:val="right"/>
            </w:pPr>
            <w:r>
              <w:rPr>
                <w:color w:val="000000"/>
                <w:sz w:val="24"/>
              </w:rPr>
              <w:t>0.40</w:t>
            </w:r>
          </w:p>
        </w:tc>
      </w:tr>
      <w:tr>
        <w:tc>
          <w:tcPr>
            <w:vAlign w:val="center"/>
          </w:tcPr>
          <w:p>
            <w:pPr>
              <w:jc w:val="center"/>
            </w:pPr>
            <w:r>
              <w:rPr>
                <w:color w:val="000000"/>
                <w:sz w:val="24"/>
              </w:rPr>
              <w:t>6</w:t>
            </w:r>
          </w:p>
        </w:tc>
        <w:tc>
          <w:tcPr>
            <w:vAlign w:val="center"/>
          </w:tcPr>
          <w:p>
            <w:pPr>
              <w:jc w:val="center"/>
            </w:pPr>
            <w:r>
              <w:rPr>
                <w:color w:val="000000"/>
                <w:sz w:val="24"/>
              </w:rPr>
              <w:t>123929</w:t>
            </w:r>
          </w:p>
        </w:tc>
        <w:tc>
          <w:tcPr>
            <w:vAlign w:val="center"/>
          </w:tcPr>
          <w:p>
            <w:pPr>
              <w:jc w:val="center"/>
            </w:pPr>
            <w:r>
              <w:rPr>
                <w:color w:val="000000"/>
                <w:sz w:val="24"/>
              </w:rPr>
              <w:t>高新热04</w:t>
            </w:r>
          </w:p>
        </w:tc>
        <w:tc>
          <w:tcPr>
            <w:vAlign w:val="center"/>
          </w:tcPr>
          <w:p>
            <w:pPr>
              <w:jc w:val="right"/>
            </w:pPr>
            <w:r>
              <w:rPr>
                <w:color w:val="000000"/>
                <w:sz w:val="24"/>
              </w:rPr>
              <w:t>50,000</w:t>
            </w:r>
          </w:p>
        </w:tc>
        <w:tc>
          <w:tcPr>
            <w:vAlign w:val="center"/>
          </w:tcPr>
          <w:p>
            <w:pPr>
              <w:jc w:val="right"/>
            </w:pPr>
            <w:r>
              <w:rPr>
                <w:color w:val="000000"/>
                <w:sz w:val="24"/>
              </w:rPr>
              <w:t>5,000,000.00</w:t>
            </w:r>
          </w:p>
        </w:tc>
        <w:tc>
          <w:tcPr>
            <w:vAlign w:val="center"/>
          </w:tcPr>
          <w:p>
            <w:pPr>
              <w:jc w:val="right"/>
            </w:pPr>
            <w:r>
              <w:rPr>
                <w:color w:val="000000"/>
                <w:sz w:val="24"/>
              </w:rPr>
              <w:t>0.40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A621E1" w:rsidP="007C14DF">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tblPr>
      <w:tblGrid>
        <w:gridCol w:w="1260"/>
        <w:gridCol w:w="2706"/>
        <w:gridCol w:w="4902"/>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24,723.67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13,269,215.35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20,637.30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13,314,576.32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514118">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交银双轮动债券A/B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交银双轮动债券C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89,813,980.28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59,393,068.03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977,159,323.68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103,465,372.33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9,393,487.01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33,458,866.47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1,057,579,816.95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129,399,573.89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514118">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514118">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pPr>
        <w:spacing w:before="29" w:line="288" w:lineRule="auto"/>
        <w:ind w:firstLineChars="200" w:firstLine="480"/>
        <w:rPr>
          <w:rFonts w:eastAsiaTheme="minorEastAsia"/>
          <w:color w:val="000000"/>
          <w:sz w:val="24"/>
        </w:rPr>
      </w:pPr>
      <w:r>
        <w:rPr>
          <w:rFonts w:eastAsiaTheme="minorEastAsia"/>
          <w:color w:val="000000"/>
          <w:sz w:val="24"/>
        </w:rPr>
        <w:t xml:space="preserve">1、中国证监会批准交银施罗德双轮动债券型证券投资基金募集的文件； </w:t>
      </w:r>
    </w:p>
    <w:p>
      <w:pPr>
        <w:spacing w:before="29" w:line="288" w:lineRule="auto"/>
        <w:ind w:firstLineChars="200" w:firstLine="480"/>
        <w:rPr>
          <w:rFonts w:eastAsiaTheme="minorEastAsia"/>
          <w:color w:val="000000"/>
          <w:sz w:val="24"/>
        </w:rPr>
      </w:pPr>
      <w:r>
        <w:rPr>
          <w:rFonts w:eastAsiaTheme="minorEastAsia"/>
          <w:color w:val="000000"/>
          <w:sz w:val="24"/>
        </w:rPr>
        <w:t xml:space="preserve">2、《交银施罗德双轮动债券型证券投资基金基金合同》； </w:t>
      </w:r>
    </w:p>
    <w:p>
      <w:pPr>
        <w:spacing w:before="29" w:line="288" w:lineRule="auto"/>
        <w:ind w:firstLineChars="200" w:firstLine="480"/>
        <w:rPr>
          <w:rFonts w:eastAsiaTheme="minorEastAsia"/>
          <w:color w:val="000000"/>
          <w:sz w:val="24"/>
        </w:rPr>
      </w:pPr>
      <w:r>
        <w:rPr>
          <w:rFonts w:eastAsiaTheme="minorEastAsia"/>
          <w:color w:val="000000"/>
          <w:sz w:val="24"/>
        </w:rPr>
        <w:t xml:space="preserve">3、《交银施罗德双轮动债券型证券投资基金招募说明书》； </w:t>
      </w:r>
    </w:p>
    <w:p>
      <w:pPr>
        <w:spacing w:before="29" w:line="288" w:lineRule="auto"/>
        <w:ind w:firstLineChars="200" w:firstLine="480"/>
        <w:rPr>
          <w:rFonts w:eastAsiaTheme="minorEastAsia"/>
          <w:color w:val="000000"/>
          <w:sz w:val="24"/>
        </w:rPr>
      </w:pPr>
      <w:r>
        <w:rPr>
          <w:rFonts w:eastAsiaTheme="minorEastAsia"/>
          <w:color w:val="000000"/>
          <w:sz w:val="24"/>
        </w:rPr>
        <w:t xml:space="preserve">4、《交银施罗德双轮动债券型证券投资基金托管协议》； </w:t>
      </w:r>
    </w:p>
    <w:p>
      <w:pPr>
        <w:spacing w:before="29" w:line="288" w:lineRule="auto"/>
        <w:ind w:firstLineChars="200" w:firstLine="480"/>
        <w:rPr>
          <w:rFonts w:eastAsiaTheme="minorEastAsia"/>
          <w:color w:val="000000"/>
          <w:sz w:val="24"/>
        </w:rPr>
      </w:pPr>
      <w:r>
        <w:rPr>
          <w:rFonts w:eastAsiaTheme="minorEastAsia"/>
          <w:color w:val="000000"/>
          <w:sz w:val="24"/>
        </w:rPr>
        <w:t xml:space="preserve">5、关于募集交银施罗德双轮动债券型证券投资基金之法律意见书； </w:t>
      </w:r>
    </w:p>
    <w:p>
      <w:pPr>
        <w:spacing w:before="29" w:line="288" w:lineRule="auto"/>
        <w:ind w:firstLineChars="200" w:firstLine="48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Chars="200" w:firstLine="480"/>
        <w:rPr>
          <w:rFonts w:eastAsiaTheme="minorEastAsia"/>
          <w:color w:val="000000"/>
          <w:sz w:val="24"/>
        </w:rPr>
      </w:pPr>
      <w:r>
        <w:rPr>
          <w:rFonts w:eastAsiaTheme="minorEastAsia"/>
          <w:color w:val="000000"/>
          <w:sz w:val="24"/>
        </w:rPr>
        <w:t xml:space="preserve">7、基金托管人业务资格批件、营业执照；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pPr>
        <w:spacing w:before="29" w:line="288" w:lineRule="auto"/>
        <w:ind w:firstLineChars="200" w:firstLine="48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5A5" w:rsidRDefault="00F265A5">
      <w:r>
        <w:separator/>
      </w:r>
    </w:p>
  </w:endnote>
  <w:endnote w:type="continuationSeparator" w:id="0">
    <w:p w:rsidR="00F265A5" w:rsidRDefault="00F26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9A46F7">
      <w:rPr>
        <w:kern w:val="0"/>
        <w:szCs w:val="21"/>
      </w:rPr>
      <w:fldChar w:fldCharType="begin"/>
    </w:r>
    <w:r>
      <w:rPr>
        <w:kern w:val="0"/>
        <w:szCs w:val="21"/>
      </w:rPr>
      <w:instrText xml:space="preserve"> PAGE </w:instrText>
    </w:r>
    <w:r w:rsidR="009A46F7">
      <w:rPr>
        <w:kern w:val="0"/>
        <w:szCs w:val="21"/>
      </w:rPr>
      <w:fldChar w:fldCharType="separate"/>
    </w:r>
    <w:r w:rsidR="00CB375E">
      <w:rPr>
        <w:noProof/>
        <w:kern w:val="0"/>
        <w:szCs w:val="21"/>
      </w:rPr>
      <w:t>15</w:t>
    </w:r>
    <w:r w:rsidR="009A46F7">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9A46F7">
      <w:rPr>
        <w:kern w:val="0"/>
        <w:szCs w:val="21"/>
      </w:rPr>
      <w:fldChar w:fldCharType="begin"/>
    </w:r>
    <w:r>
      <w:rPr>
        <w:kern w:val="0"/>
        <w:szCs w:val="21"/>
      </w:rPr>
      <w:instrText xml:space="preserve"> NUMPAGES </w:instrText>
    </w:r>
    <w:r w:rsidR="009A46F7">
      <w:rPr>
        <w:kern w:val="0"/>
        <w:szCs w:val="21"/>
      </w:rPr>
      <w:fldChar w:fldCharType="separate"/>
    </w:r>
    <w:r w:rsidR="00CB375E">
      <w:rPr>
        <w:noProof/>
        <w:kern w:val="0"/>
        <w:szCs w:val="21"/>
      </w:rPr>
      <w:t>25</w:t>
    </w:r>
    <w:r w:rsidR="009A46F7">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9A46F7">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5A5" w:rsidRDefault="00F265A5">
      <w:r>
        <w:separator/>
      </w:r>
    </w:p>
  </w:footnote>
  <w:footnote w:type="continuationSeparator" w:id="0">
    <w:p w:rsidR="00F265A5" w:rsidRDefault="00F265A5">
      <w:r>
        <w:continuationSeparator/>
      </w:r>
    </w:p>
  </w:footnote>
  <w:footnote w:type="separator" w:id="-1">
    <w:p w:rsidR="00F265A5" w:rsidRDefault="00F265A5">
      <w:r>
        <w:separator/>
      </w:r>
    </w:p>
  </w:footnote>
  <w:footnote w:type="continuationSeparator" w:id="0">
    <w:p w:rsidR="00F265A5" w:rsidRDefault="00F26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9A46F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image" Target="media/image3.jpeg"/>
  <Relationship Id="rId12" Type="http://schemas.openxmlformats.org/officeDocument/2006/relationships/footer" Target="foot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Desktop/abc&#23395;&#25253;.dot"/>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ACAD5-3E2B-4849-9C8C-2D0EE10A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163</TotalTime>
  <Pages>25</Pages>
  <Words>3651</Words>
  <Characters>20817</Characters>
  <Application>Microsoft Office Word</Application>
  <DocSecurity>0</DocSecurity>
  <Lines>173</Lines>
  <Paragraphs>48</Paragraphs>
  <ScaleCrop>false</ScaleCrop>
  <Company>TRT. Ltd. Co.</Company>
  <LinksUpToDate>false</LinksUpToDate>
  <CharactersWithSpaces>24420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lastModifiedBy>韩永强</lastModifiedBy>
  <lastPrinted>2007-07-19T00:46:00Z</lastPrinted>
  <dcterms:modified xsi:type="dcterms:W3CDTF">2015-09-29T01:03:00Z</dcterms:modified>
  <revision>361</revision>
</coreProperties>
</file>