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435C7" w:rsidRDefault="007105A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1435C7" w:rsidRDefault="007105A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1435C7" w:rsidRDefault="007105A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1435C7" w:rsidRDefault="007105A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1435C7" w:rsidRDefault="007105AA">
      <w:pPr>
        <w:spacing w:before="29" w:line="288" w:lineRule="auto"/>
        <w:ind w:firstLineChars="200" w:firstLine="480"/>
        <w:rPr>
          <w:color w:val="000000"/>
          <w:sz w:val="24"/>
          <w:szCs w:val="24"/>
        </w:rPr>
      </w:pPr>
      <w:r>
        <w:rPr>
          <w:color w:val="000000"/>
          <w:sz w:val="24"/>
          <w:szCs w:val="24"/>
        </w:rPr>
        <w:t>本基金管理人已于</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1</w:t>
      </w:r>
      <w:r>
        <w:rPr>
          <w:color w:val="000000"/>
          <w:sz w:val="24"/>
          <w:szCs w:val="24"/>
        </w:rPr>
        <w:t>日起至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25</w:t>
      </w:r>
      <w:r>
        <w:rPr>
          <w:color w:val="000000"/>
          <w:sz w:val="24"/>
          <w:szCs w:val="24"/>
        </w:rPr>
        <w:t>日以通讯方式召开了交银施罗德沪深</w:t>
      </w:r>
      <w:r>
        <w:rPr>
          <w:color w:val="000000"/>
          <w:sz w:val="24"/>
          <w:szCs w:val="24"/>
        </w:rPr>
        <w:t>300</w:t>
      </w:r>
      <w:r>
        <w:rPr>
          <w:color w:val="000000"/>
          <w:sz w:val="24"/>
          <w:szCs w:val="24"/>
        </w:rPr>
        <w:t>行业分层等权重指数证券投资基金的基金份额持有人大会。本次基金份额持有人大会决议已于</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26</w:t>
      </w:r>
      <w:r>
        <w:rPr>
          <w:color w:val="000000"/>
          <w:sz w:val="24"/>
          <w:szCs w:val="24"/>
        </w:rPr>
        <w:t>日生效，并自</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日起，《交银施罗德沪深</w:t>
      </w:r>
      <w:r>
        <w:rPr>
          <w:color w:val="000000"/>
          <w:sz w:val="24"/>
          <w:szCs w:val="24"/>
        </w:rPr>
        <w:t>300</w:t>
      </w:r>
      <w:r>
        <w:rPr>
          <w:color w:val="000000"/>
          <w:sz w:val="24"/>
          <w:szCs w:val="24"/>
        </w:rPr>
        <w:t>行业分层等权重指数证券投资基金基金合同》失效且《交银施罗德消费新驱动股票型证券投资基金基金合同》同时生效，交银施罗德沪深</w:t>
      </w:r>
      <w:r>
        <w:rPr>
          <w:color w:val="000000"/>
          <w:sz w:val="24"/>
          <w:szCs w:val="24"/>
        </w:rPr>
        <w:t>300</w:t>
      </w:r>
      <w:r>
        <w:rPr>
          <w:color w:val="000000"/>
          <w:sz w:val="24"/>
          <w:szCs w:val="24"/>
        </w:rPr>
        <w:t>行业分层等权重指数证券投资基金正式变更为交银施罗德消费新驱动股票型证券投资基金。</w:t>
      </w:r>
    </w:p>
    <w:p w:rsidR="001435C7" w:rsidRDefault="007105A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28,656,954.30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w:t>
            </w:r>
            <w:r w:rsidRPr="00414345">
              <w:rPr>
                <w:color w:val="000000"/>
                <w:kern w:val="0"/>
                <w:sz w:val="24"/>
                <w:szCs w:val="24"/>
              </w:rPr>
              <w:lastRenderedPageBreak/>
              <w:t>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日由交银施罗德沪深</w:t>
      </w:r>
      <w:r w:rsidRPr="00414345">
        <w:rPr>
          <w:color w:val="000000"/>
          <w:sz w:val="24"/>
          <w:szCs w:val="24"/>
        </w:rPr>
        <w:t>300</w:t>
      </w:r>
      <w:r w:rsidRPr="00414345">
        <w:rPr>
          <w:color w:val="000000"/>
          <w:sz w:val="24"/>
          <w:szCs w:val="24"/>
        </w:rPr>
        <w:t>行业分层等权重指数证券投资基金转型为交银施罗德消费新驱动股票型证券投资基金，新基金合同及托管协议即日起生效。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105AA" w:rsidRPr="00414345" w:rsidTr="007105A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日（基金合同生效日）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105AA" w:rsidRPr="00414345" w:rsidTr="007105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571,905.90</w:t>
            </w:r>
          </w:p>
        </w:tc>
      </w:tr>
      <w:tr w:rsidR="007105AA" w:rsidRPr="00414345" w:rsidTr="007105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-1,026,067.24</w:t>
            </w:r>
          </w:p>
        </w:tc>
      </w:tr>
      <w:tr w:rsidR="007105AA" w:rsidRPr="00414345" w:rsidTr="007105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-0.0491</w:t>
            </w:r>
          </w:p>
        </w:tc>
      </w:tr>
      <w:tr w:rsidR="007105AA" w:rsidRPr="00414345" w:rsidTr="007105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24,654,871.42</w:t>
            </w:r>
          </w:p>
        </w:tc>
      </w:tr>
      <w:tr w:rsidR="007105AA" w:rsidRPr="00414345" w:rsidTr="007105A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0.860</w:t>
            </w:r>
          </w:p>
        </w:tc>
      </w:tr>
    </w:tbl>
    <w:p w:rsidR="001435C7" w:rsidRDefault="007105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8F5557">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w:t>
            </w:r>
            <w:r w:rsidRPr="00414345">
              <w:rPr>
                <w:color w:val="000000"/>
                <w:sz w:val="24"/>
                <w:szCs w:val="24"/>
              </w:rPr>
              <w:lastRenderedPageBreak/>
              <w:t>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净值增长</w:t>
            </w:r>
            <w:r w:rsidRPr="00414345">
              <w:rPr>
                <w:color w:val="000000"/>
                <w:sz w:val="24"/>
                <w:szCs w:val="24"/>
              </w:rPr>
              <w:lastRenderedPageBreak/>
              <w:t>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w:t>
            </w:r>
            <w:r w:rsidRPr="00414345">
              <w:rPr>
                <w:color w:val="000000"/>
                <w:sz w:val="24"/>
                <w:szCs w:val="24"/>
              </w:rPr>
              <w:lastRenderedPageBreak/>
              <w:t>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w:t>
            </w:r>
            <w:r w:rsidRPr="00414345">
              <w:rPr>
                <w:color w:val="000000"/>
                <w:sz w:val="24"/>
                <w:szCs w:val="24"/>
              </w:rPr>
              <w:lastRenderedPageBreak/>
              <w:t>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46BE4" w:rsidTr="008F5557">
        <w:trPr>
          <w:jc w:val="center"/>
        </w:trPr>
        <w:tc>
          <w:tcPr>
            <w:tcW w:w="1701" w:type="dxa"/>
            <w:vAlign w:val="center"/>
          </w:tcPr>
          <w:p w:rsidR="00746BE4" w:rsidRDefault="00746BE4" w:rsidP="00746BE4">
            <w:pPr>
              <w:jc w:val="left"/>
            </w:pPr>
            <w:r>
              <w:rPr>
                <w:color w:val="000000"/>
                <w:sz w:val="24"/>
                <w:szCs w:val="24"/>
              </w:rPr>
              <w:lastRenderedPageBreak/>
              <w:t>过去三个月</w:t>
            </w:r>
          </w:p>
        </w:tc>
        <w:tc>
          <w:tcPr>
            <w:tcW w:w="1045" w:type="dxa"/>
          </w:tcPr>
          <w:p w:rsidR="00746BE4" w:rsidRPr="008F5557" w:rsidRDefault="00746BE4" w:rsidP="00746BE4">
            <w:pPr>
              <w:jc w:val="center"/>
              <w:rPr>
                <w:color w:val="000000"/>
                <w:kern w:val="2"/>
                <w:sz w:val="24"/>
                <w:szCs w:val="24"/>
              </w:rPr>
            </w:pPr>
            <w:r w:rsidRPr="008F5557">
              <w:rPr>
                <w:color w:val="000000"/>
                <w:sz w:val="24"/>
                <w:szCs w:val="24"/>
              </w:rPr>
              <w:t>-14.00%</w:t>
            </w:r>
          </w:p>
        </w:tc>
        <w:tc>
          <w:tcPr>
            <w:tcW w:w="1344" w:type="dxa"/>
          </w:tcPr>
          <w:p w:rsidR="00746BE4" w:rsidRPr="008F5557" w:rsidRDefault="00746BE4" w:rsidP="00746BE4">
            <w:pPr>
              <w:jc w:val="center"/>
              <w:rPr>
                <w:color w:val="000000"/>
                <w:kern w:val="2"/>
                <w:sz w:val="24"/>
                <w:szCs w:val="24"/>
              </w:rPr>
            </w:pPr>
            <w:r w:rsidRPr="008F5557">
              <w:rPr>
                <w:color w:val="000000"/>
                <w:sz w:val="24"/>
                <w:szCs w:val="24"/>
              </w:rPr>
              <w:t>1.66%</w:t>
            </w:r>
          </w:p>
        </w:tc>
        <w:tc>
          <w:tcPr>
            <w:tcW w:w="1194" w:type="dxa"/>
          </w:tcPr>
          <w:p w:rsidR="00746BE4" w:rsidRPr="008F5557" w:rsidRDefault="00746BE4" w:rsidP="00746BE4">
            <w:pPr>
              <w:jc w:val="center"/>
              <w:rPr>
                <w:color w:val="000000"/>
                <w:kern w:val="2"/>
                <w:sz w:val="24"/>
                <w:szCs w:val="24"/>
              </w:rPr>
            </w:pPr>
            <w:r w:rsidRPr="008F5557">
              <w:rPr>
                <w:color w:val="000000"/>
                <w:sz w:val="24"/>
                <w:szCs w:val="24"/>
              </w:rPr>
              <w:t>-21.34%</w:t>
            </w:r>
          </w:p>
        </w:tc>
        <w:tc>
          <w:tcPr>
            <w:tcW w:w="1492" w:type="dxa"/>
          </w:tcPr>
          <w:p w:rsidR="00746BE4" w:rsidRPr="008F5557" w:rsidRDefault="00746BE4" w:rsidP="00746BE4">
            <w:pPr>
              <w:jc w:val="center"/>
              <w:rPr>
                <w:color w:val="000000"/>
                <w:kern w:val="2"/>
                <w:sz w:val="24"/>
                <w:szCs w:val="24"/>
              </w:rPr>
            </w:pPr>
            <w:r w:rsidRPr="008F5557">
              <w:rPr>
                <w:color w:val="000000"/>
                <w:sz w:val="24"/>
                <w:szCs w:val="24"/>
              </w:rPr>
              <w:t>2.85%</w:t>
            </w:r>
          </w:p>
        </w:tc>
        <w:tc>
          <w:tcPr>
            <w:tcW w:w="1083" w:type="dxa"/>
          </w:tcPr>
          <w:p w:rsidR="00746BE4" w:rsidRPr="008F5557" w:rsidRDefault="00746BE4" w:rsidP="00746BE4">
            <w:pPr>
              <w:jc w:val="center"/>
              <w:rPr>
                <w:color w:val="000000"/>
                <w:kern w:val="2"/>
                <w:sz w:val="24"/>
                <w:szCs w:val="24"/>
              </w:rPr>
            </w:pPr>
            <w:r w:rsidRPr="008F5557">
              <w:rPr>
                <w:color w:val="000000"/>
                <w:sz w:val="24"/>
                <w:szCs w:val="24"/>
              </w:rPr>
              <w:t>7.34%</w:t>
            </w:r>
          </w:p>
        </w:tc>
        <w:tc>
          <w:tcPr>
            <w:tcW w:w="1009" w:type="dxa"/>
          </w:tcPr>
          <w:p w:rsidR="00746BE4" w:rsidRPr="008F5557" w:rsidRDefault="00746BE4" w:rsidP="00746BE4">
            <w:pPr>
              <w:jc w:val="center"/>
              <w:rPr>
                <w:color w:val="000000"/>
                <w:kern w:val="2"/>
                <w:sz w:val="24"/>
                <w:szCs w:val="24"/>
              </w:rPr>
            </w:pPr>
            <w:r w:rsidRPr="008F5557">
              <w:rPr>
                <w:color w:val="000000"/>
                <w:sz w:val="24"/>
                <w:szCs w:val="24"/>
              </w:rPr>
              <w:t>-1.19%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3D110E"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9F429F6" wp14:editId="46FA79AA">
            <wp:extent cx="5731510" cy="3356610"/>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DE2D24" w:rsidRPr="00DE2D24">
        <w:rPr>
          <w:rFonts w:hint="eastAsia"/>
          <w:color w:val="000000"/>
          <w:sz w:val="24"/>
          <w:szCs w:val="24"/>
        </w:rPr>
        <w:t>本基金由交银施罗德沪深</w:t>
      </w:r>
      <w:r w:rsidR="00DE2D24" w:rsidRPr="00DE2D24">
        <w:rPr>
          <w:rFonts w:hint="eastAsia"/>
          <w:color w:val="000000"/>
          <w:sz w:val="24"/>
          <w:szCs w:val="24"/>
        </w:rPr>
        <w:t>300</w:t>
      </w:r>
      <w:r w:rsidR="00DE2D24" w:rsidRPr="00DE2D24">
        <w:rPr>
          <w:rFonts w:hint="eastAsia"/>
          <w:color w:val="000000"/>
          <w:sz w:val="24"/>
          <w:szCs w:val="24"/>
        </w:rPr>
        <w:t>行业分层等权重指数证券投资基金转型而来。基金转型日为</w:t>
      </w:r>
      <w:r w:rsidR="00DE2D24" w:rsidRPr="00DE2D24">
        <w:rPr>
          <w:rFonts w:hint="eastAsia"/>
          <w:color w:val="000000"/>
          <w:sz w:val="24"/>
          <w:szCs w:val="24"/>
        </w:rPr>
        <w:t>2015</w:t>
      </w:r>
      <w:r w:rsidR="00DE2D24" w:rsidRPr="00DE2D24">
        <w:rPr>
          <w:rFonts w:hint="eastAsia"/>
          <w:color w:val="000000"/>
          <w:sz w:val="24"/>
          <w:szCs w:val="24"/>
        </w:rPr>
        <w:t>年</w:t>
      </w:r>
      <w:r w:rsidR="00DE2D24" w:rsidRPr="00DE2D24">
        <w:rPr>
          <w:rFonts w:hint="eastAsia"/>
          <w:color w:val="000000"/>
          <w:sz w:val="24"/>
          <w:szCs w:val="24"/>
        </w:rPr>
        <w:t>7</w:t>
      </w:r>
      <w:r w:rsidR="00DE2D24" w:rsidRPr="00DE2D24">
        <w:rPr>
          <w:rFonts w:hint="eastAsia"/>
          <w:color w:val="000000"/>
          <w:sz w:val="24"/>
          <w:szCs w:val="24"/>
        </w:rPr>
        <w:t>月</w:t>
      </w:r>
      <w:r w:rsidR="00DE2D24" w:rsidRPr="00DE2D24">
        <w:rPr>
          <w:rFonts w:hint="eastAsia"/>
          <w:color w:val="000000"/>
          <w:sz w:val="24"/>
          <w:szCs w:val="24"/>
        </w:rPr>
        <w:t>1</w:t>
      </w:r>
      <w:r w:rsidR="00DE2D24" w:rsidRPr="00DE2D24">
        <w:rPr>
          <w:rFonts w:hint="eastAsia"/>
          <w:color w:val="000000"/>
          <w:sz w:val="24"/>
          <w:szCs w:val="24"/>
        </w:rPr>
        <w:t>日，基金转型日至报告期期末，本基金转型时间未满一年。本基金的投资转型期为交银施罗德沪深</w:t>
      </w:r>
      <w:r w:rsidR="00DE2D24" w:rsidRPr="00DE2D24">
        <w:rPr>
          <w:rFonts w:hint="eastAsia"/>
          <w:color w:val="000000"/>
          <w:sz w:val="24"/>
          <w:szCs w:val="24"/>
        </w:rPr>
        <w:t>300</w:t>
      </w:r>
      <w:r w:rsidR="00DE2D24" w:rsidRPr="00DE2D24">
        <w:rPr>
          <w:rFonts w:hint="eastAsia"/>
          <w:color w:val="000000"/>
          <w:sz w:val="24"/>
          <w:szCs w:val="24"/>
        </w:rPr>
        <w:t>行业分层等权重指数证券投资基金转型实施日（即</w:t>
      </w:r>
      <w:r w:rsidR="00DE2D24" w:rsidRPr="00DE2D24">
        <w:rPr>
          <w:rFonts w:hint="eastAsia"/>
          <w:color w:val="000000"/>
          <w:sz w:val="24"/>
          <w:szCs w:val="24"/>
        </w:rPr>
        <w:t>2015</w:t>
      </w:r>
      <w:r w:rsidR="00DE2D24" w:rsidRPr="00DE2D24">
        <w:rPr>
          <w:rFonts w:hint="eastAsia"/>
          <w:color w:val="000000"/>
          <w:sz w:val="24"/>
          <w:szCs w:val="24"/>
        </w:rPr>
        <w:t>年</w:t>
      </w:r>
      <w:r w:rsidR="00DE2D24" w:rsidRPr="00DE2D24">
        <w:rPr>
          <w:rFonts w:hint="eastAsia"/>
          <w:color w:val="000000"/>
          <w:sz w:val="24"/>
          <w:szCs w:val="24"/>
        </w:rPr>
        <w:t>7</w:t>
      </w:r>
      <w:r w:rsidR="00DE2D24" w:rsidRPr="00DE2D24">
        <w:rPr>
          <w:rFonts w:hint="eastAsia"/>
          <w:color w:val="000000"/>
          <w:sz w:val="24"/>
          <w:szCs w:val="24"/>
        </w:rPr>
        <w:t>月</w:t>
      </w:r>
      <w:r w:rsidR="00DE2D24" w:rsidRPr="00DE2D24">
        <w:rPr>
          <w:rFonts w:hint="eastAsia"/>
          <w:color w:val="000000"/>
          <w:sz w:val="24"/>
          <w:szCs w:val="24"/>
        </w:rPr>
        <w:t>1</w:t>
      </w:r>
      <w:r w:rsidR="00DE2D24" w:rsidRPr="00DE2D24">
        <w:rPr>
          <w:rFonts w:hint="eastAsia"/>
          <w:color w:val="000000"/>
          <w:sz w:val="24"/>
          <w:szCs w:val="24"/>
        </w:rPr>
        <w:t>日）起的</w:t>
      </w:r>
      <w:r w:rsidR="00DE2D24" w:rsidRPr="00DE2D24">
        <w:rPr>
          <w:rFonts w:hint="eastAsia"/>
          <w:color w:val="000000"/>
          <w:sz w:val="24"/>
          <w:szCs w:val="24"/>
        </w:rPr>
        <w:t>6</w:t>
      </w:r>
      <w:r w:rsidR="00DE2D24" w:rsidRPr="00DE2D24">
        <w:rPr>
          <w:rFonts w:hint="eastAsia"/>
          <w:color w:val="000000"/>
          <w:sz w:val="24"/>
          <w:szCs w:val="24"/>
        </w:rPr>
        <w:t>个月。截至</w:t>
      </w:r>
      <w:r w:rsidR="00DE2D24" w:rsidRPr="00DE2D24">
        <w:rPr>
          <w:rFonts w:hint="eastAsia"/>
          <w:color w:val="000000"/>
          <w:sz w:val="24"/>
          <w:szCs w:val="24"/>
        </w:rPr>
        <w:t>2015</w:t>
      </w:r>
      <w:r w:rsidR="00DE2D24" w:rsidRPr="00DE2D24">
        <w:rPr>
          <w:rFonts w:hint="eastAsia"/>
          <w:color w:val="000000"/>
          <w:sz w:val="24"/>
          <w:szCs w:val="24"/>
        </w:rPr>
        <w:t>年</w:t>
      </w:r>
      <w:r w:rsidR="00DE2D24" w:rsidRPr="00DE2D24">
        <w:rPr>
          <w:rFonts w:hint="eastAsia"/>
          <w:color w:val="000000"/>
          <w:sz w:val="24"/>
          <w:szCs w:val="24"/>
        </w:rPr>
        <w:t>9</w:t>
      </w:r>
      <w:r w:rsidR="00DE2D24" w:rsidRPr="00DE2D24">
        <w:rPr>
          <w:rFonts w:hint="eastAsia"/>
          <w:color w:val="000000"/>
          <w:sz w:val="24"/>
          <w:szCs w:val="24"/>
        </w:rPr>
        <w:t>月</w:t>
      </w:r>
      <w:r w:rsidR="00DE2D24" w:rsidRPr="00DE2D24">
        <w:rPr>
          <w:rFonts w:hint="eastAsia"/>
          <w:color w:val="000000"/>
          <w:sz w:val="24"/>
          <w:szCs w:val="24"/>
        </w:rPr>
        <w:t>30</w:t>
      </w:r>
      <w:r w:rsidR="00DE2D24" w:rsidRPr="00DE2D24">
        <w:rPr>
          <w:rFonts w:hint="eastAsia"/>
          <w:color w:val="000000"/>
          <w:sz w:val="24"/>
          <w:szCs w:val="24"/>
        </w:rPr>
        <w:t>日，本基金尚处于投资转型期。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435C7">
        <w:trPr>
          <w:jc w:val="center"/>
        </w:trPr>
        <w:tc>
          <w:tcPr>
            <w:tcW w:w="846" w:type="dxa"/>
            <w:vAlign w:val="center"/>
          </w:tcPr>
          <w:p w:rsidR="001435C7" w:rsidRDefault="007105AA">
            <w:pPr>
              <w:jc w:val="center"/>
            </w:pPr>
            <w:r>
              <w:rPr>
                <w:color w:val="000000"/>
                <w:sz w:val="24"/>
                <w:szCs w:val="24"/>
              </w:rPr>
              <w:t>李德亮</w:t>
            </w:r>
          </w:p>
        </w:tc>
        <w:tc>
          <w:tcPr>
            <w:tcW w:w="845" w:type="dxa"/>
            <w:vAlign w:val="center"/>
          </w:tcPr>
          <w:p w:rsidR="001435C7" w:rsidRDefault="007105AA">
            <w:pPr>
              <w:jc w:val="center"/>
            </w:pPr>
            <w:r>
              <w:rPr>
                <w:color w:val="000000"/>
                <w:sz w:val="24"/>
                <w:szCs w:val="24"/>
              </w:rPr>
              <w:t>交银蓝筹混合、交银消费新驱动股票、交银定期支付双息平衡混合、交银强化回报债券的基金经理</w:t>
            </w:r>
          </w:p>
        </w:tc>
        <w:tc>
          <w:tcPr>
            <w:tcW w:w="1549" w:type="dxa"/>
            <w:vAlign w:val="center"/>
          </w:tcPr>
          <w:p w:rsidR="001435C7" w:rsidRDefault="007105AA">
            <w:pPr>
              <w:jc w:val="center"/>
            </w:pPr>
            <w:r>
              <w:rPr>
                <w:color w:val="000000"/>
                <w:sz w:val="24"/>
                <w:szCs w:val="24"/>
              </w:rPr>
              <w:t>2015-07-01</w:t>
            </w:r>
          </w:p>
        </w:tc>
        <w:tc>
          <w:tcPr>
            <w:tcW w:w="1548" w:type="dxa"/>
            <w:vAlign w:val="center"/>
          </w:tcPr>
          <w:p w:rsidR="001435C7" w:rsidRDefault="007105AA">
            <w:pPr>
              <w:jc w:val="center"/>
            </w:pPr>
            <w:r>
              <w:rPr>
                <w:color w:val="000000"/>
                <w:sz w:val="24"/>
                <w:szCs w:val="24"/>
              </w:rPr>
              <w:t>2015-08-29</w:t>
            </w:r>
          </w:p>
        </w:tc>
        <w:tc>
          <w:tcPr>
            <w:tcW w:w="1407" w:type="dxa"/>
            <w:vAlign w:val="center"/>
          </w:tcPr>
          <w:p w:rsidR="001435C7" w:rsidRDefault="007105AA">
            <w:pPr>
              <w:jc w:val="center"/>
            </w:pPr>
            <w:r>
              <w:rPr>
                <w:color w:val="000000"/>
                <w:sz w:val="24"/>
                <w:szCs w:val="24"/>
              </w:rPr>
              <w:t>9</w:t>
            </w:r>
            <w:r>
              <w:rPr>
                <w:color w:val="000000"/>
                <w:sz w:val="24"/>
                <w:szCs w:val="24"/>
              </w:rPr>
              <w:t>年</w:t>
            </w:r>
          </w:p>
        </w:tc>
        <w:tc>
          <w:tcPr>
            <w:tcW w:w="2673" w:type="dxa"/>
            <w:vAlign w:val="center"/>
          </w:tcPr>
          <w:p w:rsidR="001435C7" w:rsidRDefault="007105AA">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日担任交银施罗德强化回报债券型证券投资基金基金经理，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日担任交银施罗德蓝筹混合型证券投资基金（原交银施罗德蓝筹股票证券投资基金）基金经理，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日担任交银施罗德消费新驱动股票型证券投资基金基金经理。</w:t>
            </w:r>
          </w:p>
        </w:tc>
      </w:tr>
      <w:tr w:rsidR="001435C7">
        <w:trPr>
          <w:jc w:val="center"/>
        </w:trPr>
        <w:tc>
          <w:tcPr>
            <w:tcW w:w="846" w:type="dxa"/>
            <w:vAlign w:val="center"/>
          </w:tcPr>
          <w:p w:rsidR="001435C7" w:rsidRDefault="007105AA">
            <w:pPr>
              <w:jc w:val="center"/>
            </w:pPr>
            <w:r>
              <w:rPr>
                <w:color w:val="000000"/>
                <w:sz w:val="24"/>
                <w:szCs w:val="24"/>
              </w:rPr>
              <w:t>盖婷婷</w:t>
            </w:r>
          </w:p>
        </w:tc>
        <w:tc>
          <w:tcPr>
            <w:tcW w:w="845" w:type="dxa"/>
            <w:vAlign w:val="center"/>
          </w:tcPr>
          <w:p w:rsidR="001435C7" w:rsidRDefault="007105AA">
            <w:pPr>
              <w:jc w:val="center"/>
            </w:pPr>
            <w:r>
              <w:rPr>
                <w:color w:val="000000"/>
                <w:sz w:val="24"/>
                <w:szCs w:val="24"/>
              </w:rPr>
              <w:t>交银消费新驱动股票的基金经理</w:t>
            </w:r>
          </w:p>
        </w:tc>
        <w:tc>
          <w:tcPr>
            <w:tcW w:w="1549" w:type="dxa"/>
            <w:vAlign w:val="center"/>
          </w:tcPr>
          <w:p w:rsidR="001435C7" w:rsidRDefault="007105AA">
            <w:pPr>
              <w:jc w:val="center"/>
            </w:pPr>
            <w:r>
              <w:rPr>
                <w:color w:val="000000"/>
                <w:sz w:val="24"/>
                <w:szCs w:val="24"/>
              </w:rPr>
              <w:t>2015-07-01</w:t>
            </w:r>
          </w:p>
        </w:tc>
        <w:tc>
          <w:tcPr>
            <w:tcW w:w="1548" w:type="dxa"/>
            <w:vAlign w:val="center"/>
          </w:tcPr>
          <w:p w:rsidR="001435C7" w:rsidRDefault="007105AA">
            <w:pPr>
              <w:jc w:val="center"/>
            </w:pPr>
            <w:r>
              <w:rPr>
                <w:color w:val="000000"/>
                <w:sz w:val="24"/>
                <w:szCs w:val="24"/>
              </w:rPr>
              <w:t>-</w:t>
            </w:r>
          </w:p>
        </w:tc>
        <w:tc>
          <w:tcPr>
            <w:tcW w:w="1407" w:type="dxa"/>
            <w:vAlign w:val="center"/>
          </w:tcPr>
          <w:p w:rsidR="001435C7" w:rsidRDefault="007105AA">
            <w:pPr>
              <w:jc w:val="center"/>
            </w:pPr>
            <w:r>
              <w:rPr>
                <w:color w:val="000000"/>
                <w:sz w:val="24"/>
                <w:szCs w:val="24"/>
              </w:rPr>
              <w:t>9</w:t>
            </w:r>
            <w:r>
              <w:rPr>
                <w:color w:val="000000"/>
                <w:sz w:val="24"/>
                <w:szCs w:val="24"/>
              </w:rPr>
              <w:t>年</w:t>
            </w:r>
          </w:p>
        </w:tc>
        <w:tc>
          <w:tcPr>
            <w:tcW w:w="2673" w:type="dxa"/>
            <w:vAlign w:val="center"/>
          </w:tcPr>
          <w:p w:rsidR="001435C7" w:rsidRDefault="007105AA">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435C7" w:rsidRDefault="007105A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435C7" w:rsidRDefault="007105A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435C7" w:rsidRDefault="007105A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435C7" w:rsidRDefault="007105AA">
      <w:pPr>
        <w:spacing w:before="29" w:line="288" w:lineRule="auto"/>
        <w:ind w:firstLineChars="200" w:firstLine="480"/>
        <w:rPr>
          <w:color w:val="000000"/>
          <w:sz w:val="24"/>
          <w:szCs w:val="24"/>
        </w:rPr>
      </w:pPr>
      <w:r>
        <w:rPr>
          <w:color w:val="000000"/>
          <w:sz w:val="24"/>
          <w:szCs w:val="24"/>
        </w:rPr>
        <w:t>三季度，由于</w:t>
      </w:r>
      <w:r>
        <w:rPr>
          <w:color w:val="000000"/>
          <w:sz w:val="24"/>
          <w:szCs w:val="24"/>
        </w:rPr>
        <w:t>A</w:t>
      </w:r>
      <w:r>
        <w:rPr>
          <w:color w:val="000000"/>
          <w:sz w:val="24"/>
          <w:szCs w:val="24"/>
        </w:rPr>
        <w:t>股内部去杠杆、宏观经济环境对消费的后周期影响进一步显现，导致本基金三季度净值受到影响。本基金净值在</w:t>
      </w:r>
      <w:r>
        <w:rPr>
          <w:color w:val="000000"/>
          <w:sz w:val="24"/>
          <w:szCs w:val="24"/>
        </w:rPr>
        <w:t>7</w:t>
      </w:r>
      <w:r>
        <w:rPr>
          <w:color w:val="000000"/>
          <w:sz w:val="24"/>
          <w:szCs w:val="24"/>
        </w:rPr>
        <w:t>月份以后，对组合进行了重新调整，投资了聚焦估值较低且业绩平稳增长的白马蓝筹股，于</w:t>
      </w:r>
      <w:r>
        <w:rPr>
          <w:color w:val="000000"/>
          <w:sz w:val="24"/>
          <w:szCs w:val="24"/>
        </w:rPr>
        <w:t>8</w:t>
      </w:r>
      <w:r>
        <w:rPr>
          <w:color w:val="000000"/>
          <w:sz w:val="24"/>
          <w:szCs w:val="24"/>
        </w:rPr>
        <w:t>月、</w:t>
      </w:r>
      <w:r>
        <w:rPr>
          <w:color w:val="000000"/>
          <w:sz w:val="24"/>
          <w:szCs w:val="24"/>
        </w:rPr>
        <w:t>9</w:t>
      </w:r>
      <w:r>
        <w:rPr>
          <w:color w:val="000000"/>
          <w:sz w:val="24"/>
          <w:szCs w:val="24"/>
        </w:rPr>
        <w:t>月获得了小幅的绝对收益。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整个宏观经济环境对于消费的后周期影响依然在继续，但部分消费品公司的投资价值开始明显显现。在控制仓位的前提下，本基金将考虑适度增加估值相对合理、业绩增长确定较高以及管理层经营相对稳健的成长股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005B5763">
        <w:rPr>
          <w:rFonts w:hint="eastAsia"/>
          <w:color w:val="000000"/>
          <w:sz w:val="24"/>
          <w:szCs w:val="24"/>
        </w:rPr>
        <w:t>本</w:t>
      </w:r>
      <w:r w:rsidRPr="00414345">
        <w:rPr>
          <w:color w:val="000000"/>
          <w:sz w:val="24"/>
          <w:szCs w:val="24"/>
        </w:rPr>
        <w:t>基金份额净值为</w:t>
      </w:r>
      <w:r w:rsidRPr="00414345">
        <w:rPr>
          <w:color w:val="000000"/>
          <w:sz w:val="24"/>
          <w:szCs w:val="24"/>
        </w:rPr>
        <w:t>0.860</w:t>
      </w:r>
      <w:r w:rsidRPr="00414345">
        <w:rPr>
          <w:color w:val="000000"/>
          <w:sz w:val="24"/>
          <w:szCs w:val="24"/>
        </w:rPr>
        <w:t>元，本报告期份额净值增长率为</w:t>
      </w:r>
      <w:r w:rsidRPr="00414345">
        <w:rPr>
          <w:color w:val="000000"/>
          <w:sz w:val="24"/>
          <w:szCs w:val="24"/>
        </w:rPr>
        <w:t>-14.00%</w:t>
      </w:r>
      <w:r w:rsidRPr="00414345">
        <w:rPr>
          <w:color w:val="000000"/>
          <w:sz w:val="24"/>
          <w:szCs w:val="24"/>
        </w:rPr>
        <w:t>，同期业绩比较基准增长率为</w:t>
      </w:r>
      <w:r w:rsidR="005B5763" w:rsidRPr="005B5763">
        <w:rPr>
          <w:color w:val="000000"/>
          <w:sz w:val="24"/>
          <w:szCs w:val="24"/>
        </w:rPr>
        <w:t>-21.34%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9,294,431.30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9,294,431.30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21,141,300.70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69.31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67,871.58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30,503,603.58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1,110,634.00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6,041,140.30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44,400.33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20,695.50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1,552,123.25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42,043.92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483,394.00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9,294,431.30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435C7">
        <w:trPr>
          <w:jc w:val="center"/>
        </w:trPr>
        <w:tc>
          <w:tcPr>
            <w:tcW w:w="855" w:type="dxa"/>
            <w:vAlign w:val="center"/>
          </w:tcPr>
          <w:p w:rsidR="001435C7" w:rsidRDefault="007105AA">
            <w:pPr>
              <w:jc w:val="center"/>
            </w:pPr>
            <w:r>
              <w:rPr>
                <w:color w:val="000000"/>
                <w:sz w:val="24"/>
                <w:szCs w:val="24"/>
              </w:rPr>
              <w:t>1</w:t>
            </w:r>
          </w:p>
        </w:tc>
        <w:tc>
          <w:tcPr>
            <w:tcW w:w="1334" w:type="dxa"/>
            <w:vAlign w:val="center"/>
          </w:tcPr>
          <w:p w:rsidR="001435C7" w:rsidRDefault="007105AA">
            <w:pPr>
              <w:jc w:val="center"/>
            </w:pPr>
            <w:r>
              <w:rPr>
                <w:color w:val="000000"/>
                <w:sz w:val="24"/>
                <w:szCs w:val="24"/>
              </w:rPr>
              <w:t>600108</w:t>
            </w:r>
          </w:p>
        </w:tc>
        <w:tc>
          <w:tcPr>
            <w:tcW w:w="1777" w:type="dxa"/>
            <w:vAlign w:val="center"/>
          </w:tcPr>
          <w:p w:rsidR="001435C7" w:rsidRDefault="007105AA">
            <w:pPr>
              <w:jc w:val="center"/>
            </w:pPr>
            <w:r>
              <w:rPr>
                <w:color w:val="000000"/>
                <w:sz w:val="24"/>
                <w:szCs w:val="24"/>
              </w:rPr>
              <w:t>亚盛集团</w:t>
            </w:r>
          </w:p>
        </w:tc>
        <w:tc>
          <w:tcPr>
            <w:tcW w:w="1334" w:type="dxa"/>
            <w:vAlign w:val="center"/>
          </w:tcPr>
          <w:p w:rsidR="001435C7" w:rsidRDefault="007105AA">
            <w:pPr>
              <w:jc w:val="right"/>
            </w:pPr>
            <w:r>
              <w:rPr>
                <w:color w:val="000000"/>
                <w:sz w:val="24"/>
                <w:szCs w:val="24"/>
              </w:rPr>
              <w:t>102,600</w:t>
            </w:r>
          </w:p>
        </w:tc>
        <w:tc>
          <w:tcPr>
            <w:tcW w:w="1924" w:type="dxa"/>
            <w:vAlign w:val="center"/>
          </w:tcPr>
          <w:p w:rsidR="001435C7" w:rsidRDefault="007105AA">
            <w:pPr>
              <w:jc w:val="right"/>
            </w:pPr>
            <w:r>
              <w:rPr>
                <w:color w:val="000000"/>
                <w:sz w:val="24"/>
                <w:szCs w:val="24"/>
              </w:rPr>
              <w:t>739,746.00</w:t>
            </w:r>
          </w:p>
        </w:tc>
        <w:tc>
          <w:tcPr>
            <w:tcW w:w="1644" w:type="dxa"/>
            <w:vAlign w:val="center"/>
          </w:tcPr>
          <w:p w:rsidR="001435C7" w:rsidRDefault="007105AA">
            <w:pPr>
              <w:jc w:val="right"/>
            </w:pPr>
            <w:r>
              <w:rPr>
                <w:color w:val="000000"/>
                <w:sz w:val="24"/>
                <w:szCs w:val="24"/>
              </w:rPr>
              <w:t>3.00</w:t>
            </w:r>
          </w:p>
        </w:tc>
      </w:tr>
      <w:tr w:rsidR="001435C7">
        <w:trPr>
          <w:jc w:val="center"/>
        </w:trPr>
        <w:tc>
          <w:tcPr>
            <w:tcW w:w="855" w:type="dxa"/>
            <w:vAlign w:val="center"/>
          </w:tcPr>
          <w:p w:rsidR="001435C7" w:rsidRDefault="007105AA">
            <w:pPr>
              <w:jc w:val="center"/>
            </w:pPr>
            <w:r>
              <w:rPr>
                <w:color w:val="000000"/>
                <w:sz w:val="24"/>
                <w:szCs w:val="24"/>
              </w:rPr>
              <w:t>2</w:t>
            </w:r>
          </w:p>
        </w:tc>
        <w:tc>
          <w:tcPr>
            <w:tcW w:w="1334" w:type="dxa"/>
            <w:vAlign w:val="center"/>
          </w:tcPr>
          <w:p w:rsidR="001435C7" w:rsidRDefault="007105AA">
            <w:pPr>
              <w:jc w:val="center"/>
            </w:pPr>
            <w:r>
              <w:rPr>
                <w:color w:val="000000"/>
                <w:sz w:val="24"/>
                <w:szCs w:val="24"/>
              </w:rPr>
              <w:t>600276</w:t>
            </w:r>
          </w:p>
        </w:tc>
        <w:tc>
          <w:tcPr>
            <w:tcW w:w="1777" w:type="dxa"/>
            <w:vAlign w:val="center"/>
          </w:tcPr>
          <w:p w:rsidR="001435C7" w:rsidRDefault="007105AA">
            <w:pPr>
              <w:jc w:val="center"/>
            </w:pPr>
            <w:r>
              <w:rPr>
                <w:color w:val="000000"/>
                <w:sz w:val="24"/>
                <w:szCs w:val="24"/>
              </w:rPr>
              <w:t>恒瑞医药</w:t>
            </w:r>
          </w:p>
        </w:tc>
        <w:tc>
          <w:tcPr>
            <w:tcW w:w="1334" w:type="dxa"/>
            <w:vAlign w:val="center"/>
          </w:tcPr>
          <w:p w:rsidR="001435C7" w:rsidRDefault="007105AA">
            <w:pPr>
              <w:jc w:val="right"/>
            </w:pPr>
            <w:r>
              <w:rPr>
                <w:color w:val="000000"/>
                <w:sz w:val="24"/>
                <w:szCs w:val="24"/>
              </w:rPr>
              <w:t>15,800</w:t>
            </w:r>
          </w:p>
        </w:tc>
        <w:tc>
          <w:tcPr>
            <w:tcW w:w="1924" w:type="dxa"/>
            <w:vAlign w:val="center"/>
          </w:tcPr>
          <w:p w:rsidR="001435C7" w:rsidRDefault="007105AA">
            <w:pPr>
              <w:jc w:val="right"/>
            </w:pPr>
            <w:r>
              <w:rPr>
                <w:color w:val="000000"/>
                <w:sz w:val="24"/>
                <w:szCs w:val="24"/>
              </w:rPr>
              <w:t>729,802.00</w:t>
            </w:r>
          </w:p>
        </w:tc>
        <w:tc>
          <w:tcPr>
            <w:tcW w:w="1644" w:type="dxa"/>
            <w:vAlign w:val="center"/>
          </w:tcPr>
          <w:p w:rsidR="001435C7" w:rsidRDefault="007105AA">
            <w:pPr>
              <w:jc w:val="right"/>
            </w:pPr>
            <w:r>
              <w:rPr>
                <w:color w:val="000000"/>
                <w:sz w:val="24"/>
                <w:szCs w:val="24"/>
              </w:rPr>
              <w:t>2.96</w:t>
            </w:r>
          </w:p>
        </w:tc>
      </w:tr>
      <w:tr w:rsidR="001435C7">
        <w:trPr>
          <w:jc w:val="center"/>
        </w:trPr>
        <w:tc>
          <w:tcPr>
            <w:tcW w:w="855" w:type="dxa"/>
            <w:vAlign w:val="center"/>
          </w:tcPr>
          <w:p w:rsidR="001435C7" w:rsidRDefault="007105AA">
            <w:pPr>
              <w:jc w:val="center"/>
            </w:pPr>
            <w:r>
              <w:rPr>
                <w:color w:val="000000"/>
                <w:sz w:val="24"/>
                <w:szCs w:val="24"/>
              </w:rPr>
              <w:t>3</w:t>
            </w:r>
          </w:p>
        </w:tc>
        <w:tc>
          <w:tcPr>
            <w:tcW w:w="1334" w:type="dxa"/>
            <w:vAlign w:val="center"/>
          </w:tcPr>
          <w:p w:rsidR="001435C7" w:rsidRDefault="007105AA">
            <w:pPr>
              <w:jc w:val="center"/>
            </w:pPr>
            <w:r>
              <w:rPr>
                <w:color w:val="000000"/>
                <w:sz w:val="24"/>
                <w:szCs w:val="24"/>
              </w:rPr>
              <w:t>603001</w:t>
            </w:r>
          </w:p>
        </w:tc>
        <w:tc>
          <w:tcPr>
            <w:tcW w:w="1777" w:type="dxa"/>
            <w:vAlign w:val="center"/>
          </w:tcPr>
          <w:p w:rsidR="001435C7" w:rsidRDefault="007105AA">
            <w:pPr>
              <w:jc w:val="center"/>
            </w:pPr>
            <w:r>
              <w:rPr>
                <w:color w:val="000000"/>
                <w:sz w:val="24"/>
                <w:szCs w:val="24"/>
              </w:rPr>
              <w:t>奥康国际</w:t>
            </w:r>
          </w:p>
        </w:tc>
        <w:tc>
          <w:tcPr>
            <w:tcW w:w="1334" w:type="dxa"/>
            <w:vAlign w:val="center"/>
          </w:tcPr>
          <w:p w:rsidR="001435C7" w:rsidRDefault="007105AA">
            <w:pPr>
              <w:jc w:val="right"/>
            </w:pPr>
            <w:r>
              <w:rPr>
                <w:color w:val="000000"/>
                <w:sz w:val="24"/>
                <w:szCs w:val="24"/>
              </w:rPr>
              <w:t>28,500</w:t>
            </w:r>
          </w:p>
        </w:tc>
        <w:tc>
          <w:tcPr>
            <w:tcW w:w="1924" w:type="dxa"/>
            <w:vAlign w:val="center"/>
          </w:tcPr>
          <w:p w:rsidR="001435C7" w:rsidRDefault="007105AA">
            <w:pPr>
              <w:jc w:val="right"/>
            </w:pPr>
            <w:r>
              <w:rPr>
                <w:color w:val="000000"/>
                <w:sz w:val="24"/>
                <w:szCs w:val="24"/>
              </w:rPr>
              <w:t>723,900.00</w:t>
            </w:r>
          </w:p>
        </w:tc>
        <w:tc>
          <w:tcPr>
            <w:tcW w:w="1644" w:type="dxa"/>
            <w:vAlign w:val="center"/>
          </w:tcPr>
          <w:p w:rsidR="001435C7" w:rsidRDefault="007105AA">
            <w:pPr>
              <w:jc w:val="right"/>
            </w:pPr>
            <w:r>
              <w:rPr>
                <w:color w:val="000000"/>
                <w:sz w:val="24"/>
                <w:szCs w:val="24"/>
              </w:rPr>
              <w:t>2.94</w:t>
            </w:r>
          </w:p>
        </w:tc>
      </w:tr>
      <w:tr w:rsidR="001435C7">
        <w:trPr>
          <w:jc w:val="center"/>
        </w:trPr>
        <w:tc>
          <w:tcPr>
            <w:tcW w:w="855" w:type="dxa"/>
            <w:vAlign w:val="center"/>
          </w:tcPr>
          <w:p w:rsidR="001435C7" w:rsidRDefault="007105AA">
            <w:pPr>
              <w:jc w:val="center"/>
            </w:pPr>
            <w:r>
              <w:rPr>
                <w:color w:val="000000"/>
                <w:sz w:val="24"/>
                <w:szCs w:val="24"/>
              </w:rPr>
              <w:t>4</w:t>
            </w:r>
          </w:p>
        </w:tc>
        <w:tc>
          <w:tcPr>
            <w:tcW w:w="1334" w:type="dxa"/>
            <w:vAlign w:val="center"/>
          </w:tcPr>
          <w:p w:rsidR="001435C7" w:rsidRDefault="007105AA">
            <w:pPr>
              <w:jc w:val="center"/>
            </w:pPr>
            <w:r>
              <w:rPr>
                <w:color w:val="000000"/>
                <w:sz w:val="24"/>
                <w:szCs w:val="24"/>
              </w:rPr>
              <w:t>600694</w:t>
            </w:r>
          </w:p>
        </w:tc>
        <w:tc>
          <w:tcPr>
            <w:tcW w:w="1777" w:type="dxa"/>
            <w:vAlign w:val="center"/>
          </w:tcPr>
          <w:p w:rsidR="001435C7" w:rsidRDefault="007105AA">
            <w:pPr>
              <w:jc w:val="center"/>
            </w:pPr>
            <w:r>
              <w:rPr>
                <w:color w:val="000000"/>
                <w:sz w:val="24"/>
                <w:szCs w:val="24"/>
              </w:rPr>
              <w:t>大商股份</w:t>
            </w:r>
          </w:p>
        </w:tc>
        <w:tc>
          <w:tcPr>
            <w:tcW w:w="1334" w:type="dxa"/>
            <w:vAlign w:val="center"/>
          </w:tcPr>
          <w:p w:rsidR="001435C7" w:rsidRDefault="007105AA">
            <w:pPr>
              <w:jc w:val="right"/>
            </w:pPr>
            <w:r>
              <w:rPr>
                <w:color w:val="000000"/>
                <w:sz w:val="24"/>
                <w:szCs w:val="24"/>
              </w:rPr>
              <w:t>17,087</w:t>
            </w:r>
          </w:p>
        </w:tc>
        <w:tc>
          <w:tcPr>
            <w:tcW w:w="1924" w:type="dxa"/>
            <w:vAlign w:val="center"/>
          </w:tcPr>
          <w:p w:rsidR="001435C7" w:rsidRDefault="007105AA">
            <w:pPr>
              <w:jc w:val="right"/>
            </w:pPr>
            <w:r>
              <w:rPr>
                <w:color w:val="000000"/>
                <w:sz w:val="24"/>
                <w:szCs w:val="24"/>
              </w:rPr>
              <w:t>574,635.81</w:t>
            </w:r>
          </w:p>
        </w:tc>
        <w:tc>
          <w:tcPr>
            <w:tcW w:w="1644" w:type="dxa"/>
            <w:vAlign w:val="center"/>
          </w:tcPr>
          <w:p w:rsidR="001435C7" w:rsidRDefault="007105AA">
            <w:pPr>
              <w:jc w:val="right"/>
            </w:pPr>
            <w:r>
              <w:rPr>
                <w:color w:val="000000"/>
                <w:sz w:val="24"/>
                <w:szCs w:val="24"/>
              </w:rPr>
              <w:t>2.33</w:t>
            </w:r>
          </w:p>
        </w:tc>
      </w:tr>
      <w:tr w:rsidR="001435C7">
        <w:trPr>
          <w:jc w:val="center"/>
        </w:trPr>
        <w:tc>
          <w:tcPr>
            <w:tcW w:w="855" w:type="dxa"/>
            <w:vAlign w:val="center"/>
          </w:tcPr>
          <w:p w:rsidR="001435C7" w:rsidRDefault="007105AA">
            <w:pPr>
              <w:jc w:val="center"/>
            </w:pPr>
            <w:r>
              <w:rPr>
                <w:color w:val="000000"/>
                <w:sz w:val="24"/>
                <w:szCs w:val="24"/>
              </w:rPr>
              <w:t>5</w:t>
            </w:r>
          </w:p>
        </w:tc>
        <w:tc>
          <w:tcPr>
            <w:tcW w:w="1334" w:type="dxa"/>
            <w:vAlign w:val="center"/>
          </w:tcPr>
          <w:p w:rsidR="001435C7" w:rsidRDefault="007105AA">
            <w:pPr>
              <w:jc w:val="center"/>
            </w:pPr>
            <w:r>
              <w:rPr>
                <w:color w:val="000000"/>
                <w:sz w:val="24"/>
                <w:szCs w:val="24"/>
              </w:rPr>
              <w:t>000596</w:t>
            </w:r>
          </w:p>
        </w:tc>
        <w:tc>
          <w:tcPr>
            <w:tcW w:w="1777" w:type="dxa"/>
            <w:vAlign w:val="center"/>
          </w:tcPr>
          <w:p w:rsidR="001435C7" w:rsidRDefault="007105AA">
            <w:pPr>
              <w:jc w:val="center"/>
            </w:pPr>
            <w:r>
              <w:rPr>
                <w:color w:val="000000"/>
                <w:sz w:val="24"/>
                <w:szCs w:val="24"/>
              </w:rPr>
              <w:t>古井贡酒</w:t>
            </w:r>
          </w:p>
        </w:tc>
        <w:tc>
          <w:tcPr>
            <w:tcW w:w="1334" w:type="dxa"/>
            <w:vAlign w:val="center"/>
          </w:tcPr>
          <w:p w:rsidR="001435C7" w:rsidRDefault="007105AA">
            <w:pPr>
              <w:jc w:val="right"/>
            </w:pPr>
            <w:r>
              <w:rPr>
                <w:color w:val="000000"/>
                <w:sz w:val="24"/>
                <w:szCs w:val="24"/>
              </w:rPr>
              <w:t>20,248</w:t>
            </w:r>
          </w:p>
        </w:tc>
        <w:tc>
          <w:tcPr>
            <w:tcW w:w="1924" w:type="dxa"/>
            <w:vAlign w:val="center"/>
          </w:tcPr>
          <w:p w:rsidR="001435C7" w:rsidRDefault="007105AA">
            <w:pPr>
              <w:jc w:val="right"/>
            </w:pPr>
            <w:r>
              <w:rPr>
                <w:color w:val="000000"/>
                <w:sz w:val="24"/>
                <w:szCs w:val="24"/>
              </w:rPr>
              <w:t>553,377.84</w:t>
            </w:r>
          </w:p>
        </w:tc>
        <w:tc>
          <w:tcPr>
            <w:tcW w:w="1644" w:type="dxa"/>
            <w:vAlign w:val="center"/>
          </w:tcPr>
          <w:p w:rsidR="001435C7" w:rsidRDefault="007105AA">
            <w:pPr>
              <w:jc w:val="right"/>
            </w:pPr>
            <w:r>
              <w:rPr>
                <w:color w:val="000000"/>
                <w:sz w:val="24"/>
                <w:szCs w:val="24"/>
              </w:rPr>
              <w:t>2.24</w:t>
            </w:r>
          </w:p>
        </w:tc>
      </w:tr>
      <w:tr w:rsidR="001435C7">
        <w:trPr>
          <w:jc w:val="center"/>
        </w:trPr>
        <w:tc>
          <w:tcPr>
            <w:tcW w:w="855" w:type="dxa"/>
            <w:vAlign w:val="center"/>
          </w:tcPr>
          <w:p w:rsidR="001435C7" w:rsidRDefault="007105AA">
            <w:pPr>
              <w:jc w:val="center"/>
            </w:pPr>
            <w:r>
              <w:rPr>
                <w:color w:val="000000"/>
                <w:sz w:val="24"/>
                <w:szCs w:val="24"/>
              </w:rPr>
              <w:t>6</w:t>
            </w:r>
          </w:p>
        </w:tc>
        <w:tc>
          <w:tcPr>
            <w:tcW w:w="1334" w:type="dxa"/>
            <w:vAlign w:val="center"/>
          </w:tcPr>
          <w:p w:rsidR="001435C7" w:rsidRDefault="007105AA">
            <w:pPr>
              <w:jc w:val="center"/>
            </w:pPr>
            <w:r>
              <w:rPr>
                <w:color w:val="000000"/>
                <w:sz w:val="24"/>
                <w:szCs w:val="24"/>
              </w:rPr>
              <w:t>002311</w:t>
            </w:r>
          </w:p>
        </w:tc>
        <w:tc>
          <w:tcPr>
            <w:tcW w:w="1777" w:type="dxa"/>
            <w:vAlign w:val="center"/>
          </w:tcPr>
          <w:p w:rsidR="001435C7" w:rsidRDefault="007105AA">
            <w:pPr>
              <w:jc w:val="center"/>
            </w:pPr>
            <w:r>
              <w:rPr>
                <w:color w:val="000000"/>
                <w:sz w:val="24"/>
                <w:szCs w:val="24"/>
              </w:rPr>
              <w:t>海大集团</w:t>
            </w:r>
          </w:p>
        </w:tc>
        <w:tc>
          <w:tcPr>
            <w:tcW w:w="1334" w:type="dxa"/>
            <w:vAlign w:val="center"/>
          </w:tcPr>
          <w:p w:rsidR="001435C7" w:rsidRDefault="007105AA">
            <w:pPr>
              <w:jc w:val="right"/>
            </w:pPr>
            <w:r>
              <w:rPr>
                <w:color w:val="000000"/>
                <w:sz w:val="24"/>
                <w:szCs w:val="24"/>
              </w:rPr>
              <w:t>44,015</w:t>
            </w:r>
          </w:p>
        </w:tc>
        <w:tc>
          <w:tcPr>
            <w:tcW w:w="1924" w:type="dxa"/>
            <w:vAlign w:val="center"/>
          </w:tcPr>
          <w:p w:rsidR="001435C7" w:rsidRDefault="007105AA">
            <w:pPr>
              <w:jc w:val="right"/>
            </w:pPr>
            <w:r>
              <w:rPr>
                <w:color w:val="000000"/>
                <w:sz w:val="24"/>
                <w:szCs w:val="24"/>
              </w:rPr>
              <w:t>520,697.45</w:t>
            </w:r>
          </w:p>
        </w:tc>
        <w:tc>
          <w:tcPr>
            <w:tcW w:w="1644" w:type="dxa"/>
            <w:vAlign w:val="center"/>
          </w:tcPr>
          <w:p w:rsidR="001435C7" w:rsidRDefault="007105AA">
            <w:pPr>
              <w:jc w:val="right"/>
            </w:pPr>
            <w:r>
              <w:rPr>
                <w:color w:val="000000"/>
                <w:sz w:val="24"/>
                <w:szCs w:val="24"/>
              </w:rPr>
              <w:t>2.11</w:t>
            </w:r>
          </w:p>
        </w:tc>
      </w:tr>
      <w:tr w:rsidR="001435C7">
        <w:trPr>
          <w:jc w:val="center"/>
        </w:trPr>
        <w:tc>
          <w:tcPr>
            <w:tcW w:w="855" w:type="dxa"/>
            <w:vAlign w:val="center"/>
          </w:tcPr>
          <w:p w:rsidR="001435C7" w:rsidRDefault="007105AA">
            <w:pPr>
              <w:jc w:val="center"/>
            </w:pPr>
            <w:r>
              <w:rPr>
                <w:color w:val="000000"/>
                <w:sz w:val="24"/>
                <w:szCs w:val="24"/>
              </w:rPr>
              <w:t>7</w:t>
            </w:r>
          </w:p>
        </w:tc>
        <w:tc>
          <w:tcPr>
            <w:tcW w:w="1334" w:type="dxa"/>
            <w:vAlign w:val="center"/>
          </w:tcPr>
          <w:p w:rsidR="001435C7" w:rsidRDefault="007105AA">
            <w:pPr>
              <w:jc w:val="center"/>
            </w:pPr>
            <w:r>
              <w:rPr>
                <w:color w:val="000000"/>
                <w:sz w:val="24"/>
                <w:szCs w:val="24"/>
              </w:rPr>
              <w:t>000333</w:t>
            </w:r>
          </w:p>
        </w:tc>
        <w:tc>
          <w:tcPr>
            <w:tcW w:w="1777" w:type="dxa"/>
            <w:vAlign w:val="center"/>
          </w:tcPr>
          <w:p w:rsidR="001435C7" w:rsidRDefault="007105AA">
            <w:pPr>
              <w:jc w:val="center"/>
            </w:pPr>
            <w:r>
              <w:rPr>
                <w:color w:val="000000"/>
                <w:sz w:val="24"/>
                <w:szCs w:val="24"/>
              </w:rPr>
              <w:t>美的集团</w:t>
            </w:r>
          </w:p>
        </w:tc>
        <w:tc>
          <w:tcPr>
            <w:tcW w:w="1334" w:type="dxa"/>
            <w:vAlign w:val="center"/>
          </w:tcPr>
          <w:p w:rsidR="001435C7" w:rsidRDefault="007105AA">
            <w:pPr>
              <w:jc w:val="right"/>
            </w:pPr>
            <w:r>
              <w:rPr>
                <w:color w:val="000000"/>
                <w:sz w:val="24"/>
                <w:szCs w:val="24"/>
              </w:rPr>
              <w:t>19,600</w:t>
            </w:r>
          </w:p>
        </w:tc>
        <w:tc>
          <w:tcPr>
            <w:tcW w:w="1924" w:type="dxa"/>
            <w:vAlign w:val="center"/>
          </w:tcPr>
          <w:p w:rsidR="001435C7" w:rsidRDefault="007105AA">
            <w:pPr>
              <w:jc w:val="right"/>
            </w:pPr>
            <w:r>
              <w:rPr>
                <w:color w:val="000000"/>
                <w:sz w:val="24"/>
                <w:szCs w:val="24"/>
              </w:rPr>
              <w:t>494,508.00</w:t>
            </w:r>
          </w:p>
        </w:tc>
        <w:tc>
          <w:tcPr>
            <w:tcW w:w="1644" w:type="dxa"/>
            <w:vAlign w:val="center"/>
          </w:tcPr>
          <w:p w:rsidR="001435C7" w:rsidRDefault="007105AA">
            <w:pPr>
              <w:jc w:val="right"/>
            </w:pPr>
            <w:r>
              <w:rPr>
                <w:color w:val="000000"/>
                <w:sz w:val="24"/>
                <w:szCs w:val="24"/>
              </w:rPr>
              <w:t>2.01</w:t>
            </w:r>
          </w:p>
        </w:tc>
      </w:tr>
      <w:tr w:rsidR="001435C7">
        <w:trPr>
          <w:jc w:val="center"/>
        </w:trPr>
        <w:tc>
          <w:tcPr>
            <w:tcW w:w="855" w:type="dxa"/>
            <w:vAlign w:val="center"/>
          </w:tcPr>
          <w:p w:rsidR="001435C7" w:rsidRDefault="007105AA">
            <w:pPr>
              <w:jc w:val="center"/>
            </w:pPr>
            <w:r>
              <w:rPr>
                <w:color w:val="000000"/>
                <w:sz w:val="24"/>
                <w:szCs w:val="24"/>
              </w:rPr>
              <w:t>8</w:t>
            </w:r>
          </w:p>
        </w:tc>
        <w:tc>
          <w:tcPr>
            <w:tcW w:w="1334" w:type="dxa"/>
            <w:vAlign w:val="center"/>
          </w:tcPr>
          <w:p w:rsidR="001435C7" w:rsidRDefault="007105AA">
            <w:pPr>
              <w:jc w:val="center"/>
            </w:pPr>
            <w:r>
              <w:rPr>
                <w:color w:val="000000"/>
                <w:sz w:val="24"/>
                <w:szCs w:val="24"/>
              </w:rPr>
              <w:t>002701</w:t>
            </w:r>
          </w:p>
        </w:tc>
        <w:tc>
          <w:tcPr>
            <w:tcW w:w="1777" w:type="dxa"/>
            <w:vAlign w:val="center"/>
          </w:tcPr>
          <w:p w:rsidR="001435C7" w:rsidRDefault="007105AA">
            <w:pPr>
              <w:jc w:val="center"/>
            </w:pPr>
            <w:r>
              <w:rPr>
                <w:color w:val="000000"/>
                <w:sz w:val="24"/>
                <w:szCs w:val="24"/>
              </w:rPr>
              <w:t>奥瑞金</w:t>
            </w:r>
          </w:p>
        </w:tc>
        <w:tc>
          <w:tcPr>
            <w:tcW w:w="1334" w:type="dxa"/>
            <w:vAlign w:val="center"/>
          </w:tcPr>
          <w:p w:rsidR="001435C7" w:rsidRDefault="007105AA">
            <w:pPr>
              <w:jc w:val="right"/>
            </w:pPr>
            <w:r>
              <w:rPr>
                <w:color w:val="000000"/>
                <w:sz w:val="24"/>
                <w:szCs w:val="24"/>
              </w:rPr>
              <w:t>23,100</w:t>
            </w:r>
          </w:p>
        </w:tc>
        <w:tc>
          <w:tcPr>
            <w:tcW w:w="1924" w:type="dxa"/>
            <w:vAlign w:val="center"/>
          </w:tcPr>
          <w:p w:rsidR="001435C7" w:rsidRDefault="007105AA">
            <w:pPr>
              <w:jc w:val="right"/>
            </w:pPr>
            <w:r>
              <w:rPr>
                <w:color w:val="000000"/>
                <w:sz w:val="24"/>
                <w:szCs w:val="24"/>
              </w:rPr>
              <w:t>490,875.00</w:t>
            </w:r>
          </w:p>
        </w:tc>
        <w:tc>
          <w:tcPr>
            <w:tcW w:w="1644" w:type="dxa"/>
            <w:vAlign w:val="center"/>
          </w:tcPr>
          <w:p w:rsidR="001435C7" w:rsidRDefault="007105AA">
            <w:pPr>
              <w:jc w:val="right"/>
            </w:pPr>
            <w:r>
              <w:rPr>
                <w:color w:val="000000"/>
                <w:sz w:val="24"/>
                <w:szCs w:val="24"/>
              </w:rPr>
              <w:t>1.99</w:t>
            </w:r>
          </w:p>
        </w:tc>
      </w:tr>
      <w:tr w:rsidR="001435C7">
        <w:trPr>
          <w:jc w:val="center"/>
        </w:trPr>
        <w:tc>
          <w:tcPr>
            <w:tcW w:w="855" w:type="dxa"/>
            <w:vAlign w:val="center"/>
          </w:tcPr>
          <w:p w:rsidR="001435C7" w:rsidRDefault="007105AA">
            <w:pPr>
              <w:jc w:val="center"/>
            </w:pPr>
            <w:r>
              <w:rPr>
                <w:color w:val="000000"/>
                <w:sz w:val="24"/>
                <w:szCs w:val="24"/>
              </w:rPr>
              <w:t>9</w:t>
            </w:r>
          </w:p>
        </w:tc>
        <w:tc>
          <w:tcPr>
            <w:tcW w:w="1334" w:type="dxa"/>
            <w:vAlign w:val="center"/>
          </w:tcPr>
          <w:p w:rsidR="001435C7" w:rsidRDefault="007105AA">
            <w:pPr>
              <w:jc w:val="center"/>
            </w:pPr>
            <w:r>
              <w:rPr>
                <w:color w:val="000000"/>
                <w:sz w:val="24"/>
                <w:szCs w:val="24"/>
              </w:rPr>
              <w:t>300190</w:t>
            </w:r>
          </w:p>
        </w:tc>
        <w:tc>
          <w:tcPr>
            <w:tcW w:w="1777" w:type="dxa"/>
            <w:vAlign w:val="center"/>
          </w:tcPr>
          <w:p w:rsidR="001435C7" w:rsidRDefault="007105AA">
            <w:pPr>
              <w:jc w:val="center"/>
            </w:pPr>
            <w:r>
              <w:rPr>
                <w:color w:val="000000"/>
                <w:sz w:val="24"/>
                <w:szCs w:val="24"/>
              </w:rPr>
              <w:t>维尔利</w:t>
            </w:r>
          </w:p>
        </w:tc>
        <w:tc>
          <w:tcPr>
            <w:tcW w:w="1334" w:type="dxa"/>
            <w:vAlign w:val="center"/>
          </w:tcPr>
          <w:p w:rsidR="001435C7" w:rsidRDefault="007105AA">
            <w:pPr>
              <w:jc w:val="right"/>
            </w:pPr>
            <w:r>
              <w:rPr>
                <w:color w:val="000000"/>
                <w:sz w:val="24"/>
                <w:szCs w:val="24"/>
              </w:rPr>
              <w:t>26,300</w:t>
            </w:r>
          </w:p>
        </w:tc>
        <w:tc>
          <w:tcPr>
            <w:tcW w:w="1924" w:type="dxa"/>
            <w:vAlign w:val="center"/>
          </w:tcPr>
          <w:p w:rsidR="001435C7" w:rsidRDefault="007105AA">
            <w:pPr>
              <w:jc w:val="right"/>
            </w:pPr>
            <w:r>
              <w:rPr>
                <w:color w:val="000000"/>
                <w:sz w:val="24"/>
                <w:szCs w:val="24"/>
              </w:rPr>
              <w:t>483,394.00</w:t>
            </w:r>
          </w:p>
        </w:tc>
        <w:tc>
          <w:tcPr>
            <w:tcW w:w="1644" w:type="dxa"/>
            <w:vAlign w:val="center"/>
          </w:tcPr>
          <w:p w:rsidR="001435C7" w:rsidRDefault="007105AA">
            <w:pPr>
              <w:jc w:val="right"/>
            </w:pPr>
            <w:r>
              <w:rPr>
                <w:color w:val="000000"/>
                <w:sz w:val="24"/>
                <w:szCs w:val="24"/>
              </w:rPr>
              <w:t>1.96</w:t>
            </w:r>
          </w:p>
        </w:tc>
      </w:tr>
      <w:tr w:rsidR="001435C7">
        <w:trPr>
          <w:jc w:val="center"/>
        </w:trPr>
        <w:tc>
          <w:tcPr>
            <w:tcW w:w="855" w:type="dxa"/>
            <w:vAlign w:val="center"/>
          </w:tcPr>
          <w:p w:rsidR="001435C7" w:rsidRDefault="007105AA">
            <w:pPr>
              <w:jc w:val="center"/>
            </w:pPr>
            <w:r>
              <w:rPr>
                <w:color w:val="000000"/>
                <w:sz w:val="24"/>
                <w:szCs w:val="24"/>
              </w:rPr>
              <w:t>10</w:t>
            </w:r>
          </w:p>
        </w:tc>
        <w:tc>
          <w:tcPr>
            <w:tcW w:w="1334" w:type="dxa"/>
            <w:vAlign w:val="center"/>
          </w:tcPr>
          <w:p w:rsidR="001435C7" w:rsidRDefault="007105AA">
            <w:pPr>
              <w:jc w:val="center"/>
            </w:pPr>
            <w:r>
              <w:rPr>
                <w:color w:val="000000"/>
                <w:sz w:val="24"/>
                <w:szCs w:val="24"/>
              </w:rPr>
              <w:t>600697</w:t>
            </w:r>
          </w:p>
        </w:tc>
        <w:tc>
          <w:tcPr>
            <w:tcW w:w="1777" w:type="dxa"/>
            <w:vAlign w:val="center"/>
          </w:tcPr>
          <w:p w:rsidR="001435C7" w:rsidRDefault="007105AA">
            <w:pPr>
              <w:jc w:val="center"/>
            </w:pPr>
            <w:r>
              <w:rPr>
                <w:color w:val="000000"/>
                <w:sz w:val="24"/>
                <w:szCs w:val="24"/>
              </w:rPr>
              <w:t>欧亚集团</w:t>
            </w:r>
          </w:p>
        </w:tc>
        <w:tc>
          <w:tcPr>
            <w:tcW w:w="1334" w:type="dxa"/>
            <w:vAlign w:val="center"/>
          </w:tcPr>
          <w:p w:rsidR="001435C7" w:rsidRDefault="007105AA">
            <w:pPr>
              <w:jc w:val="right"/>
            </w:pPr>
            <w:r>
              <w:rPr>
                <w:color w:val="000000"/>
                <w:sz w:val="24"/>
                <w:szCs w:val="24"/>
              </w:rPr>
              <w:t>20,500</w:t>
            </w:r>
          </w:p>
        </w:tc>
        <w:tc>
          <w:tcPr>
            <w:tcW w:w="1924" w:type="dxa"/>
            <w:vAlign w:val="center"/>
          </w:tcPr>
          <w:p w:rsidR="001435C7" w:rsidRDefault="007105AA">
            <w:pPr>
              <w:jc w:val="right"/>
            </w:pPr>
            <w:r>
              <w:rPr>
                <w:color w:val="000000"/>
                <w:sz w:val="24"/>
                <w:szCs w:val="24"/>
              </w:rPr>
              <w:t>474,575.00</w:t>
            </w:r>
          </w:p>
        </w:tc>
        <w:tc>
          <w:tcPr>
            <w:tcW w:w="1644" w:type="dxa"/>
            <w:vAlign w:val="center"/>
          </w:tcPr>
          <w:p w:rsidR="001435C7" w:rsidRDefault="007105AA">
            <w:pPr>
              <w:jc w:val="right"/>
            </w:pPr>
            <w:r>
              <w:rPr>
                <w:color w:val="000000"/>
                <w:sz w:val="24"/>
                <w:szCs w:val="24"/>
              </w:rPr>
              <w:t>1.92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20,072.86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3,985.36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43,813.36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67,871.58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9,343,854.14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30,072,492.34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10,759,392.18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28,656,954.30</w:t>
            </w:r>
          </w:p>
        </w:tc>
      </w:tr>
    </w:tbl>
    <w:p w:rsidR="001435C7" w:rsidRDefault="007105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基金合同生效日起至报告期期末</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基金合同生效日起至报告期期末</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41.49</w:t>
            </w:r>
          </w:p>
        </w:tc>
      </w:tr>
    </w:tbl>
    <w:p w:rsidR="001435C7" w:rsidRDefault="007105A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522137">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77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17"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63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1435C7">
        <w:trPr>
          <w:jc w:val="center"/>
        </w:trPr>
        <w:tc>
          <w:tcPr>
            <w:tcW w:w="1032" w:type="dxa"/>
            <w:vAlign w:val="center"/>
          </w:tcPr>
          <w:p w:rsidR="001435C7" w:rsidRDefault="007105AA">
            <w:pPr>
              <w:jc w:val="center"/>
            </w:pPr>
            <w:r>
              <w:rPr>
                <w:color w:val="000000"/>
                <w:sz w:val="24"/>
              </w:rPr>
              <w:t>1</w:t>
            </w:r>
          </w:p>
        </w:tc>
        <w:tc>
          <w:tcPr>
            <w:tcW w:w="1776" w:type="dxa"/>
            <w:vAlign w:val="center"/>
          </w:tcPr>
          <w:p w:rsidR="001435C7" w:rsidRDefault="007105AA">
            <w:pPr>
              <w:jc w:val="center"/>
            </w:pPr>
            <w:r>
              <w:rPr>
                <w:color w:val="000000"/>
                <w:sz w:val="24"/>
              </w:rPr>
              <w:t>申购</w:t>
            </w:r>
          </w:p>
        </w:tc>
        <w:tc>
          <w:tcPr>
            <w:tcW w:w="1317" w:type="dxa"/>
            <w:vAlign w:val="center"/>
          </w:tcPr>
          <w:p w:rsidR="001435C7" w:rsidRDefault="007105AA">
            <w:pPr>
              <w:jc w:val="center"/>
            </w:pPr>
            <w:r>
              <w:rPr>
                <w:color w:val="000000"/>
                <w:sz w:val="24"/>
              </w:rPr>
              <w:t>2015-07-27</w:t>
            </w:r>
          </w:p>
        </w:tc>
        <w:tc>
          <w:tcPr>
            <w:tcW w:w="1633" w:type="dxa"/>
            <w:vAlign w:val="center"/>
          </w:tcPr>
          <w:p w:rsidR="001435C7" w:rsidRDefault="007105AA">
            <w:pPr>
              <w:jc w:val="right"/>
            </w:pPr>
            <w:r>
              <w:rPr>
                <w:color w:val="000000"/>
                <w:sz w:val="24"/>
              </w:rPr>
              <w:t>10,000,000.00</w:t>
            </w:r>
          </w:p>
        </w:tc>
        <w:tc>
          <w:tcPr>
            <w:tcW w:w="1767" w:type="dxa"/>
            <w:vAlign w:val="center"/>
          </w:tcPr>
          <w:p w:rsidR="001435C7" w:rsidRDefault="007105AA">
            <w:pPr>
              <w:jc w:val="right"/>
            </w:pPr>
            <w:r>
              <w:rPr>
                <w:color w:val="000000"/>
                <w:sz w:val="24"/>
              </w:rPr>
              <w:t>11,889,417.36</w:t>
            </w:r>
          </w:p>
        </w:tc>
        <w:tc>
          <w:tcPr>
            <w:tcW w:w="1343" w:type="dxa"/>
            <w:vAlign w:val="center"/>
          </w:tcPr>
          <w:p w:rsidR="001435C7" w:rsidRDefault="007105AA">
            <w:pPr>
              <w:jc w:val="center"/>
            </w:pPr>
            <w:r>
              <w:rPr>
                <w:color w:val="000000"/>
                <w:sz w:val="24"/>
              </w:rPr>
              <w:t>0.01%</w:t>
            </w:r>
          </w:p>
        </w:tc>
      </w:tr>
      <w:tr w:rsidR="00320300" w:rsidRPr="00414345" w:rsidTr="00522137">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776"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17"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633"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10,000,000.00</w:t>
            </w:r>
          </w:p>
        </w:tc>
        <w:tc>
          <w:tcPr>
            <w:tcW w:w="1767"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11,889,417.36</w:t>
            </w:r>
          </w:p>
        </w:tc>
        <w:tc>
          <w:tcPr>
            <w:tcW w:w="1343"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Default="00522137" w:rsidP="00C15CAC">
      <w:pPr>
        <w:autoSpaceDE w:val="0"/>
        <w:autoSpaceDN w:val="0"/>
        <w:adjustRightInd w:val="0"/>
        <w:spacing w:before="29" w:line="288" w:lineRule="auto"/>
        <w:jc w:val="left"/>
        <w:rPr>
          <w:color w:val="000000"/>
          <w:sz w:val="24"/>
        </w:rPr>
      </w:pPr>
      <w:r w:rsidRPr="00522137">
        <w:rPr>
          <w:rFonts w:hint="eastAsia"/>
          <w:color w:val="000000"/>
          <w:sz w:val="24"/>
        </w:rPr>
        <w:t>注：申购本基金金额在</w:t>
      </w:r>
      <w:r w:rsidRPr="00522137">
        <w:rPr>
          <w:rFonts w:hint="eastAsia"/>
          <w:color w:val="000000"/>
          <w:sz w:val="24"/>
        </w:rPr>
        <w:t>500</w:t>
      </w:r>
      <w:r w:rsidRPr="00522137">
        <w:rPr>
          <w:rFonts w:hint="eastAsia"/>
          <w:color w:val="000000"/>
          <w:sz w:val="24"/>
        </w:rPr>
        <w:t>万元以上，适用费率为每笔交易</w:t>
      </w:r>
      <w:r w:rsidRPr="00522137">
        <w:rPr>
          <w:rFonts w:hint="eastAsia"/>
          <w:color w:val="000000"/>
          <w:sz w:val="24"/>
        </w:rPr>
        <w:t>1000</w:t>
      </w:r>
      <w:r w:rsidRPr="00522137">
        <w:rPr>
          <w:rFonts w:hint="eastAsia"/>
          <w:color w:val="000000"/>
          <w:sz w:val="24"/>
        </w:rPr>
        <w:t>元。</w:t>
      </w:r>
    </w:p>
    <w:p w:rsidR="00522137" w:rsidRPr="00522137" w:rsidRDefault="00522137"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1435C7" w:rsidRDefault="007105AA">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本基金管理人已于</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1</w:t>
      </w:r>
      <w:r>
        <w:rPr>
          <w:color w:val="000000"/>
          <w:sz w:val="24"/>
          <w:szCs w:val="24"/>
        </w:rPr>
        <w:t>日起至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25</w:t>
      </w:r>
      <w:r>
        <w:rPr>
          <w:color w:val="000000"/>
          <w:sz w:val="24"/>
          <w:szCs w:val="24"/>
        </w:rPr>
        <w:t>日以通讯方式召开了交银施罗德沪深</w:t>
      </w:r>
      <w:r>
        <w:rPr>
          <w:color w:val="000000"/>
          <w:sz w:val="24"/>
          <w:szCs w:val="24"/>
        </w:rPr>
        <w:t>300</w:t>
      </w:r>
      <w:r>
        <w:rPr>
          <w:color w:val="000000"/>
          <w:sz w:val="24"/>
          <w:szCs w:val="24"/>
        </w:rPr>
        <w:t>行业分层等权重指数证券投资基金的基金份额持有人大会。本次基金份额持有人大会决议已于</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26</w:t>
      </w:r>
      <w:r>
        <w:rPr>
          <w:color w:val="000000"/>
          <w:sz w:val="24"/>
          <w:szCs w:val="24"/>
        </w:rPr>
        <w:t>日生效，并自</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日起，《交银施罗德沪深</w:t>
      </w:r>
      <w:r>
        <w:rPr>
          <w:color w:val="000000"/>
          <w:sz w:val="24"/>
          <w:szCs w:val="24"/>
        </w:rPr>
        <w:t>300</w:t>
      </w:r>
      <w:r>
        <w:rPr>
          <w:color w:val="000000"/>
          <w:sz w:val="24"/>
          <w:szCs w:val="24"/>
        </w:rPr>
        <w:t>行业分层等权重指数证券投资基金基金合同》失效且《交银施罗德消费新驱动股票型证券投资基金基金合同》同时生效，交银施罗德沪深</w:t>
      </w:r>
      <w:r>
        <w:rPr>
          <w:color w:val="000000"/>
          <w:sz w:val="24"/>
          <w:szCs w:val="24"/>
        </w:rPr>
        <w:t>300</w:t>
      </w:r>
      <w:r>
        <w:rPr>
          <w:color w:val="000000"/>
          <w:sz w:val="24"/>
          <w:szCs w:val="24"/>
        </w:rPr>
        <w:t>行业分层等权重指数证券投资基金正式变更为交银施罗德消费新驱动股票型证券投资基金。有关详情请查阅本基金管理人</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27</w:t>
      </w:r>
      <w:r>
        <w:rPr>
          <w:color w:val="000000"/>
          <w:sz w:val="24"/>
          <w:szCs w:val="24"/>
        </w:rPr>
        <w:t>日发布的《交银施罗德基金管理有限公司关于交银施罗德沪深</w:t>
      </w:r>
      <w:r>
        <w:rPr>
          <w:color w:val="000000"/>
          <w:sz w:val="24"/>
          <w:szCs w:val="24"/>
        </w:rPr>
        <w:t>300</w:t>
      </w:r>
      <w:r>
        <w:rPr>
          <w:color w:val="000000"/>
          <w:sz w:val="24"/>
          <w:szCs w:val="24"/>
        </w:rPr>
        <w:t>行业分层等权重指数证券投资基金基金份额持有人大会表决结果暨决议生效的公告》。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鉴于交银施罗德消费新驱动股票型证券投资基金的业绩比较基准的指数停止计算编制，本基金管理人根据基金合同的相关约定，经与基金托管人协商一致，并报中国证监会备案，决定自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日起将交银施罗德消费新驱动股票型证券投资基金的业绩比较基准由原</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435C7" w:rsidRDefault="007105A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1435C7" w:rsidRDefault="007105A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1435C7" w:rsidRDefault="007105A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1435C7" w:rsidRDefault="007105A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1435C7" w:rsidRDefault="007105AA">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1435C7" w:rsidRDefault="007105AA">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1435C7" w:rsidRDefault="007105AA">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1435C7" w:rsidRDefault="007105AA">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1435C7" w:rsidRDefault="007105AA">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1435C7" w:rsidRDefault="007105AA">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1435C7" w:rsidRDefault="007105AA">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435C7" w:rsidRDefault="007105A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69" w:rsidRDefault="004C5369" w:rsidP="00876D65">
      <w:r>
        <w:separator/>
      </w:r>
    </w:p>
  </w:endnote>
  <w:endnote w:type="continuationSeparator" w:id="0">
    <w:p w:rsidR="004C5369" w:rsidRDefault="004C536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8F5557">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8F5557">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69" w:rsidRDefault="004C5369" w:rsidP="00876D65">
      <w:r>
        <w:separator/>
      </w:r>
    </w:p>
  </w:footnote>
  <w:footnote w:type="continuationSeparator" w:id="0">
    <w:p w:rsidR="004C5369" w:rsidRDefault="004C536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35C7"/>
    <w:rsid w:val="00144F93"/>
    <w:rsid w:val="00147376"/>
    <w:rsid w:val="0015450B"/>
    <w:rsid w:val="00154BE1"/>
    <w:rsid w:val="0015710B"/>
    <w:rsid w:val="00160EDC"/>
    <w:rsid w:val="00162D61"/>
    <w:rsid w:val="001642B5"/>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110E"/>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5369"/>
    <w:rsid w:val="004C702F"/>
    <w:rsid w:val="004D340C"/>
    <w:rsid w:val="004D495A"/>
    <w:rsid w:val="004E5975"/>
    <w:rsid w:val="004E790A"/>
    <w:rsid w:val="004F1A4E"/>
    <w:rsid w:val="004F50FD"/>
    <w:rsid w:val="00500A03"/>
    <w:rsid w:val="00512200"/>
    <w:rsid w:val="005143CD"/>
    <w:rsid w:val="005144F2"/>
    <w:rsid w:val="00516618"/>
    <w:rsid w:val="00517989"/>
    <w:rsid w:val="00522137"/>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576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5AA"/>
    <w:rsid w:val="00710AE0"/>
    <w:rsid w:val="00713A1A"/>
    <w:rsid w:val="00713B5F"/>
    <w:rsid w:val="00720D28"/>
    <w:rsid w:val="00722509"/>
    <w:rsid w:val="00723CB2"/>
    <w:rsid w:val="00727DD8"/>
    <w:rsid w:val="00727FCD"/>
    <w:rsid w:val="007311DB"/>
    <w:rsid w:val="00733DDD"/>
    <w:rsid w:val="00746BE4"/>
    <w:rsid w:val="00750CDF"/>
    <w:rsid w:val="00752BA5"/>
    <w:rsid w:val="00755D86"/>
    <w:rsid w:val="007570FE"/>
    <w:rsid w:val="00767C98"/>
    <w:rsid w:val="00770971"/>
    <w:rsid w:val="00772547"/>
    <w:rsid w:val="00775B61"/>
    <w:rsid w:val="007815D8"/>
    <w:rsid w:val="00794090"/>
    <w:rsid w:val="00796CA8"/>
    <w:rsid w:val="007972F5"/>
    <w:rsid w:val="00797305"/>
    <w:rsid w:val="0079747A"/>
    <w:rsid w:val="007A0693"/>
    <w:rsid w:val="007A093F"/>
    <w:rsid w:val="007B035B"/>
    <w:rsid w:val="007B4C04"/>
    <w:rsid w:val="007B5AFB"/>
    <w:rsid w:val="007C395A"/>
    <w:rsid w:val="007C5862"/>
    <w:rsid w:val="007D0922"/>
    <w:rsid w:val="007D100C"/>
    <w:rsid w:val="007D68E0"/>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557"/>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2D24"/>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31AB70-751C-4BC2-AB06-FCCEC20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8B5E-F8D5-4D80-AC35-D2694B06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12</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2015-10-22T06:52:00Z</dcterms:modified>
</cp:coreProperties>
</file>