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51411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7A1892">
        <w:trPr>
          <w:jc w:val="center"/>
        </w:trPr>
        <w:tc>
          <w:tcPr>
            <w:tcW w:w="3023" w:type="dxa"/>
            <w:tcBorders>
              <w:bottom w:val="single" w:sz="4" w:space="0" w:color="auto"/>
            </w:tcBorders>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tcBorders>
              <w:bottom w:val="single" w:sz="4" w:space="0" w:color="auto"/>
            </w:tcBorders>
            <w:vAlign w:val="center"/>
          </w:tcPr>
          <w:p w:rsidR="00C23B30" w:rsidRPr="007F52FA" w:rsidRDefault="00C23B30" w:rsidP="00DE3225">
            <w:pPr>
              <w:spacing w:before="29" w:line="288" w:lineRule="auto"/>
              <w:jc w:val="left"/>
              <w:rPr>
                <w:sz w:val="24"/>
              </w:rPr>
            </w:pPr>
            <w:r w:rsidRPr="007F52FA">
              <w:rPr>
                <w:color w:val="000000" w:themeColor="text1"/>
                <w:sz w:val="24"/>
              </w:rPr>
              <w:t>519743</w:t>
            </w:r>
          </w:p>
        </w:tc>
        <w:tc>
          <w:tcPr>
            <w:tcW w:w="3048" w:type="dxa"/>
            <w:tcBorders>
              <w:bottom w:val="single" w:sz="4" w:space="0" w:color="auto"/>
            </w:tcBorders>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7A1892">
        <w:trPr>
          <w:jc w:val="center"/>
        </w:trPr>
        <w:tc>
          <w:tcPr>
            <w:tcW w:w="3023" w:type="dxa"/>
            <w:tcBorders>
              <w:bottom w:val="single" w:sz="4" w:space="0" w:color="auto"/>
            </w:tcBorders>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tcBorders>
              <w:bottom w:val="single" w:sz="4" w:space="0" w:color="auto"/>
            </w:tcBorders>
            <w:vAlign w:val="center"/>
          </w:tcPr>
          <w:p w:rsidR="00C23B30" w:rsidRPr="007F52FA" w:rsidRDefault="00C23B30" w:rsidP="007C14DF">
            <w:pPr>
              <w:spacing w:before="29" w:line="288" w:lineRule="auto"/>
              <w:jc w:val="left"/>
              <w:rPr>
                <w:sz w:val="24"/>
              </w:rPr>
            </w:pPr>
            <w:r w:rsidRPr="007F52FA">
              <w:rPr>
                <w:sz w:val="24"/>
              </w:rPr>
              <w:t>402,154,039.59</w:t>
            </w:r>
            <w:r w:rsidRPr="007F52FA">
              <w:rPr>
                <w:color w:val="000000"/>
                <w:kern w:val="0"/>
                <w:sz w:val="24"/>
              </w:rPr>
              <w:t>份</w:t>
            </w:r>
          </w:p>
        </w:tc>
        <w:tc>
          <w:tcPr>
            <w:tcW w:w="3048" w:type="dxa"/>
            <w:tcBorders>
              <w:bottom w:val="single" w:sz="4" w:space="0" w:color="auto"/>
            </w:tcBorders>
            <w:vAlign w:val="center"/>
          </w:tcPr>
          <w:p w:rsidR="00C23B30" w:rsidRPr="007F52FA" w:rsidRDefault="00C23B30" w:rsidP="007C14DF">
            <w:pPr>
              <w:spacing w:before="29" w:line="288" w:lineRule="auto"/>
              <w:jc w:val="left"/>
              <w:rPr>
                <w:sz w:val="24"/>
              </w:rPr>
            </w:pPr>
            <w:r w:rsidRPr="007F52FA">
              <w:rPr>
                <w:sz w:val="24"/>
              </w:rPr>
              <w:t>23,334,238.83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6,134,416.78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316,723.09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17,621,268.75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980,840.20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438,360,548.74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25,314,541.55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1.085</w:t>
            </w:r>
          </w:p>
        </w:tc>
      </w:tr>
    </w:tbl>
    <w:p w:rsidR="009C79AD" w:rsidRDefault="009D443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C79AD">
        <w:trPr>
          <w:jc w:val="center"/>
        </w:trPr>
        <w:tc>
          <w:tcPr>
            <w:tcW w:w="1266" w:type="dxa"/>
            <w:vAlign w:val="center"/>
          </w:tcPr>
          <w:p w:rsidR="009C79AD" w:rsidRDefault="009D4430">
            <w:pPr>
              <w:jc w:val="left"/>
            </w:pPr>
            <w:r>
              <w:rPr>
                <w:color w:val="000000"/>
                <w:sz w:val="24"/>
              </w:rPr>
              <w:lastRenderedPageBreak/>
              <w:t>过去三个月</w:t>
            </w:r>
          </w:p>
        </w:tc>
        <w:tc>
          <w:tcPr>
            <w:tcW w:w="1267" w:type="dxa"/>
            <w:vAlign w:val="center"/>
          </w:tcPr>
          <w:p w:rsidR="009C79AD" w:rsidRDefault="009D4430">
            <w:pPr>
              <w:jc w:val="center"/>
            </w:pPr>
            <w:r>
              <w:rPr>
                <w:color w:val="000000"/>
                <w:sz w:val="24"/>
              </w:rPr>
              <w:t>4.21%</w:t>
            </w:r>
          </w:p>
        </w:tc>
        <w:tc>
          <w:tcPr>
            <w:tcW w:w="1267" w:type="dxa"/>
            <w:vAlign w:val="center"/>
          </w:tcPr>
          <w:p w:rsidR="009C79AD" w:rsidRDefault="009D4430">
            <w:pPr>
              <w:jc w:val="center"/>
            </w:pPr>
            <w:r>
              <w:rPr>
                <w:color w:val="000000"/>
                <w:sz w:val="24"/>
              </w:rPr>
              <w:t>0.10%</w:t>
            </w:r>
          </w:p>
        </w:tc>
        <w:tc>
          <w:tcPr>
            <w:tcW w:w="1267" w:type="dxa"/>
            <w:vAlign w:val="center"/>
          </w:tcPr>
          <w:p w:rsidR="009C79AD" w:rsidRDefault="009D4430">
            <w:pPr>
              <w:jc w:val="center"/>
            </w:pPr>
            <w:r>
              <w:rPr>
                <w:color w:val="000000"/>
                <w:sz w:val="24"/>
              </w:rPr>
              <w:t>0.96%</w:t>
            </w:r>
          </w:p>
        </w:tc>
        <w:tc>
          <w:tcPr>
            <w:tcW w:w="1267" w:type="dxa"/>
            <w:vAlign w:val="center"/>
          </w:tcPr>
          <w:p w:rsidR="009C79AD" w:rsidRDefault="009D4430">
            <w:pPr>
              <w:jc w:val="center"/>
            </w:pPr>
            <w:r>
              <w:rPr>
                <w:color w:val="000000"/>
                <w:sz w:val="24"/>
              </w:rPr>
              <w:t>0.01%</w:t>
            </w:r>
          </w:p>
        </w:tc>
        <w:tc>
          <w:tcPr>
            <w:tcW w:w="1267" w:type="dxa"/>
            <w:vAlign w:val="center"/>
          </w:tcPr>
          <w:p w:rsidR="009C79AD" w:rsidRDefault="009D4430">
            <w:pPr>
              <w:jc w:val="center"/>
            </w:pPr>
            <w:r>
              <w:rPr>
                <w:color w:val="000000"/>
                <w:sz w:val="24"/>
              </w:rPr>
              <w:t>3.25%</w:t>
            </w:r>
          </w:p>
        </w:tc>
        <w:tc>
          <w:tcPr>
            <w:tcW w:w="1267" w:type="dxa"/>
            <w:vAlign w:val="center"/>
          </w:tcPr>
          <w:p w:rsidR="009C79AD" w:rsidRDefault="009D4430">
            <w:pPr>
              <w:jc w:val="center"/>
            </w:pPr>
            <w:r>
              <w:rPr>
                <w:color w:val="000000"/>
                <w:sz w:val="24"/>
              </w:rPr>
              <w:t>0.09%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C79AD">
        <w:trPr>
          <w:jc w:val="center"/>
        </w:trPr>
        <w:tc>
          <w:tcPr>
            <w:tcW w:w="1266" w:type="dxa"/>
            <w:vAlign w:val="center"/>
          </w:tcPr>
          <w:p w:rsidR="009C79AD" w:rsidRDefault="009D4430">
            <w:pPr>
              <w:jc w:val="left"/>
            </w:pPr>
            <w:r>
              <w:rPr>
                <w:color w:val="000000"/>
                <w:sz w:val="24"/>
              </w:rPr>
              <w:t>过去三个月</w:t>
            </w:r>
          </w:p>
        </w:tc>
        <w:tc>
          <w:tcPr>
            <w:tcW w:w="1267" w:type="dxa"/>
            <w:vAlign w:val="center"/>
          </w:tcPr>
          <w:p w:rsidR="009C79AD" w:rsidRDefault="009D4430">
            <w:pPr>
              <w:jc w:val="center"/>
            </w:pPr>
            <w:r>
              <w:rPr>
                <w:color w:val="000000"/>
                <w:sz w:val="24"/>
              </w:rPr>
              <w:t>4.03%</w:t>
            </w:r>
          </w:p>
        </w:tc>
        <w:tc>
          <w:tcPr>
            <w:tcW w:w="1267" w:type="dxa"/>
            <w:vAlign w:val="center"/>
          </w:tcPr>
          <w:p w:rsidR="009C79AD" w:rsidRDefault="009D4430">
            <w:pPr>
              <w:jc w:val="center"/>
            </w:pPr>
            <w:r>
              <w:rPr>
                <w:color w:val="000000"/>
                <w:sz w:val="24"/>
              </w:rPr>
              <w:t>0.09%</w:t>
            </w:r>
          </w:p>
        </w:tc>
        <w:tc>
          <w:tcPr>
            <w:tcW w:w="1267" w:type="dxa"/>
            <w:vAlign w:val="center"/>
          </w:tcPr>
          <w:p w:rsidR="009C79AD" w:rsidRDefault="009D4430">
            <w:pPr>
              <w:jc w:val="center"/>
            </w:pPr>
            <w:r>
              <w:rPr>
                <w:color w:val="000000"/>
                <w:sz w:val="24"/>
              </w:rPr>
              <w:t>0.96%</w:t>
            </w:r>
          </w:p>
        </w:tc>
        <w:tc>
          <w:tcPr>
            <w:tcW w:w="1267" w:type="dxa"/>
            <w:vAlign w:val="center"/>
          </w:tcPr>
          <w:p w:rsidR="009C79AD" w:rsidRDefault="009D4430">
            <w:pPr>
              <w:jc w:val="center"/>
            </w:pPr>
            <w:r>
              <w:rPr>
                <w:color w:val="000000"/>
                <w:sz w:val="24"/>
              </w:rPr>
              <w:t>0.01%</w:t>
            </w:r>
          </w:p>
        </w:tc>
        <w:tc>
          <w:tcPr>
            <w:tcW w:w="1267" w:type="dxa"/>
            <w:vAlign w:val="center"/>
          </w:tcPr>
          <w:p w:rsidR="009C79AD" w:rsidRDefault="009D4430">
            <w:pPr>
              <w:jc w:val="center"/>
            </w:pPr>
            <w:r>
              <w:rPr>
                <w:color w:val="000000"/>
                <w:sz w:val="24"/>
              </w:rPr>
              <w:t>3.07%</w:t>
            </w:r>
          </w:p>
        </w:tc>
        <w:tc>
          <w:tcPr>
            <w:tcW w:w="1267" w:type="dxa"/>
            <w:vAlign w:val="center"/>
          </w:tcPr>
          <w:p w:rsidR="009C79AD" w:rsidRDefault="009D4430">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A1892">
      <w:pPr>
        <w:spacing w:before="29" w:line="288" w:lineRule="auto"/>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947C4A" w:rsidRDefault="00FE7FBD" w:rsidP="007A1892">
      <w:pPr>
        <w:spacing w:before="29" w:line="288" w:lineRule="auto"/>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C79AD">
        <w:trPr>
          <w:jc w:val="center"/>
        </w:trPr>
        <w:tc>
          <w:tcPr>
            <w:tcW w:w="946" w:type="dxa"/>
            <w:vAlign w:val="center"/>
          </w:tcPr>
          <w:p w:rsidR="009C79AD" w:rsidRDefault="009D4430">
            <w:pPr>
              <w:jc w:val="center"/>
            </w:pPr>
            <w:r>
              <w:rPr>
                <w:color w:val="000000"/>
                <w:sz w:val="24"/>
              </w:rPr>
              <w:t>孙超</w:t>
            </w:r>
          </w:p>
        </w:tc>
        <w:tc>
          <w:tcPr>
            <w:tcW w:w="924" w:type="dxa"/>
            <w:vAlign w:val="center"/>
          </w:tcPr>
          <w:p w:rsidR="009C79AD" w:rsidRDefault="009D4430">
            <w:pPr>
              <w:jc w:val="center"/>
            </w:pPr>
            <w:r>
              <w:rPr>
                <w:color w:val="000000"/>
                <w:sz w:val="24"/>
              </w:rPr>
              <w:t>交银增利债券、交银纯债债券发起、交银理财</w:t>
            </w:r>
            <w:r>
              <w:rPr>
                <w:color w:val="000000"/>
                <w:sz w:val="24"/>
              </w:rPr>
              <w:t>60</w:t>
            </w:r>
            <w:r>
              <w:rPr>
                <w:color w:val="000000"/>
                <w:sz w:val="24"/>
              </w:rPr>
              <w:t>天</w:t>
            </w:r>
            <w:r>
              <w:rPr>
                <w:color w:val="000000"/>
                <w:sz w:val="24"/>
              </w:rPr>
              <w:lastRenderedPageBreak/>
              <w:t>债券、交银双轮动债券、交银定期支付月月丰债券、交银强化回报债券、交银丰润收益债券、交银丰享收益债券、交银丰泽收益债券的基金经理</w:t>
            </w:r>
          </w:p>
        </w:tc>
        <w:tc>
          <w:tcPr>
            <w:tcW w:w="1202" w:type="dxa"/>
            <w:vAlign w:val="center"/>
          </w:tcPr>
          <w:p w:rsidR="009C79AD" w:rsidRDefault="009D4430">
            <w:pPr>
              <w:jc w:val="center"/>
            </w:pPr>
            <w:r>
              <w:rPr>
                <w:color w:val="000000"/>
                <w:sz w:val="24"/>
              </w:rPr>
              <w:lastRenderedPageBreak/>
              <w:t>2014-12-15</w:t>
            </w:r>
          </w:p>
        </w:tc>
        <w:tc>
          <w:tcPr>
            <w:tcW w:w="1300" w:type="dxa"/>
            <w:vAlign w:val="center"/>
          </w:tcPr>
          <w:p w:rsidR="009C79AD" w:rsidRDefault="009D4430">
            <w:pPr>
              <w:jc w:val="center"/>
            </w:pPr>
            <w:r>
              <w:rPr>
                <w:color w:val="000000"/>
                <w:sz w:val="24"/>
              </w:rPr>
              <w:t>-</w:t>
            </w:r>
          </w:p>
        </w:tc>
        <w:tc>
          <w:tcPr>
            <w:tcW w:w="1245" w:type="dxa"/>
            <w:vAlign w:val="center"/>
          </w:tcPr>
          <w:p w:rsidR="009C79AD" w:rsidRDefault="009D4430">
            <w:pPr>
              <w:jc w:val="center"/>
            </w:pPr>
            <w:r>
              <w:rPr>
                <w:color w:val="000000"/>
                <w:sz w:val="24"/>
              </w:rPr>
              <w:t>4</w:t>
            </w:r>
            <w:r>
              <w:rPr>
                <w:color w:val="000000"/>
                <w:sz w:val="24"/>
              </w:rPr>
              <w:t>年</w:t>
            </w:r>
          </w:p>
        </w:tc>
        <w:tc>
          <w:tcPr>
            <w:tcW w:w="3251" w:type="dxa"/>
            <w:vAlign w:val="center"/>
          </w:tcPr>
          <w:p w:rsidR="009C79AD" w:rsidRDefault="009D443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9C79AD">
        <w:trPr>
          <w:jc w:val="center"/>
        </w:trPr>
        <w:tc>
          <w:tcPr>
            <w:tcW w:w="946" w:type="dxa"/>
            <w:vAlign w:val="center"/>
          </w:tcPr>
          <w:p w:rsidR="009C79AD" w:rsidRDefault="009D4430">
            <w:pPr>
              <w:jc w:val="center"/>
            </w:pPr>
            <w:r>
              <w:rPr>
                <w:color w:val="000000"/>
                <w:sz w:val="24"/>
              </w:rPr>
              <w:lastRenderedPageBreak/>
              <w:t>连端清</w:t>
            </w:r>
          </w:p>
        </w:tc>
        <w:tc>
          <w:tcPr>
            <w:tcW w:w="924" w:type="dxa"/>
            <w:vAlign w:val="center"/>
          </w:tcPr>
          <w:p w:rsidR="009C79AD" w:rsidRDefault="009D4430">
            <w:pPr>
              <w:jc w:val="center"/>
            </w:pPr>
            <w:r>
              <w:rPr>
                <w:color w:val="000000"/>
                <w:sz w:val="24"/>
              </w:rPr>
              <w:t>交银丰盈收益债券、交银现金宝货币、交银丰润收益债券的基金经理</w:t>
            </w:r>
          </w:p>
        </w:tc>
        <w:tc>
          <w:tcPr>
            <w:tcW w:w="1202" w:type="dxa"/>
            <w:vAlign w:val="center"/>
          </w:tcPr>
          <w:p w:rsidR="009C79AD" w:rsidRDefault="009D4430">
            <w:pPr>
              <w:jc w:val="center"/>
            </w:pPr>
            <w:r>
              <w:rPr>
                <w:color w:val="000000"/>
                <w:sz w:val="24"/>
              </w:rPr>
              <w:t>2015-08-04</w:t>
            </w:r>
          </w:p>
        </w:tc>
        <w:tc>
          <w:tcPr>
            <w:tcW w:w="1300" w:type="dxa"/>
            <w:vAlign w:val="center"/>
          </w:tcPr>
          <w:p w:rsidR="009C79AD" w:rsidRDefault="009D4430">
            <w:pPr>
              <w:jc w:val="center"/>
            </w:pPr>
            <w:r>
              <w:rPr>
                <w:color w:val="000000"/>
                <w:sz w:val="24"/>
              </w:rPr>
              <w:t>-</w:t>
            </w:r>
          </w:p>
        </w:tc>
        <w:tc>
          <w:tcPr>
            <w:tcW w:w="1245" w:type="dxa"/>
            <w:vAlign w:val="center"/>
          </w:tcPr>
          <w:p w:rsidR="009C79AD" w:rsidRDefault="009D4430">
            <w:pPr>
              <w:jc w:val="center"/>
            </w:pPr>
            <w:r>
              <w:rPr>
                <w:color w:val="000000"/>
                <w:sz w:val="24"/>
              </w:rPr>
              <w:t>4</w:t>
            </w:r>
            <w:r>
              <w:rPr>
                <w:color w:val="000000"/>
                <w:sz w:val="24"/>
              </w:rPr>
              <w:t>年</w:t>
            </w:r>
          </w:p>
        </w:tc>
        <w:tc>
          <w:tcPr>
            <w:tcW w:w="3251" w:type="dxa"/>
            <w:vAlign w:val="center"/>
          </w:tcPr>
          <w:p w:rsidR="009C79AD" w:rsidRDefault="009D443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C79AD" w:rsidRDefault="009D44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79AD" w:rsidRDefault="009D44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C79AD" w:rsidRDefault="009D44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3E0954" w:rsidRPr="003E0954" w:rsidRDefault="003E0954"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9C79AD" w:rsidRDefault="009D4430">
      <w:pPr>
        <w:spacing w:before="29" w:line="288" w:lineRule="auto"/>
        <w:ind w:firstLineChars="200" w:firstLine="480"/>
        <w:rPr>
          <w:color w:val="000000"/>
          <w:sz w:val="24"/>
        </w:rPr>
      </w:pPr>
      <w:r>
        <w:rPr>
          <w:color w:val="000000"/>
          <w:sz w:val="24"/>
        </w:rPr>
        <w:t>三季度，国内经济下行压力增大，</w:t>
      </w:r>
      <w:r>
        <w:rPr>
          <w:color w:val="000000"/>
          <w:sz w:val="24"/>
        </w:rPr>
        <w:t>CPI</w:t>
      </w:r>
      <w:r>
        <w:rPr>
          <w:color w:val="000000"/>
          <w:sz w:val="24"/>
        </w:rPr>
        <w:t>主要受</w:t>
      </w:r>
      <w:r>
        <w:rPr>
          <w:color w:val="000000"/>
          <w:sz w:val="24"/>
        </w:rPr>
        <w:t>“</w:t>
      </w:r>
      <w:r>
        <w:rPr>
          <w:color w:val="000000"/>
          <w:sz w:val="24"/>
        </w:rPr>
        <w:t>猪冲击</w:t>
      </w:r>
      <w:r>
        <w:rPr>
          <w:color w:val="000000"/>
          <w:sz w:val="24"/>
        </w:rPr>
        <w:t>”</w:t>
      </w:r>
      <w:r>
        <w:rPr>
          <w:color w:val="000000"/>
          <w:sz w:val="24"/>
        </w:rPr>
        <w:t>的影响有所攀升，但</w:t>
      </w:r>
      <w:r>
        <w:rPr>
          <w:color w:val="000000"/>
          <w:sz w:val="24"/>
        </w:rPr>
        <w:t>PPI</w:t>
      </w:r>
      <w:r>
        <w:rPr>
          <w:color w:val="000000"/>
          <w:sz w:val="24"/>
        </w:rPr>
        <w:t>跌幅继续扩大；央行货币政策维持宽松操作思路，</w:t>
      </w:r>
      <w:r>
        <w:rPr>
          <w:color w:val="000000"/>
          <w:sz w:val="24"/>
        </w:rPr>
        <w:t>8</w:t>
      </w:r>
      <w:r>
        <w:rPr>
          <w:color w:val="000000"/>
          <w:sz w:val="24"/>
        </w:rPr>
        <w:t>月下旬央行再次降准、降息以应对经济下滑风险及人民币大幅贬值带来的流动性趋紧风险。三季度</w:t>
      </w:r>
      <w:r>
        <w:rPr>
          <w:color w:val="000000"/>
          <w:sz w:val="24"/>
        </w:rPr>
        <w:t>A</w:t>
      </w:r>
      <w:r>
        <w:rPr>
          <w:color w:val="000000"/>
          <w:sz w:val="24"/>
        </w:rPr>
        <w:t>股市场深度调整，</w:t>
      </w:r>
      <w:r>
        <w:rPr>
          <w:color w:val="000000"/>
          <w:sz w:val="24"/>
        </w:rPr>
        <w:t>IPO</w:t>
      </w:r>
      <w:r>
        <w:rPr>
          <w:color w:val="000000"/>
          <w:sz w:val="24"/>
        </w:rPr>
        <w:lastRenderedPageBreak/>
        <w:t>暂停，受此影响投资者风险偏好显著降低，大量资金从股市转移至债市。在经济基本面、宽松的货币政策及权益投资者风险偏好降低的影响下，债市上涨幅度较大，债券收益率曲线平坦化，中长端大幅下行。除了</w:t>
      </w:r>
      <w:r>
        <w:rPr>
          <w:color w:val="000000"/>
          <w:sz w:val="24"/>
        </w:rPr>
        <w:t>8</w:t>
      </w:r>
      <w:r>
        <w:rPr>
          <w:color w:val="000000"/>
          <w:sz w:val="24"/>
        </w:rPr>
        <w:t>月份人民币突然大幅贬值造成银行间资金面小幅收紧之外，三季度资金面整体上比较宽松。除隔夜品种上行较明显之外，货币市场其他中短端品种收益率均走低。报告期内，本基金运作较为稳健。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考虑房地产投资增速企稳尚待时日，国内经济依然有下行压力。央行将维持宽松的货币政策，不排除继续降息、降准的可能，但预计四季度将更多以定向工具及公开市场操作为主来维持较宽裕的流动性。尽管经济基本面与资金面对债市仍有支撑，但是债市在三季度持续向好后，来自经济基本的悲观预期及资金面宽松因素已比较充分地反映在债券价格中。四季度需关注大类资产切换效应是否减弱，</w:t>
      </w:r>
      <w:r w:rsidRPr="007F52FA">
        <w:rPr>
          <w:color w:val="000000"/>
          <w:sz w:val="24"/>
        </w:rPr>
        <w:t>IPO</w:t>
      </w:r>
      <w:r w:rsidRPr="007F52FA">
        <w:rPr>
          <w:color w:val="000000"/>
          <w:sz w:val="24"/>
        </w:rPr>
        <w:t>是否重启，政府加码稳增长后经济下行势头是否减弱，美联储加息脚步临近以及跨年因素扰动等对债市的影响。我们对四季度债市持中性偏谨慎态度，操作上，本基金维持一定的杠杆水平，尽力获取债券息差，同时控制信用风险，力争为持有人获取相对稳健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1.090</w:t>
      </w:r>
      <w:r w:rsidRPr="007F52FA">
        <w:rPr>
          <w:color w:val="000000"/>
          <w:sz w:val="24"/>
        </w:rPr>
        <w:t>元，本报告期份额净值增长率为</w:t>
      </w:r>
      <w:r w:rsidRPr="007F52FA">
        <w:rPr>
          <w:color w:val="000000"/>
          <w:sz w:val="24"/>
        </w:rPr>
        <w:t>4.21%</w:t>
      </w:r>
      <w:r w:rsidRPr="007F52FA">
        <w:rPr>
          <w:color w:val="000000"/>
          <w:sz w:val="24"/>
        </w:rPr>
        <w:t>，同期业绩比较基准增长率为</w:t>
      </w:r>
      <w:r w:rsidRPr="007F52FA">
        <w:rPr>
          <w:color w:val="000000"/>
          <w:sz w:val="24"/>
        </w:rPr>
        <w:t>0.96%</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1.085</w:t>
      </w:r>
      <w:r w:rsidRPr="007F52FA">
        <w:rPr>
          <w:color w:val="000000"/>
          <w:sz w:val="24"/>
        </w:rPr>
        <w:t>元，本报告期份额净值增长率为</w:t>
      </w:r>
      <w:r w:rsidRPr="007F52FA">
        <w:rPr>
          <w:color w:val="000000"/>
          <w:sz w:val="24"/>
        </w:rPr>
        <w:t>4.03%</w:t>
      </w:r>
      <w:r w:rsidRPr="007F52FA">
        <w:rPr>
          <w:color w:val="000000"/>
          <w:sz w:val="24"/>
        </w:rPr>
        <w:t>，同期业绩比较基准增长率为</w:t>
      </w:r>
      <w:r w:rsidRPr="007F52FA">
        <w:rPr>
          <w:color w:val="000000"/>
          <w:sz w:val="24"/>
        </w:rPr>
        <w:t>0.96%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A1892">
        <w:rPr>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51411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750,852,274.63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735,852,274.63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1.86</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31,856,671.75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21,638,865.12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804,347,811.50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101,767,800.00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439,418,474.63</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194,666,000.00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41.98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735,852,274.63</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158.70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C79AD">
        <w:trPr>
          <w:jc w:val="center"/>
        </w:trPr>
        <w:tc>
          <w:tcPr>
            <w:tcW w:w="1075" w:type="dxa"/>
            <w:vAlign w:val="center"/>
          </w:tcPr>
          <w:p w:rsidR="009C79AD" w:rsidRDefault="009D4430">
            <w:pPr>
              <w:jc w:val="center"/>
            </w:pPr>
            <w:r>
              <w:rPr>
                <w:color w:val="000000"/>
                <w:sz w:val="24"/>
              </w:rPr>
              <w:t>1</w:t>
            </w:r>
          </w:p>
        </w:tc>
        <w:tc>
          <w:tcPr>
            <w:tcW w:w="1533" w:type="dxa"/>
            <w:vAlign w:val="center"/>
          </w:tcPr>
          <w:p w:rsidR="009C79AD" w:rsidRDefault="009D4430">
            <w:pPr>
              <w:jc w:val="center"/>
            </w:pPr>
            <w:r>
              <w:rPr>
                <w:color w:val="000000"/>
                <w:sz w:val="24"/>
              </w:rPr>
              <w:t>122367</w:t>
            </w:r>
          </w:p>
        </w:tc>
        <w:tc>
          <w:tcPr>
            <w:tcW w:w="1533" w:type="dxa"/>
            <w:vAlign w:val="center"/>
          </w:tcPr>
          <w:p w:rsidR="009C79AD" w:rsidRDefault="009D4430">
            <w:pPr>
              <w:jc w:val="center"/>
            </w:pPr>
            <w:r>
              <w:rPr>
                <w:color w:val="000000"/>
                <w:sz w:val="24"/>
              </w:rPr>
              <w:t>14</w:t>
            </w:r>
            <w:r>
              <w:rPr>
                <w:color w:val="000000"/>
                <w:sz w:val="24"/>
              </w:rPr>
              <w:t>财富债</w:t>
            </w:r>
          </w:p>
        </w:tc>
        <w:tc>
          <w:tcPr>
            <w:tcW w:w="1394" w:type="dxa"/>
            <w:vAlign w:val="center"/>
          </w:tcPr>
          <w:p w:rsidR="009C79AD" w:rsidRDefault="009D4430">
            <w:pPr>
              <w:jc w:val="right"/>
            </w:pPr>
            <w:r>
              <w:rPr>
                <w:color w:val="000000"/>
                <w:sz w:val="24"/>
              </w:rPr>
              <w:t>400,000</w:t>
            </w:r>
          </w:p>
        </w:tc>
        <w:tc>
          <w:tcPr>
            <w:tcW w:w="1944" w:type="dxa"/>
            <w:vAlign w:val="center"/>
          </w:tcPr>
          <w:p w:rsidR="009C79AD" w:rsidRDefault="009D4430">
            <w:pPr>
              <w:jc w:val="right"/>
            </w:pPr>
            <w:r>
              <w:rPr>
                <w:color w:val="000000"/>
                <w:sz w:val="24"/>
              </w:rPr>
              <w:t>42,192,000.00</w:t>
            </w:r>
          </w:p>
        </w:tc>
        <w:tc>
          <w:tcPr>
            <w:tcW w:w="1389" w:type="dxa"/>
            <w:vAlign w:val="center"/>
          </w:tcPr>
          <w:p w:rsidR="009C79AD" w:rsidRDefault="009D4430">
            <w:pPr>
              <w:jc w:val="right"/>
            </w:pPr>
            <w:r>
              <w:rPr>
                <w:color w:val="000000"/>
                <w:sz w:val="24"/>
              </w:rPr>
              <w:t>9.10</w:t>
            </w:r>
          </w:p>
        </w:tc>
      </w:tr>
      <w:tr w:rsidR="009C79AD">
        <w:trPr>
          <w:jc w:val="center"/>
        </w:trPr>
        <w:tc>
          <w:tcPr>
            <w:tcW w:w="1075" w:type="dxa"/>
            <w:vAlign w:val="center"/>
          </w:tcPr>
          <w:p w:rsidR="009C79AD" w:rsidRDefault="009D4430">
            <w:pPr>
              <w:jc w:val="center"/>
            </w:pPr>
            <w:r>
              <w:rPr>
                <w:color w:val="000000"/>
                <w:sz w:val="24"/>
              </w:rPr>
              <w:t>2</w:t>
            </w:r>
          </w:p>
        </w:tc>
        <w:tc>
          <w:tcPr>
            <w:tcW w:w="1533" w:type="dxa"/>
            <w:vAlign w:val="center"/>
          </w:tcPr>
          <w:p w:rsidR="009C79AD" w:rsidRDefault="009D4430">
            <w:pPr>
              <w:jc w:val="center"/>
            </w:pPr>
            <w:r>
              <w:rPr>
                <w:color w:val="000000"/>
                <w:sz w:val="24"/>
              </w:rPr>
              <w:t>101562001</w:t>
            </w:r>
          </w:p>
        </w:tc>
        <w:tc>
          <w:tcPr>
            <w:tcW w:w="1533" w:type="dxa"/>
            <w:vAlign w:val="center"/>
          </w:tcPr>
          <w:p w:rsidR="009C79AD" w:rsidRDefault="009D4430">
            <w:pPr>
              <w:jc w:val="center"/>
            </w:pPr>
            <w:r>
              <w:rPr>
                <w:color w:val="000000"/>
                <w:sz w:val="24"/>
              </w:rPr>
              <w:t>15</w:t>
            </w:r>
            <w:r>
              <w:rPr>
                <w:color w:val="000000"/>
                <w:sz w:val="24"/>
              </w:rPr>
              <w:t>东方</w:t>
            </w:r>
            <w:r>
              <w:rPr>
                <w:color w:val="000000"/>
                <w:sz w:val="24"/>
              </w:rPr>
              <w:t>MTN001</w:t>
            </w:r>
          </w:p>
        </w:tc>
        <w:tc>
          <w:tcPr>
            <w:tcW w:w="1394" w:type="dxa"/>
            <w:vAlign w:val="center"/>
          </w:tcPr>
          <w:p w:rsidR="009C79AD" w:rsidRDefault="009D4430">
            <w:pPr>
              <w:jc w:val="right"/>
            </w:pPr>
            <w:r>
              <w:rPr>
                <w:color w:val="000000"/>
                <w:sz w:val="24"/>
              </w:rPr>
              <w:t>400,000</w:t>
            </w:r>
          </w:p>
        </w:tc>
        <w:tc>
          <w:tcPr>
            <w:tcW w:w="1944" w:type="dxa"/>
            <w:vAlign w:val="center"/>
          </w:tcPr>
          <w:p w:rsidR="009C79AD" w:rsidRDefault="009D4430">
            <w:pPr>
              <w:jc w:val="right"/>
            </w:pPr>
            <w:r>
              <w:rPr>
                <w:color w:val="000000"/>
                <w:sz w:val="24"/>
              </w:rPr>
              <w:t>41,020,000.00</w:t>
            </w:r>
          </w:p>
        </w:tc>
        <w:tc>
          <w:tcPr>
            <w:tcW w:w="1389" w:type="dxa"/>
            <w:vAlign w:val="center"/>
          </w:tcPr>
          <w:p w:rsidR="009C79AD" w:rsidRDefault="009D4430">
            <w:pPr>
              <w:jc w:val="right"/>
            </w:pPr>
            <w:r>
              <w:rPr>
                <w:color w:val="000000"/>
                <w:sz w:val="24"/>
              </w:rPr>
              <w:t>8.85</w:t>
            </w:r>
          </w:p>
        </w:tc>
      </w:tr>
      <w:tr w:rsidR="009C79AD">
        <w:trPr>
          <w:jc w:val="center"/>
        </w:trPr>
        <w:tc>
          <w:tcPr>
            <w:tcW w:w="1075" w:type="dxa"/>
            <w:vAlign w:val="center"/>
          </w:tcPr>
          <w:p w:rsidR="009C79AD" w:rsidRDefault="009D4430">
            <w:pPr>
              <w:jc w:val="center"/>
            </w:pPr>
            <w:r>
              <w:rPr>
                <w:color w:val="000000"/>
                <w:sz w:val="24"/>
              </w:rPr>
              <w:lastRenderedPageBreak/>
              <w:t>3</w:t>
            </w:r>
          </w:p>
        </w:tc>
        <w:tc>
          <w:tcPr>
            <w:tcW w:w="1533" w:type="dxa"/>
            <w:vAlign w:val="center"/>
          </w:tcPr>
          <w:p w:rsidR="009C79AD" w:rsidRDefault="009D4430">
            <w:pPr>
              <w:jc w:val="center"/>
            </w:pPr>
            <w:r>
              <w:rPr>
                <w:color w:val="000000"/>
                <w:sz w:val="24"/>
              </w:rPr>
              <w:t>122342</w:t>
            </w:r>
          </w:p>
        </w:tc>
        <w:tc>
          <w:tcPr>
            <w:tcW w:w="1533" w:type="dxa"/>
            <w:vAlign w:val="center"/>
          </w:tcPr>
          <w:p w:rsidR="009C79AD" w:rsidRDefault="009D4430">
            <w:pPr>
              <w:jc w:val="center"/>
            </w:pPr>
            <w:r>
              <w:rPr>
                <w:color w:val="000000"/>
                <w:sz w:val="24"/>
              </w:rPr>
              <w:t>13</w:t>
            </w:r>
            <w:r>
              <w:rPr>
                <w:color w:val="000000"/>
                <w:sz w:val="24"/>
              </w:rPr>
              <w:t>包钢</w:t>
            </w:r>
            <w:r>
              <w:rPr>
                <w:color w:val="000000"/>
                <w:sz w:val="24"/>
              </w:rPr>
              <w:t>03</w:t>
            </w:r>
          </w:p>
        </w:tc>
        <w:tc>
          <w:tcPr>
            <w:tcW w:w="1394" w:type="dxa"/>
            <w:vAlign w:val="center"/>
          </w:tcPr>
          <w:p w:rsidR="009C79AD" w:rsidRDefault="009D4430">
            <w:pPr>
              <w:jc w:val="right"/>
            </w:pPr>
            <w:r>
              <w:rPr>
                <w:color w:val="000000"/>
                <w:sz w:val="24"/>
              </w:rPr>
              <w:t>400,000</w:t>
            </w:r>
          </w:p>
        </w:tc>
        <w:tc>
          <w:tcPr>
            <w:tcW w:w="1944" w:type="dxa"/>
            <w:vAlign w:val="center"/>
          </w:tcPr>
          <w:p w:rsidR="009C79AD" w:rsidRDefault="009D4430">
            <w:pPr>
              <w:jc w:val="right"/>
            </w:pPr>
            <w:r>
              <w:rPr>
                <w:color w:val="000000"/>
                <w:sz w:val="24"/>
              </w:rPr>
              <w:t>41,004,000.00</w:t>
            </w:r>
          </w:p>
        </w:tc>
        <w:tc>
          <w:tcPr>
            <w:tcW w:w="1389" w:type="dxa"/>
            <w:vAlign w:val="center"/>
          </w:tcPr>
          <w:p w:rsidR="009C79AD" w:rsidRDefault="009D4430">
            <w:pPr>
              <w:jc w:val="right"/>
            </w:pPr>
            <w:r>
              <w:rPr>
                <w:color w:val="000000"/>
                <w:sz w:val="24"/>
              </w:rPr>
              <w:t>8.84</w:t>
            </w:r>
          </w:p>
        </w:tc>
      </w:tr>
      <w:tr w:rsidR="009C79AD">
        <w:trPr>
          <w:jc w:val="center"/>
        </w:trPr>
        <w:tc>
          <w:tcPr>
            <w:tcW w:w="1075" w:type="dxa"/>
            <w:vAlign w:val="center"/>
          </w:tcPr>
          <w:p w:rsidR="009C79AD" w:rsidRDefault="009D4430">
            <w:pPr>
              <w:jc w:val="center"/>
            </w:pPr>
            <w:r>
              <w:rPr>
                <w:color w:val="000000"/>
                <w:sz w:val="24"/>
              </w:rPr>
              <w:t>4</w:t>
            </w:r>
          </w:p>
        </w:tc>
        <w:tc>
          <w:tcPr>
            <w:tcW w:w="1533" w:type="dxa"/>
            <w:vAlign w:val="center"/>
          </w:tcPr>
          <w:p w:rsidR="009C79AD" w:rsidRDefault="009D4430">
            <w:pPr>
              <w:jc w:val="center"/>
            </w:pPr>
            <w:r>
              <w:rPr>
                <w:color w:val="000000"/>
                <w:sz w:val="24"/>
              </w:rPr>
              <w:t>101553002</w:t>
            </w:r>
          </w:p>
        </w:tc>
        <w:tc>
          <w:tcPr>
            <w:tcW w:w="1533" w:type="dxa"/>
            <w:vAlign w:val="center"/>
          </w:tcPr>
          <w:p w:rsidR="009C79AD" w:rsidRDefault="009D4430">
            <w:pPr>
              <w:jc w:val="center"/>
            </w:pPr>
            <w:r>
              <w:rPr>
                <w:color w:val="000000"/>
                <w:sz w:val="24"/>
              </w:rPr>
              <w:t>15</w:t>
            </w:r>
            <w:r>
              <w:rPr>
                <w:color w:val="000000"/>
                <w:sz w:val="24"/>
              </w:rPr>
              <w:t>峰峰</w:t>
            </w:r>
            <w:r>
              <w:rPr>
                <w:color w:val="000000"/>
                <w:sz w:val="24"/>
              </w:rPr>
              <w:t>MTN001</w:t>
            </w:r>
          </w:p>
        </w:tc>
        <w:tc>
          <w:tcPr>
            <w:tcW w:w="1394" w:type="dxa"/>
            <w:vAlign w:val="center"/>
          </w:tcPr>
          <w:p w:rsidR="009C79AD" w:rsidRDefault="009D4430">
            <w:pPr>
              <w:jc w:val="right"/>
            </w:pPr>
            <w:r>
              <w:rPr>
                <w:color w:val="000000"/>
                <w:sz w:val="24"/>
              </w:rPr>
              <w:t>400,000</w:t>
            </w:r>
          </w:p>
        </w:tc>
        <w:tc>
          <w:tcPr>
            <w:tcW w:w="1944" w:type="dxa"/>
            <w:vAlign w:val="center"/>
          </w:tcPr>
          <w:p w:rsidR="009C79AD" w:rsidRDefault="009D4430">
            <w:pPr>
              <w:jc w:val="right"/>
            </w:pPr>
            <w:r>
              <w:rPr>
                <w:color w:val="000000"/>
                <w:sz w:val="24"/>
              </w:rPr>
              <w:t>40,884,000.00</w:t>
            </w:r>
          </w:p>
        </w:tc>
        <w:tc>
          <w:tcPr>
            <w:tcW w:w="1389" w:type="dxa"/>
            <w:vAlign w:val="center"/>
          </w:tcPr>
          <w:p w:rsidR="009C79AD" w:rsidRDefault="009D4430">
            <w:pPr>
              <w:jc w:val="right"/>
            </w:pPr>
            <w:r>
              <w:rPr>
                <w:color w:val="000000"/>
                <w:sz w:val="24"/>
              </w:rPr>
              <w:t>8.82</w:t>
            </w:r>
          </w:p>
        </w:tc>
      </w:tr>
      <w:tr w:rsidR="009C79AD">
        <w:trPr>
          <w:jc w:val="center"/>
        </w:trPr>
        <w:tc>
          <w:tcPr>
            <w:tcW w:w="1075" w:type="dxa"/>
            <w:vAlign w:val="center"/>
          </w:tcPr>
          <w:p w:rsidR="009C79AD" w:rsidRDefault="009D4430">
            <w:pPr>
              <w:jc w:val="center"/>
            </w:pPr>
            <w:r>
              <w:rPr>
                <w:color w:val="000000"/>
                <w:sz w:val="24"/>
              </w:rPr>
              <w:t>5</w:t>
            </w:r>
          </w:p>
        </w:tc>
        <w:tc>
          <w:tcPr>
            <w:tcW w:w="1533" w:type="dxa"/>
            <w:vAlign w:val="center"/>
          </w:tcPr>
          <w:p w:rsidR="009C79AD" w:rsidRDefault="009D4430">
            <w:pPr>
              <w:jc w:val="center"/>
            </w:pPr>
            <w:r>
              <w:rPr>
                <w:color w:val="000000"/>
                <w:sz w:val="24"/>
              </w:rPr>
              <w:t>123306</w:t>
            </w:r>
          </w:p>
        </w:tc>
        <w:tc>
          <w:tcPr>
            <w:tcW w:w="1533" w:type="dxa"/>
            <w:vAlign w:val="center"/>
          </w:tcPr>
          <w:p w:rsidR="009C79AD" w:rsidRDefault="009D4430">
            <w:pPr>
              <w:jc w:val="center"/>
            </w:pPr>
            <w:r>
              <w:rPr>
                <w:color w:val="000000"/>
                <w:sz w:val="24"/>
              </w:rPr>
              <w:t>14</w:t>
            </w:r>
            <w:r>
              <w:rPr>
                <w:color w:val="000000"/>
                <w:sz w:val="24"/>
              </w:rPr>
              <w:t>财通</w:t>
            </w:r>
            <w:r>
              <w:rPr>
                <w:color w:val="000000"/>
                <w:sz w:val="24"/>
              </w:rPr>
              <w:t>02</w:t>
            </w:r>
          </w:p>
        </w:tc>
        <w:tc>
          <w:tcPr>
            <w:tcW w:w="1394" w:type="dxa"/>
            <w:vAlign w:val="center"/>
          </w:tcPr>
          <w:p w:rsidR="009C79AD" w:rsidRDefault="009D4430">
            <w:pPr>
              <w:jc w:val="right"/>
            </w:pPr>
            <w:r>
              <w:rPr>
                <w:color w:val="000000"/>
                <w:sz w:val="24"/>
              </w:rPr>
              <w:t>300,000</w:t>
            </w:r>
          </w:p>
        </w:tc>
        <w:tc>
          <w:tcPr>
            <w:tcW w:w="1944" w:type="dxa"/>
            <w:vAlign w:val="center"/>
          </w:tcPr>
          <w:p w:rsidR="009C79AD" w:rsidRDefault="009D4430">
            <w:pPr>
              <w:jc w:val="right"/>
            </w:pPr>
            <w:r>
              <w:rPr>
                <w:color w:val="000000"/>
                <w:sz w:val="24"/>
              </w:rPr>
              <w:t>32,232,000.00</w:t>
            </w:r>
          </w:p>
        </w:tc>
        <w:tc>
          <w:tcPr>
            <w:tcW w:w="1389" w:type="dxa"/>
            <w:vAlign w:val="center"/>
          </w:tcPr>
          <w:p w:rsidR="009C79AD" w:rsidRDefault="009D4430">
            <w:pPr>
              <w:jc w:val="right"/>
            </w:pPr>
            <w:r>
              <w:rPr>
                <w:color w:val="000000"/>
                <w:sz w:val="24"/>
              </w:rPr>
              <w:t>6.95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5"/>
        <w:gridCol w:w="1465"/>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9C79AD">
        <w:trPr>
          <w:jc w:val="center"/>
        </w:trPr>
        <w:tc>
          <w:tcPr>
            <w:tcW w:w="0" w:type="auto"/>
            <w:vAlign w:val="center"/>
          </w:tcPr>
          <w:p w:rsidR="009C79AD" w:rsidRDefault="009D4430">
            <w:pPr>
              <w:jc w:val="center"/>
            </w:pPr>
            <w:r>
              <w:rPr>
                <w:color w:val="000000"/>
                <w:sz w:val="24"/>
              </w:rPr>
              <w:t>1</w:t>
            </w:r>
          </w:p>
        </w:tc>
        <w:tc>
          <w:tcPr>
            <w:tcW w:w="0" w:type="auto"/>
            <w:vAlign w:val="center"/>
          </w:tcPr>
          <w:p w:rsidR="009C79AD" w:rsidRDefault="009D4430">
            <w:pPr>
              <w:jc w:val="center"/>
            </w:pPr>
            <w:r>
              <w:rPr>
                <w:color w:val="000000"/>
                <w:sz w:val="24"/>
              </w:rPr>
              <w:t>119163</w:t>
            </w:r>
          </w:p>
        </w:tc>
        <w:tc>
          <w:tcPr>
            <w:tcW w:w="0" w:type="auto"/>
            <w:vAlign w:val="center"/>
          </w:tcPr>
          <w:p w:rsidR="009C79AD" w:rsidRDefault="009D4430">
            <w:pPr>
              <w:jc w:val="center"/>
            </w:pPr>
            <w:r>
              <w:rPr>
                <w:color w:val="000000"/>
                <w:sz w:val="24"/>
              </w:rPr>
              <w:t>15</w:t>
            </w:r>
            <w:r>
              <w:rPr>
                <w:color w:val="000000"/>
                <w:sz w:val="24"/>
              </w:rPr>
              <w:t>中和</w:t>
            </w:r>
            <w:r>
              <w:rPr>
                <w:color w:val="000000"/>
                <w:sz w:val="24"/>
              </w:rPr>
              <w:t>1A</w:t>
            </w:r>
          </w:p>
        </w:tc>
        <w:tc>
          <w:tcPr>
            <w:tcW w:w="0" w:type="auto"/>
            <w:vAlign w:val="center"/>
          </w:tcPr>
          <w:p w:rsidR="009C79AD" w:rsidRDefault="009D4430">
            <w:pPr>
              <w:jc w:val="right"/>
            </w:pPr>
            <w:r>
              <w:rPr>
                <w:color w:val="000000"/>
                <w:sz w:val="24"/>
              </w:rPr>
              <w:t>150,000</w:t>
            </w:r>
          </w:p>
        </w:tc>
        <w:tc>
          <w:tcPr>
            <w:tcW w:w="0" w:type="auto"/>
            <w:vAlign w:val="center"/>
          </w:tcPr>
          <w:p w:rsidR="009C79AD" w:rsidRDefault="009D4430">
            <w:pPr>
              <w:jc w:val="right"/>
            </w:pPr>
            <w:r>
              <w:rPr>
                <w:color w:val="000000"/>
                <w:sz w:val="24"/>
              </w:rPr>
              <w:t>15,000,000.00</w:t>
            </w:r>
          </w:p>
        </w:tc>
        <w:tc>
          <w:tcPr>
            <w:tcW w:w="0" w:type="auto"/>
            <w:vAlign w:val="center"/>
          </w:tcPr>
          <w:p w:rsidR="009C79AD" w:rsidRDefault="009D4430">
            <w:pPr>
              <w:jc w:val="right"/>
            </w:pPr>
            <w:r>
              <w:rPr>
                <w:color w:val="000000"/>
                <w:sz w:val="24"/>
              </w:rPr>
              <w:t>3.24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A1892">
      <w:pPr>
        <w:autoSpaceDE w:val="0"/>
        <w:autoSpaceDN w:val="0"/>
        <w:adjustRightInd w:val="0"/>
        <w:spacing w:before="29" w:line="288" w:lineRule="auto"/>
        <w:jc w:val="left"/>
        <w:rPr>
          <w:sz w:val="24"/>
        </w:rPr>
      </w:pPr>
      <w:bookmarkStart w:id="0" w:name="_GoBack"/>
      <w:r w:rsidRPr="007F52FA">
        <w:rPr>
          <w:sz w:val="24"/>
        </w:rPr>
        <w:t>本基金本报告期末未持有贵金属。</w:t>
      </w:r>
    </w:p>
    <w:bookmarkEnd w:id="0"/>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1,098.46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21,637,766.66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21,638,865.12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9D4430" w:rsidP="0051411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§6</w:t>
      </w:r>
      <w:r w:rsidR="000673DA" w:rsidRPr="000673DA">
        <w:rPr>
          <w:color w:val="000000"/>
          <w:kern w:val="0"/>
          <w:sz w:val="24"/>
          <w:szCs w:val="24"/>
        </w:rPr>
        <w:t xml:space="preserve">  </w:t>
      </w:r>
      <w:r w:rsidR="000673DA" w:rsidRPr="000673DA">
        <w:rPr>
          <w:rFonts w:hAnsi="宋体"/>
          <w:sz w:val="24"/>
          <w:szCs w:val="24"/>
        </w:rPr>
        <w:t>基金管理人运用固有资金投资本基金情况</w:t>
      </w:r>
    </w:p>
    <w:p w:rsidR="000673DA" w:rsidRPr="000673DA" w:rsidRDefault="009D4430"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9D4430" w:rsidP="00646AEE">
      <w:pPr>
        <w:autoSpaceDE w:val="0"/>
        <w:autoSpaceDN w:val="0"/>
        <w:adjustRightInd w:val="0"/>
        <w:spacing w:before="29" w:line="288" w:lineRule="auto"/>
        <w:jc w:val="left"/>
        <w:rPr>
          <w:b/>
          <w:color w:val="000000"/>
          <w:sz w:val="24"/>
        </w:rPr>
      </w:pPr>
      <w:r>
        <w:rPr>
          <w:rFonts w:hint="eastAsia"/>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9D4430">
        <w:rPr>
          <w:rFonts w:eastAsiaTheme="minorEastAsia"/>
          <w:color w:val="000000"/>
          <w:kern w:val="0"/>
          <w:sz w:val="24"/>
          <w:szCs w:val="24"/>
        </w:rPr>
        <w:t>7</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9D4430"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lastRenderedPageBreak/>
        <w:t>6</w:t>
      </w:r>
      <w:r>
        <w:rPr>
          <w:rFonts w:eastAsiaTheme="minorEastAsia"/>
          <w:color w:val="000000"/>
          <w:sz w:val="24"/>
        </w:rPr>
        <w:t>、基金托管人业务资格批件、营业执照；</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9D4430"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9D4430"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9C79AD" w:rsidRDefault="009D443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30" w:rsidRDefault="009B5C30">
      <w:r>
        <w:separator/>
      </w:r>
    </w:p>
  </w:endnote>
  <w:endnote w:type="continuationSeparator" w:id="0">
    <w:p w:rsidR="009B5C30" w:rsidRDefault="009B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9A46F7">
      <w:rPr>
        <w:kern w:val="0"/>
        <w:szCs w:val="21"/>
      </w:rPr>
      <w:fldChar w:fldCharType="begin"/>
    </w:r>
    <w:r>
      <w:rPr>
        <w:kern w:val="0"/>
        <w:szCs w:val="21"/>
      </w:rPr>
      <w:instrText xml:space="preserve"> PAGE </w:instrText>
    </w:r>
    <w:r w:rsidR="009A46F7">
      <w:rPr>
        <w:kern w:val="0"/>
        <w:szCs w:val="21"/>
      </w:rPr>
      <w:fldChar w:fldCharType="separate"/>
    </w:r>
    <w:r w:rsidR="007A1892">
      <w:rPr>
        <w:noProof/>
        <w:kern w:val="0"/>
        <w:szCs w:val="21"/>
      </w:rPr>
      <w:t>10</w:t>
    </w:r>
    <w:r w:rsidR="009A46F7">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9A46F7">
      <w:rPr>
        <w:kern w:val="0"/>
        <w:szCs w:val="21"/>
      </w:rPr>
      <w:fldChar w:fldCharType="begin"/>
    </w:r>
    <w:r>
      <w:rPr>
        <w:kern w:val="0"/>
        <w:szCs w:val="21"/>
      </w:rPr>
      <w:instrText xml:space="preserve"> NUMPAGES </w:instrText>
    </w:r>
    <w:r w:rsidR="009A46F7">
      <w:rPr>
        <w:kern w:val="0"/>
        <w:szCs w:val="21"/>
      </w:rPr>
      <w:fldChar w:fldCharType="separate"/>
    </w:r>
    <w:r w:rsidR="007A1892">
      <w:rPr>
        <w:noProof/>
        <w:kern w:val="0"/>
        <w:szCs w:val="21"/>
      </w:rPr>
      <w:t>12</w:t>
    </w:r>
    <w:r w:rsidR="009A46F7">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9A46F7">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30" w:rsidRDefault="009B5C30">
      <w:r>
        <w:separator/>
      </w:r>
    </w:p>
  </w:footnote>
  <w:footnote w:type="continuationSeparator" w:id="0">
    <w:p w:rsidR="009B5C30" w:rsidRDefault="009B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9B5C3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BC2"/>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10A5"/>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954"/>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60F2"/>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892"/>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47C4A"/>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C30"/>
    <w:rsid w:val="009B5DAF"/>
    <w:rsid w:val="009B5F83"/>
    <w:rsid w:val="009B61C5"/>
    <w:rsid w:val="009B6A1E"/>
    <w:rsid w:val="009B769E"/>
    <w:rsid w:val="009C03E5"/>
    <w:rsid w:val="009C407C"/>
    <w:rsid w:val="009C4D19"/>
    <w:rsid w:val="009C5FDB"/>
    <w:rsid w:val="009C65AF"/>
    <w:rsid w:val="009C70CB"/>
    <w:rsid w:val="009C74DD"/>
    <w:rsid w:val="009C79AD"/>
    <w:rsid w:val="009D27AA"/>
    <w:rsid w:val="009D2AD9"/>
    <w:rsid w:val="009D2BAC"/>
    <w:rsid w:val="009D4430"/>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C6B96"/>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4EED"/>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3225"/>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B0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839FFA4-AD04-4081-B2A0-85A4649A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3E09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63F3-45B8-4172-B649-F4538513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180</TotalTime>
  <Pages>12</Pages>
  <Words>975</Words>
  <Characters>5562</Characters>
  <Application>Microsoft Office Word</Application>
  <DocSecurity>0</DocSecurity>
  <Lines>46</Lines>
  <Paragraphs>13</Paragraphs>
  <ScaleCrop>false</ScaleCrop>
  <Company>TRT. Ltd. Co.</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370</cp:revision>
  <cp:lastPrinted>2007-07-19T00:46:00Z</cp:lastPrinted>
  <dcterms:created xsi:type="dcterms:W3CDTF">2014-01-17T06:19:00Z</dcterms:created>
  <dcterms:modified xsi:type="dcterms:W3CDTF">2015-10-22T06:58:00Z</dcterms:modified>
</cp:coreProperties>
</file>