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61AC" w:rsidRPr="00414345" w:rsidRDefault="004061AC" w:rsidP="00C15CAC">
      <w:pPr>
        <w:autoSpaceDE w:val="0"/>
        <w:autoSpaceDN w:val="0"/>
        <w:adjustRightInd w:val="0"/>
        <w:spacing w:before="29" w:line="288" w:lineRule="auto"/>
        <w:jc w:val="left"/>
        <w:rPr>
          <w:color w:val="000000"/>
          <w:kern w:val="0"/>
          <w:sz w:val="24"/>
          <w:szCs w:val="24"/>
        </w:rPr>
      </w:pPr>
      <w:bookmarkStart w:id="0" w:name="_GoBack"/>
      <w:bookmarkEnd w:id="0"/>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2279D3" w:rsidRPr="0081286B" w:rsidRDefault="002279D3" w:rsidP="00C15CAC">
      <w:pPr>
        <w:spacing w:before="29" w:line="288" w:lineRule="auto"/>
        <w:jc w:val="center"/>
        <w:rPr>
          <w:b/>
          <w:sz w:val="36"/>
          <w:szCs w:val="36"/>
        </w:rPr>
      </w:pPr>
      <w:r w:rsidRPr="0081286B">
        <w:rPr>
          <w:b/>
          <w:sz w:val="36"/>
          <w:szCs w:val="36"/>
        </w:rPr>
        <w:t>交银施罗德阿尔法核心混合型证券投资基金</w:t>
      </w:r>
    </w:p>
    <w:p w:rsidR="002279D3" w:rsidRPr="0081286B" w:rsidRDefault="002279D3" w:rsidP="00C15CAC">
      <w:pPr>
        <w:spacing w:before="29" w:line="288" w:lineRule="auto"/>
        <w:jc w:val="center"/>
        <w:rPr>
          <w:b/>
          <w:sz w:val="36"/>
          <w:szCs w:val="36"/>
        </w:rPr>
      </w:pPr>
      <w:r w:rsidRPr="0081286B">
        <w:rPr>
          <w:b/>
          <w:sz w:val="36"/>
          <w:szCs w:val="36"/>
        </w:rPr>
        <w:t>2015</w:t>
      </w:r>
      <w:r w:rsidRPr="0081286B">
        <w:rPr>
          <w:b/>
          <w:sz w:val="36"/>
          <w:szCs w:val="36"/>
        </w:rPr>
        <w:t>年第</w:t>
      </w:r>
      <w:r w:rsidRPr="0081286B">
        <w:rPr>
          <w:b/>
          <w:sz w:val="36"/>
          <w:szCs w:val="36"/>
        </w:rPr>
        <w:t>3</w:t>
      </w:r>
      <w:r w:rsidRPr="0081286B">
        <w:rPr>
          <w:b/>
          <w:sz w:val="36"/>
          <w:szCs w:val="36"/>
        </w:rPr>
        <w:t>季度报告</w:t>
      </w:r>
    </w:p>
    <w:p w:rsidR="004061AC" w:rsidRPr="0081286B" w:rsidRDefault="00655CD8" w:rsidP="00C15CAC">
      <w:pPr>
        <w:spacing w:before="29" w:line="288" w:lineRule="auto"/>
        <w:jc w:val="center"/>
        <w:rPr>
          <w:b/>
          <w:sz w:val="36"/>
          <w:szCs w:val="36"/>
        </w:rPr>
      </w:pPr>
      <w:r w:rsidRPr="0081286B">
        <w:rPr>
          <w:b/>
          <w:sz w:val="36"/>
          <w:szCs w:val="36"/>
        </w:rPr>
        <w:t>2015</w:t>
      </w:r>
      <w:r w:rsidRPr="0081286B">
        <w:rPr>
          <w:b/>
          <w:sz w:val="36"/>
          <w:szCs w:val="36"/>
        </w:rPr>
        <w:t>年</w:t>
      </w:r>
      <w:r w:rsidRPr="0081286B">
        <w:rPr>
          <w:b/>
          <w:sz w:val="36"/>
          <w:szCs w:val="36"/>
        </w:rPr>
        <w:t>9</w:t>
      </w:r>
      <w:r w:rsidRPr="0081286B">
        <w:rPr>
          <w:b/>
          <w:sz w:val="36"/>
          <w:szCs w:val="36"/>
        </w:rPr>
        <w:t>月</w:t>
      </w:r>
      <w:r w:rsidRPr="0081286B">
        <w:rPr>
          <w:b/>
          <w:sz w:val="36"/>
          <w:szCs w:val="36"/>
        </w:rPr>
        <w:t>30</w:t>
      </w:r>
      <w:r w:rsidRPr="0081286B">
        <w:rPr>
          <w:b/>
          <w:sz w:val="36"/>
          <w:szCs w:val="36"/>
        </w:rPr>
        <w:t>日</w:t>
      </w: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基金管理人：交银施罗德基金管理有限公司</w:t>
      </w: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基金托管人：中国建设银行股份有限公司</w:t>
      </w:r>
    </w:p>
    <w:p w:rsidR="004061AC" w:rsidRPr="0081286B" w:rsidRDefault="004061AC" w:rsidP="00C15CAC">
      <w:pPr>
        <w:spacing w:before="29" w:line="288" w:lineRule="auto"/>
        <w:ind w:firstLineChars="900" w:firstLine="2168"/>
        <w:rPr>
          <w:b/>
          <w:color w:val="000000"/>
          <w:sz w:val="24"/>
          <w:szCs w:val="24"/>
        </w:rPr>
        <w:sectPr w:rsidR="004061AC" w:rsidRPr="0081286B" w:rsidSect="00000678">
          <w:headerReference w:type="default" r:id="rId8"/>
          <w:footerReference w:type="default" r:id="rId9"/>
          <w:pgSz w:w="11926" w:h="15840"/>
          <w:pgMar w:top="1418" w:right="1440" w:bottom="851" w:left="1440" w:header="851" w:footer="992" w:gutter="0"/>
          <w:cols w:space="720"/>
          <w:noEndnote/>
        </w:sectPr>
      </w:pPr>
      <w:r w:rsidRPr="0081286B">
        <w:rPr>
          <w:b/>
          <w:color w:val="000000"/>
          <w:sz w:val="24"/>
          <w:szCs w:val="24"/>
        </w:rPr>
        <w:t>报告送出日期：</w:t>
      </w:r>
      <w:r w:rsidR="00F16E3F" w:rsidRPr="0081286B">
        <w:rPr>
          <w:b/>
          <w:color w:val="000000"/>
          <w:sz w:val="24"/>
          <w:szCs w:val="24"/>
        </w:rPr>
        <w:t>二〇一五年十月二十七日</w:t>
      </w:r>
    </w:p>
    <w:p w:rsidR="004061AC" w:rsidRPr="00414345" w:rsidRDefault="004061AC" w:rsidP="00F323FF">
      <w:pPr>
        <w:pStyle w:val="1"/>
        <w:spacing w:beforeLines="100" w:before="312" w:afterLines="100" w:after="312" w:line="288" w:lineRule="auto"/>
        <w:jc w:val="center"/>
        <w:rPr>
          <w:b w:val="0"/>
          <w:bCs w:val="0"/>
          <w:color w:val="000000"/>
          <w:kern w:val="0"/>
          <w:sz w:val="24"/>
          <w:szCs w:val="24"/>
        </w:rPr>
      </w:pPr>
      <w:r w:rsidRPr="00414345">
        <w:rPr>
          <w:color w:val="000000"/>
          <w:kern w:val="0"/>
          <w:sz w:val="24"/>
          <w:szCs w:val="24"/>
        </w:rPr>
        <w:lastRenderedPageBreak/>
        <w:t xml:space="preserve">§1  </w:t>
      </w:r>
      <w:r w:rsidRPr="00414345">
        <w:rPr>
          <w:color w:val="000000"/>
          <w:kern w:val="0"/>
          <w:sz w:val="24"/>
          <w:szCs w:val="24"/>
        </w:rPr>
        <w:t>重要提示</w:t>
      </w:r>
    </w:p>
    <w:p w:rsidR="00384A2D" w:rsidRDefault="00B32EA8">
      <w:pPr>
        <w:spacing w:before="29" w:line="288" w:lineRule="auto"/>
        <w:ind w:firstLineChars="200" w:firstLine="480"/>
        <w:rPr>
          <w:color w:val="000000"/>
          <w:sz w:val="24"/>
          <w:szCs w:val="24"/>
        </w:rPr>
      </w:pPr>
      <w:r>
        <w:rPr>
          <w:color w:val="000000"/>
          <w:sz w:val="24"/>
          <w:szCs w:val="24"/>
        </w:rPr>
        <w:t>基金管理人的董事会及董事保证本报告所载资料不存在虚假记载、误导性陈述或重大遗漏，并对其内容的真实性、准确性和完整性承担个别及连带责任。</w:t>
      </w:r>
    </w:p>
    <w:p w:rsidR="00384A2D" w:rsidRDefault="00B32EA8">
      <w:pPr>
        <w:spacing w:before="29" w:line="288" w:lineRule="auto"/>
        <w:ind w:firstLineChars="200" w:firstLine="480"/>
        <w:rPr>
          <w:color w:val="000000"/>
          <w:sz w:val="24"/>
          <w:szCs w:val="24"/>
        </w:rPr>
      </w:pPr>
      <w:r>
        <w:rPr>
          <w:color w:val="000000"/>
          <w:sz w:val="24"/>
          <w:szCs w:val="24"/>
        </w:rPr>
        <w:t>基金托管人中国建设银行股份有限公司根据本基金合同规定，于</w:t>
      </w:r>
      <w:r>
        <w:rPr>
          <w:color w:val="000000"/>
          <w:sz w:val="24"/>
          <w:szCs w:val="24"/>
        </w:rPr>
        <w:t>2015</w:t>
      </w:r>
      <w:r>
        <w:rPr>
          <w:color w:val="000000"/>
          <w:sz w:val="24"/>
          <w:szCs w:val="24"/>
        </w:rPr>
        <w:t>年</w:t>
      </w:r>
      <w:r>
        <w:rPr>
          <w:color w:val="000000"/>
          <w:sz w:val="24"/>
          <w:szCs w:val="24"/>
        </w:rPr>
        <w:t>10</w:t>
      </w:r>
      <w:r>
        <w:rPr>
          <w:color w:val="000000"/>
          <w:sz w:val="24"/>
          <w:szCs w:val="24"/>
        </w:rPr>
        <w:t>月</w:t>
      </w:r>
      <w:r>
        <w:rPr>
          <w:color w:val="000000"/>
          <w:sz w:val="24"/>
          <w:szCs w:val="24"/>
        </w:rPr>
        <w:t>26</w:t>
      </w:r>
      <w:r>
        <w:rPr>
          <w:color w:val="000000"/>
          <w:sz w:val="24"/>
          <w:szCs w:val="24"/>
        </w:rPr>
        <w:t xml:space="preserve">日复核了本报告中的财务指标、净值表现和投资组合报告等内容，保证复核内容不存在虚假记载、误导性陈述或者重大遗漏。　　</w:t>
      </w:r>
    </w:p>
    <w:p w:rsidR="00384A2D" w:rsidRDefault="00B32EA8">
      <w:pPr>
        <w:spacing w:before="29" w:line="288" w:lineRule="auto"/>
        <w:ind w:firstLineChars="200" w:firstLine="480"/>
        <w:rPr>
          <w:color w:val="000000"/>
          <w:sz w:val="24"/>
          <w:szCs w:val="24"/>
        </w:rPr>
      </w:pPr>
      <w:r>
        <w:rPr>
          <w:color w:val="000000"/>
          <w:sz w:val="24"/>
          <w:szCs w:val="24"/>
        </w:rPr>
        <w:t>基金管理人承诺以诚实信用、勤勉尽责的原则管理和运用基金资产，但不保证基金一定盈利。</w:t>
      </w:r>
    </w:p>
    <w:p w:rsidR="00384A2D" w:rsidRDefault="00B32EA8">
      <w:pPr>
        <w:spacing w:before="29" w:line="288" w:lineRule="auto"/>
        <w:ind w:firstLineChars="200" w:firstLine="480"/>
        <w:rPr>
          <w:color w:val="000000"/>
          <w:sz w:val="24"/>
          <w:szCs w:val="24"/>
        </w:rPr>
      </w:pPr>
      <w:r>
        <w:rPr>
          <w:color w:val="000000"/>
          <w:sz w:val="24"/>
          <w:szCs w:val="24"/>
        </w:rPr>
        <w:t>基金的过往业绩并不代表其未来表现。投资有风险，投资者在作出投资决策前应仔细阅读本基金的招募说明书。</w:t>
      </w:r>
    </w:p>
    <w:p w:rsidR="00384A2D" w:rsidRDefault="00B32EA8">
      <w:pPr>
        <w:spacing w:before="29" w:line="288" w:lineRule="auto"/>
        <w:ind w:firstLineChars="200" w:firstLine="480"/>
        <w:rPr>
          <w:color w:val="000000"/>
          <w:sz w:val="24"/>
          <w:szCs w:val="24"/>
        </w:rPr>
      </w:pPr>
      <w:r>
        <w:rPr>
          <w:color w:val="000000"/>
          <w:sz w:val="24"/>
          <w:szCs w:val="24"/>
        </w:rPr>
        <w:t>本报告中财务资料未经审计。</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本报告期自</w:t>
      </w:r>
      <w:r w:rsidRPr="00414345">
        <w:rPr>
          <w:color w:val="000000"/>
          <w:sz w:val="24"/>
          <w:szCs w:val="24"/>
        </w:rPr>
        <w:t>2015</w:t>
      </w:r>
      <w:r w:rsidRPr="00414345">
        <w:rPr>
          <w:color w:val="000000"/>
          <w:sz w:val="24"/>
          <w:szCs w:val="24"/>
        </w:rPr>
        <w:t>年</w:t>
      </w:r>
      <w:r w:rsidRPr="00414345">
        <w:rPr>
          <w:color w:val="000000"/>
          <w:sz w:val="24"/>
          <w:szCs w:val="24"/>
        </w:rPr>
        <w:t>7</w:t>
      </w:r>
      <w:r w:rsidRPr="00414345">
        <w:rPr>
          <w:color w:val="000000"/>
          <w:sz w:val="24"/>
          <w:szCs w:val="24"/>
        </w:rPr>
        <w:t>月</w:t>
      </w:r>
      <w:r w:rsidRPr="00414345">
        <w:rPr>
          <w:color w:val="000000"/>
          <w:sz w:val="24"/>
          <w:szCs w:val="24"/>
        </w:rPr>
        <w:t>1</w:t>
      </w:r>
      <w:r w:rsidRPr="00414345">
        <w:rPr>
          <w:color w:val="000000"/>
          <w:sz w:val="24"/>
          <w:szCs w:val="24"/>
        </w:rPr>
        <w:t>日起至</w:t>
      </w:r>
      <w:r w:rsidRPr="00414345">
        <w:rPr>
          <w:color w:val="000000"/>
          <w:sz w:val="24"/>
          <w:szCs w:val="24"/>
        </w:rPr>
        <w:t>9</w:t>
      </w:r>
      <w:r w:rsidRPr="00414345">
        <w:rPr>
          <w:color w:val="000000"/>
          <w:sz w:val="24"/>
          <w:szCs w:val="24"/>
        </w:rPr>
        <w:t>月</w:t>
      </w:r>
      <w:r w:rsidRPr="00414345">
        <w:rPr>
          <w:color w:val="000000"/>
          <w:sz w:val="24"/>
          <w:szCs w:val="24"/>
        </w:rPr>
        <w:t>30</w:t>
      </w:r>
      <w:r w:rsidRPr="00414345">
        <w:rPr>
          <w:color w:val="000000"/>
          <w:sz w:val="24"/>
          <w:szCs w:val="24"/>
        </w:rPr>
        <w:t>日止。</w:t>
      </w:r>
    </w:p>
    <w:p w:rsidR="00627E2D" w:rsidRPr="00414345" w:rsidRDefault="00627E2D" w:rsidP="00C15CAC">
      <w:pPr>
        <w:spacing w:before="29" w:line="288" w:lineRule="auto"/>
        <w:ind w:firstLineChars="200" w:firstLine="480"/>
        <w:rPr>
          <w:color w:val="000000"/>
          <w:sz w:val="24"/>
          <w:szCs w:val="24"/>
        </w:rPr>
      </w:pPr>
    </w:p>
    <w:p w:rsidR="004061AC" w:rsidRPr="00414345" w:rsidRDefault="004061AC" w:rsidP="00F323FF">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§2  </w:t>
      </w:r>
      <w:r w:rsidRPr="00414345">
        <w:rPr>
          <w:color w:val="000000"/>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2922"/>
        <w:gridCol w:w="2923"/>
      </w:tblGrid>
      <w:tr w:rsidR="004061AC" w:rsidRPr="00414345" w:rsidTr="006E6726">
        <w:trPr>
          <w:jc w:val="center"/>
        </w:trPr>
        <w:tc>
          <w:tcPr>
            <w:tcW w:w="3023" w:type="dxa"/>
            <w:vAlign w:val="center"/>
          </w:tcPr>
          <w:p w:rsidR="004061AC" w:rsidRPr="00414345" w:rsidRDefault="004061AC" w:rsidP="00C15CAC">
            <w:pPr>
              <w:adjustRightInd w:val="0"/>
              <w:spacing w:before="29" w:line="288" w:lineRule="auto"/>
              <w:ind w:left="17"/>
              <w:jc w:val="left"/>
              <w:rPr>
                <w:kern w:val="0"/>
                <w:sz w:val="24"/>
                <w:szCs w:val="24"/>
              </w:rPr>
            </w:pPr>
            <w:r w:rsidRPr="00414345">
              <w:rPr>
                <w:kern w:val="0"/>
                <w:sz w:val="24"/>
                <w:szCs w:val="24"/>
              </w:rPr>
              <w:t>基金简称</w:t>
            </w:r>
          </w:p>
        </w:tc>
        <w:tc>
          <w:tcPr>
            <w:tcW w:w="5845" w:type="dxa"/>
            <w:gridSpan w:val="2"/>
            <w:vAlign w:val="center"/>
          </w:tcPr>
          <w:p w:rsidR="004061AC" w:rsidRPr="00414345" w:rsidRDefault="004061AC" w:rsidP="00C15CAC">
            <w:pPr>
              <w:adjustRightInd w:val="0"/>
              <w:spacing w:before="29" w:line="288" w:lineRule="auto"/>
              <w:ind w:left="17"/>
              <w:jc w:val="left"/>
              <w:rPr>
                <w:color w:val="000000"/>
                <w:kern w:val="0"/>
                <w:sz w:val="24"/>
                <w:szCs w:val="24"/>
              </w:rPr>
            </w:pPr>
            <w:r w:rsidRPr="00414345">
              <w:rPr>
                <w:color w:val="000000"/>
                <w:kern w:val="0"/>
                <w:sz w:val="24"/>
                <w:szCs w:val="24"/>
              </w:rPr>
              <w:t>交银阿尔法核心混合</w:t>
            </w:r>
          </w:p>
        </w:tc>
      </w:tr>
      <w:tr w:rsidR="00D94B8D"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kern w:val="0"/>
                <w:sz w:val="24"/>
                <w:szCs w:val="24"/>
              </w:rPr>
            </w:pPr>
            <w:r w:rsidRPr="00414345">
              <w:rPr>
                <w:kern w:val="0"/>
                <w:sz w:val="24"/>
                <w:szCs w:val="24"/>
              </w:rPr>
              <w:t>基金主代码</w:t>
            </w:r>
          </w:p>
        </w:tc>
        <w:tc>
          <w:tcPr>
            <w:tcW w:w="5845" w:type="dxa"/>
            <w:gridSpan w:val="2"/>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color w:val="000000"/>
                <w:kern w:val="0"/>
                <w:sz w:val="24"/>
                <w:szCs w:val="24"/>
              </w:rPr>
            </w:pPr>
            <w:r w:rsidRPr="00414345">
              <w:rPr>
                <w:color w:val="000000"/>
                <w:kern w:val="0"/>
                <w:sz w:val="24"/>
                <w:szCs w:val="24"/>
              </w:rPr>
              <w:t>519712</w:t>
            </w:r>
          </w:p>
        </w:tc>
      </w:tr>
      <w:tr w:rsidR="001B2F35"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1B2F35" w:rsidRPr="00414345" w:rsidRDefault="001B2F35" w:rsidP="00C15CAC">
            <w:pPr>
              <w:adjustRightInd w:val="0"/>
              <w:spacing w:before="29" w:line="288" w:lineRule="auto"/>
              <w:ind w:left="17"/>
              <w:jc w:val="left"/>
              <w:rPr>
                <w:kern w:val="0"/>
                <w:sz w:val="24"/>
                <w:szCs w:val="24"/>
              </w:rPr>
            </w:pPr>
            <w:r w:rsidRPr="00414345">
              <w:rPr>
                <w:kern w:val="0"/>
                <w:sz w:val="24"/>
                <w:szCs w:val="24"/>
              </w:rPr>
              <w:t>交易代码</w:t>
            </w:r>
          </w:p>
        </w:tc>
        <w:tc>
          <w:tcPr>
            <w:tcW w:w="2922" w:type="dxa"/>
            <w:tcBorders>
              <w:top w:val="single" w:sz="4" w:space="0" w:color="auto"/>
              <w:left w:val="single" w:sz="4" w:space="0" w:color="auto"/>
              <w:bottom w:val="single" w:sz="4" w:space="0" w:color="auto"/>
              <w:right w:val="single" w:sz="4" w:space="0" w:color="auto"/>
            </w:tcBorders>
            <w:vAlign w:val="center"/>
            <w:hideMark/>
          </w:tcPr>
          <w:p w:rsidR="001B2F35" w:rsidRPr="00414345" w:rsidRDefault="001B2F35" w:rsidP="00C15CAC">
            <w:pPr>
              <w:adjustRightInd w:val="0"/>
              <w:spacing w:before="29" w:line="288" w:lineRule="auto"/>
              <w:ind w:left="17"/>
              <w:jc w:val="left"/>
              <w:rPr>
                <w:color w:val="000000"/>
                <w:kern w:val="0"/>
                <w:sz w:val="24"/>
                <w:szCs w:val="24"/>
              </w:rPr>
            </w:pPr>
            <w:r w:rsidRPr="00414345">
              <w:rPr>
                <w:color w:val="000000"/>
                <w:kern w:val="0"/>
                <w:sz w:val="24"/>
                <w:szCs w:val="24"/>
              </w:rPr>
              <w:t>519712</w:t>
            </w:r>
            <w:r w:rsidR="004216D2" w:rsidRPr="00414345">
              <w:rPr>
                <w:color w:val="000000"/>
                <w:kern w:val="0"/>
                <w:sz w:val="24"/>
              </w:rPr>
              <w:t>(</w:t>
            </w:r>
            <w:r w:rsidR="004216D2" w:rsidRPr="00414345">
              <w:rPr>
                <w:color w:val="000000"/>
                <w:kern w:val="0"/>
                <w:sz w:val="24"/>
              </w:rPr>
              <w:t>前端</w:t>
            </w:r>
            <w:r w:rsidR="004216D2" w:rsidRPr="00414345">
              <w:rPr>
                <w:color w:val="000000"/>
                <w:kern w:val="0"/>
                <w:sz w:val="24"/>
              </w:rPr>
              <w:t>)</w:t>
            </w:r>
          </w:p>
        </w:tc>
        <w:tc>
          <w:tcPr>
            <w:tcW w:w="2923" w:type="dxa"/>
            <w:tcBorders>
              <w:top w:val="single" w:sz="4" w:space="0" w:color="auto"/>
              <w:left w:val="single" w:sz="4" w:space="0" w:color="auto"/>
              <w:bottom w:val="single" w:sz="4" w:space="0" w:color="auto"/>
              <w:right w:val="single" w:sz="4" w:space="0" w:color="auto"/>
            </w:tcBorders>
            <w:vAlign w:val="center"/>
            <w:hideMark/>
          </w:tcPr>
          <w:p w:rsidR="001B2F35" w:rsidRPr="00414345" w:rsidRDefault="001B2F35" w:rsidP="00C15CAC">
            <w:pPr>
              <w:adjustRightInd w:val="0"/>
              <w:spacing w:before="29" w:line="288" w:lineRule="auto"/>
              <w:ind w:left="17"/>
              <w:jc w:val="left"/>
              <w:rPr>
                <w:color w:val="000000"/>
                <w:kern w:val="0"/>
                <w:sz w:val="24"/>
                <w:szCs w:val="24"/>
              </w:rPr>
            </w:pPr>
            <w:r w:rsidRPr="00414345">
              <w:rPr>
                <w:color w:val="000000"/>
                <w:kern w:val="0"/>
                <w:sz w:val="24"/>
                <w:szCs w:val="24"/>
              </w:rPr>
              <w:t>519713</w:t>
            </w:r>
            <w:r w:rsidR="00604E50" w:rsidRPr="00414345">
              <w:rPr>
                <w:color w:val="000000"/>
                <w:kern w:val="0"/>
                <w:sz w:val="24"/>
              </w:rPr>
              <w:t>(</w:t>
            </w:r>
            <w:r w:rsidR="00604E50" w:rsidRPr="00414345">
              <w:rPr>
                <w:color w:val="000000"/>
                <w:kern w:val="0"/>
                <w:sz w:val="24"/>
              </w:rPr>
              <w:t>后端</w:t>
            </w:r>
            <w:r w:rsidR="00604E50" w:rsidRPr="00414345">
              <w:rPr>
                <w:color w:val="000000"/>
                <w:kern w:val="0"/>
                <w:sz w:val="24"/>
              </w:rPr>
              <w:t>)</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基金运作方式</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契约型开放式</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基金合同生效日</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2012</w:t>
            </w:r>
            <w:r w:rsidRPr="00414345">
              <w:rPr>
                <w:color w:val="000000"/>
                <w:kern w:val="0"/>
                <w:sz w:val="24"/>
                <w:szCs w:val="24"/>
              </w:rPr>
              <w:t>年</w:t>
            </w:r>
            <w:r w:rsidRPr="00414345">
              <w:rPr>
                <w:color w:val="000000"/>
                <w:kern w:val="0"/>
                <w:sz w:val="24"/>
                <w:szCs w:val="24"/>
              </w:rPr>
              <w:t>8</w:t>
            </w:r>
            <w:r w:rsidRPr="00414345">
              <w:rPr>
                <w:color w:val="000000"/>
                <w:kern w:val="0"/>
                <w:sz w:val="24"/>
                <w:szCs w:val="24"/>
              </w:rPr>
              <w:t>月</w:t>
            </w:r>
            <w:r w:rsidRPr="00414345">
              <w:rPr>
                <w:color w:val="000000"/>
                <w:kern w:val="0"/>
                <w:sz w:val="24"/>
                <w:szCs w:val="24"/>
              </w:rPr>
              <w:t>3</w:t>
            </w:r>
            <w:r w:rsidRPr="00414345">
              <w:rPr>
                <w:color w:val="000000"/>
                <w:kern w:val="0"/>
                <w:sz w:val="24"/>
                <w:szCs w:val="24"/>
              </w:rPr>
              <w:t>日</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报告期末基金份额总额</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56,741,871.05</w:t>
            </w:r>
            <w:r w:rsidRPr="00414345">
              <w:rPr>
                <w:color w:val="000000"/>
                <w:kern w:val="0"/>
                <w:sz w:val="24"/>
                <w:szCs w:val="24"/>
              </w:rPr>
              <w:t>份</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投资目标</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本基金通过积极发挥团队选股优势，结合基本面多因子指标等组合管理手段选择具有显著阿尔法特征的个股，在控制风险并保持基金资产良好的流动性的前提下，追求长期持续稳定高于业绩比较基准的投资回报。</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投资策略</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本基金充分发挥基金管理人的专业研究能力，以数量化工具辅助自上而下的资产配置，积极发挥研究团队的选股优势，结合基本面多因子指标自下而上精选个股，以谋求风险调整后的良好收益。</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业绩比较基准</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75%×</w:t>
            </w:r>
            <w:r w:rsidRPr="00414345">
              <w:rPr>
                <w:color w:val="000000"/>
                <w:kern w:val="0"/>
                <w:sz w:val="24"/>
                <w:szCs w:val="24"/>
              </w:rPr>
              <w:t>沪深</w:t>
            </w:r>
            <w:r w:rsidRPr="00414345">
              <w:rPr>
                <w:color w:val="000000"/>
                <w:kern w:val="0"/>
                <w:sz w:val="24"/>
                <w:szCs w:val="24"/>
              </w:rPr>
              <w:t>300</w:t>
            </w:r>
            <w:r w:rsidRPr="00414345">
              <w:rPr>
                <w:color w:val="000000"/>
                <w:kern w:val="0"/>
                <w:sz w:val="24"/>
                <w:szCs w:val="24"/>
              </w:rPr>
              <w:t>指数收益率</w:t>
            </w:r>
            <w:r w:rsidRPr="00414345">
              <w:rPr>
                <w:color w:val="000000"/>
                <w:kern w:val="0"/>
                <w:sz w:val="24"/>
                <w:szCs w:val="24"/>
              </w:rPr>
              <w:t>+</w:t>
            </w:r>
            <w:r w:rsidR="00462EA5" w:rsidRPr="00462EA5">
              <w:rPr>
                <w:color w:val="000000"/>
                <w:kern w:val="0"/>
                <w:sz w:val="24"/>
                <w:szCs w:val="24"/>
              </w:rPr>
              <w:t>25%×</w:t>
            </w:r>
            <w:r w:rsidRPr="00414345">
              <w:rPr>
                <w:color w:val="000000"/>
                <w:kern w:val="0"/>
                <w:sz w:val="24"/>
                <w:szCs w:val="24"/>
              </w:rPr>
              <w:t>中信标普全债指数收益率</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风险收益特征</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本基金是一只混合型基金，其风险和预期收益高于债券型基金和货币市场基金，低于股票型基金。属于承</w:t>
            </w:r>
            <w:r w:rsidRPr="00414345">
              <w:rPr>
                <w:color w:val="000000"/>
                <w:kern w:val="0"/>
                <w:sz w:val="24"/>
                <w:szCs w:val="24"/>
              </w:rPr>
              <w:lastRenderedPageBreak/>
              <w:t>担较高风险、预期收益较高的证券投资基金品种。</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lastRenderedPageBreak/>
              <w:t>基金管理人</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交银施罗德基金管理有限公司</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基金托管人</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中国建设银行股份有限公司</w:t>
            </w:r>
          </w:p>
        </w:tc>
      </w:tr>
    </w:tbl>
    <w:p w:rsidR="005910BF" w:rsidRPr="00414345" w:rsidRDefault="005910BF" w:rsidP="00C15CAC">
      <w:pPr>
        <w:autoSpaceDE w:val="0"/>
        <w:autoSpaceDN w:val="0"/>
        <w:adjustRightInd w:val="0"/>
        <w:spacing w:before="29" w:line="288" w:lineRule="auto"/>
        <w:jc w:val="left"/>
        <w:rPr>
          <w:color w:val="000000"/>
          <w:kern w:val="0"/>
          <w:sz w:val="24"/>
          <w:szCs w:val="24"/>
        </w:rPr>
      </w:pPr>
    </w:p>
    <w:p w:rsidR="004061AC" w:rsidRPr="00414345" w:rsidRDefault="004061AC" w:rsidP="00F323FF">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§3  </w:t>
      </w:r>
      <w:r w:rsidRPr="00414345">
        <w:rPr>
          <w:color w:val="000000"/>
          <w:kern w:val="0"/>
          <w:sz w:val="24"/>
          <w:szCs w:val="24"/>
        </w:rPr>
        <w:t>主要财务指标和基金净值表现</w:t>
      </w: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3.1 </w:t>
      </w:r>
      <w:r w:rsidRPr="00414345">
        <w:rPr>
          <w:b/>
          <w:bCs/>
          <w:color w:val="000000"/>
          <w:kern w:val="0"/>
          <w:sz w:val="24"/>
          <w:szCs w:val="24"/>
        </w:rPr>
        <w:t>主要财务指标</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7"/>
        <w:gridCol w:w="5261"/>
      </w:tblGrid>
      <w:tr w:rsidR="00F74264" w:rsidRPr="00414345" w:rsidTr="00F74264">
        <w:trPr>
          <w:jc w:val="center"/>
        </w:trPr>
        <w:tc>
          <w:tcPr>
            <w:tcW w:w="3402" w:type="dxa"/>
            <w:vAlign w:val="center"/>
          </w:tcPr>
          <w:p w:rsidR="00C21520" w:rsidRPr="00414345" w:rsidRDefault="00C21520" w:rsidP="00C15CAC">
            <w:pPr>
              <w:adjustRightInd w:val="0"/>
              <w:spacing w:before="29" w:line="288" w:lineRule="auto"/>
              <w:ind w:left="17"/>
              <w:jc w:val="center"/>
              <w:rPr>
                <w:kern w:val="0"/>
                <w:sz w:val="24"/>
                <w:szCs w:val="24"/>
              </w:rPr>
            </w:pPr>
            <w:r w:rsidRPr="00414345">
              <w:rPr>
                <w:kern w:val="0"/>
                <w:sz w:val="24"/>
                <w:szCs w:val="24"/>
              </w:rPr>
              <w:t>主要财务指标</w:t>
            </w:r>
          </w:p>
        </w:tc>
        <w:tc>
          <w:tcPr>
            <w:tcW w:w="4962" w:type="dxa"/>
            <w:vAlign w:val="center"/>
          </w:tcPr>
          <w:p w:rsidR="009C60F7"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报告期</w:t>
            </w:r>
          </w:p>
          <w:p w:rsidR="00C21520"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(2015</w:t>
            </w:r>
            <w:r w:rsidRPr="00414345">
              <w:rPr>
                <w:color w:val="000000"/>
                <w:sz w:val="24"/>
                <w:szCs w:val="24"/>
              </w:rPr>
              <w:t>年</w:t>
            </w:r>
            <w:r w:rsidRPr="00414345">
              <w:rPr>
                <w:color w:val="000000"/>
                <w:sz w:val="24"/>
                <w:szCs w:val="24"/>
              </w:rPr>
              <w:t>7</w:t>
            </w:r>
            <w:r w:rsidRPr="00414345">
              <w:rPr>
                <w:color w:val="000000"/>
                <w:sz w:val="24"/>
                <w:szCs w:val="24"/>
              </w:rPr>
              <w:t>月</w:t>
            </w:r>
            <w:r w:rsidRPr="00414345">
              <w:rPr>
                <w:color w:val="000000"/>
                <w:sz w:val="24"/>
                <w:szCs w:val="24"/>
              </w:rPr>
              <w:t>1</w:t>
            </w:r>
            <w:r w:rsidRPr="00414345">
              <w:rPr>
                <w:color w:val="000000"/>
                <w:sz w:val="24"/>
                <w:szCs w:val="24"/>
              </w:rPr>
              <w:t>日</w:t>
            </w:r>
            <w:r w:rsidRPr="00414345">
              <w:rPr>
                <w:color w:val="000000"/>
                <w:sz w:val="24"/>
                <w:szCs w:val="24"/>
              </w:rPr>
              <w:t>-2015</w:t>
            </w:r>
            <w:r w:rsidRPr="00414345">
              <w:rPr>
                <w:color w:val="000000"/>
                <w:sz w:val="24"/>
                <w:szCs w:val="24"/>
              </w:rPr>
              <w:t>年</w:t>
            </w:r>
            <w:r w:rsidRPr="00414345">
              <w:rPr>
                <w:color w:val="000000"/>
                <w:sz w:val="24"/>
                <w:szCs w:val="24"/>
              </w:rPr>
              <w:t>9</w:t>
            </w:r>
            <w:r w:rsidRPr="00414345">
              <w:rPr>
                <w:color w:val="000000"/>
                <w:sz w:val="24"/>
                <w:szCs w:val="24"/>
              </w:rPr>
              <w:t>月</w:t>
            </w:r>
            <w:r w:rsidRPr="00414345">
              <w:rPr>
                <w:color w:val="000000"/>
                <w:sz w:val="24"/>
                <w:szCs w:val="24"/>
              </w:rPr>
              <w:t>30</w:t>
            </w:r>
            <w:r w:rsidRPr="00414345">
              <w:rPr>
                <w:color w:val="000000"/>
                <w:sz w:val="24"/>
                <w:szCs w:val="24"/>
              </w:rPr>
              <w:t>日</w:t>
            </w:r>
            <w:r w:rsidRPr="00414345">
              <w:rPr>
                <w:color w:val="000000"/>
                <w:sz w:val="24"/>
                <w:szCs w:val="24"/>
              </w:rPr>
              <w:t>)</w:t>
            </w:r>
          </w:p>
        </w:tc>
      </w:tr>
      <w:tr w:rsidR="00F74264" w:rsidRPr="00414345" w:rsidTr="00F74264">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1.</w:t>
            </w:r>
            <w:r w:rsidRPr="00414345">
              <w:rPr>
                <w:kern w:val="0"/>
                <w:sz w:val="24"/>
                <w:szCs w:val="24"/>
              </w:rPr>
              <w:t>本期已实现收益</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-5,161,496.88</w:t>
            </w:r>
          </w:p>
        </w:tc>
      </w:tr>
      <w:tr w:rsidR="00F74264" w:rsidRPr="00414345" w:rsidTr="00F74264">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2.</w:t>
            </w:r>
            <w:r w:rsidRPr="00414345">
              <w:rPr>
                <w:kern w:val="0"/>
                <w:sz w:val="24"/>
                <w:szCs w:val="24"/>
              </w:rPr>
              <w:t>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-56,478,400.17</w:t>
            </w:r>
          </w:p>
        </w:tc>
      </w:tr>
      <w:tr w:rsidR="00F74264" w:rsidRPr="00414345" w:rsidTr="00F74264">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3.</w:t>
            </w:r>
            <w:r w:rsidRPr="00414345">
              <w:rPr>
                <w:kern w:val="0"/>
                <w:sz w:val="24"/>
                <w:szCs w:val="24"/>
              </w:rPr>
              <w:t>加权平均基金份额本期利润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-0.8645</w:t>
            </w:r>
          </w:p>
        </w:tc>
      </w:tr>
      <w:tr w:rsidR="00F74264" w:rsidRPr="00414345" w:rsidTr="00F74264">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4.</w:t>
            </w:r>
            <w:r w:rsidRPr="00414345">
              <w:rPr>
                <w:kern w:val="0"/>
                <w:sz w:val="24"/>
                <w:szCs w:val="24"/>
              </w:rPr>
              <w:t>期末基金资产净值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91,259,280.75</w:t>
            </w:r>
          </w:p>
        </w:tc>
      </w:tr>
      <w:tr w:rsidR="00F74264" w:rsidRPr="00414345" w:rsidTr="00F74264">
        <w:trPr>
          <w:trHeight w:val="158"/>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5.</w:t>
            </w:r>
            <w:r w:rsidRPr="00414345">
              <w:rPr>
                <w:kern w:val="0"/>
                <w:sz w:val="24"/>
                <w:szCs w:val="24"/>
              </w:rPr>
              <w:t>期末基金份额净值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1.608</w:t>
            </w:r>
          </w:p>
        </w:tc>
      </w:tr>
    </w:tbl>
    <w:p w:rsidR="00384A2D" w:rsidRDefault="00B32EA8">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、上述基金业绩指标不包括持有人认购或交易基金的各项费用，计入费用后的实际收益水平要低于所列数字；</w:t>
      </w:r>
    </w:p>
    <w:p w:rsidR="004061AC" w:rsidRPr="00414345" w:rsidRDefault="004061AC" w:rsidP="00F74264">
      <w:pPr>
        <w:autoSpaceDE w:val="0"/>
        <w:autoSpaceDN w:val="0"/>
        <w:adjustRightInd w:val="0"/>
        <w:spacing w:before="29" w:line="288" w:lineRule="auto"/>
        <w:ind w:firstLineChars="200" w:firstLine="480"/>
        <w:jc w:val="left"/>
        <w:rPr>
          <w:color w:val="000000"/>
          <w:sz w:val="24"/>
          <w:szCs w:val="24"/>
        </w:rPr>
      </w:pPr>
      <w:r w:rsidRPr="00414345">
        <w:rPr>
          <w:color w:val="000000"/>
          <w:sz w:val="24"/>
          <w:szCs w:val="24"/>
        </w:rPr>
        <w:t>2</w:t>
      </w:r>
      <w:r w:rsidRPr="00414345">
        <w:rPr>
          <w:color w:val="000000"/>
          <w:sz w:val="24"/>
          <w:szCs w:val="24"/>
        </w:rPr>
        <w:t>、本期已实现收益指基金本期利息收入、投资收益、其他收入（不含公允价值变动收益）扣除相关费用后的余额，本期利润为本期已实现收益加上本期公允价值变动收益。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 </w:t>
      </w:r>
      <w:r w:rsidRPr="00414345">
        <w:rPr>
          <w:b/>
          <w:bCs/>
          <w:color w:val="000000"/>
          <w:kern w:val="0"/>
          <w:sz w:val="24"/>
          <w:szCs w:val="24"/>
        </w:rPr>
        <w:t>基金净值表现</w:t>
      </w:r>
    </w:p>
    <w:p w:rsidR="00CF6572"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3.2.1 </w:t>
      </w:r>
      <w:r w:rsidRPr="00414345">
        <w:rPr>
          <w:b/>
          <w:bCs/>
          <w:color w:val="000000"/>
          <w:kern w:val="0"/>
          <w:sz w:val="24"/>
          <w:szCs w:val="24"/>
        </w:rPr>
        <w:t>本报告期基金份额净值增长率及其与同期业绩比较基准收益率的比较</w:t>
      </w:r>
    </w:p>
    <w:tbl>
      <w:tblPr>
        <w:tblStyle w:val="af7"/>
        <w:tblW w:w="8868" w:type="dxa"/>
        <w:jc w:val="center"/>
        <w:tblLayout w:type="fixed"/>
        <w:tblCellMar>
          <w:top w:w="57" w:type="dxa"/>
          <w:bottom w:w="57" w:type="dxa"/>
        </w:tblCellMar>
        <w:tblLook w:val="04A0" w:firstRow="1" w:lastRow="0" w:firstColumn="1" w:lastColumn="0" w:noHBand="0" w:noVBand="1"/>
      </w:tblPr>
      <w:tblGrid>
        <w:gridCol w:w="1701"/>
        <w:gridCol w:w="1045"/>
        <w:gridCol w:w="1344"/>
        <w:gridCol w:w="1194"/>
        <w:gridCol w:w="1492"/>
        <w:gridCol w:w="1194"/>
        <w:gridCol w:w="898"/>
      </w:tblGrid>
      <w:tr w:rsidR="00EF6FA5" w:rsidRPr="00414345" w:rsidTr="00A324F4">
        <w:trPr>
          <w:jc w:val="center"/>
        </w:trPr>
        <w:tc>
          <w:tcPr>
            <w:tcW w:w="161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阶段</w:t>
            </w:r>
          </w:p>
        </w:tc>
        <w:tc>
          <w:tcPr>
            <w:tcW w:w="992"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w:t>
            </w:r>
            <w:r w:rsidRPr="00414345">
              <w:rPr>
                <w:rFonts w:hAnsi="宋体"/>
                <w:color w:val="000000"/>
                <w:sz w:val="24"/>
                <w:szCs w:val="24"/>
              </w:rPr>
              <w:t>①</w:t>
            </w:r>
          </w:p>
        </w:tc>
        <w:tc>
          <w:tcPr>
            <w:tcW w:w="1276"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净值增长率标准差</w:t>
            </w:r>
            <w:r w:rsidRPr="00414345">
              <w:rPr>
                <w:rFonts w:hAnsi="宋体"/>
                <w:color w:val="000000"/>
                <w:sz w:val="24"/>
                <w:szCs w:val="24"/>
              </w:rPr>
              <w:t>②</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w:t>
            </w:r>
            <w:r w:rsidRPr="00414345">
              <w:rPr>
                <w:rFonts w:hAnsi="宋体"/>
                <w:color w:val="000000"/>
                <w:sz w:val="24"/>
                <w:szCs w:val="24"/>
              </w:rPr>
              <w:t>③</w:t>
            </w:r>
          </w:p>
        </w:tc>
        <w:tc>
          <w:tcPr>
            <w:tcW w:w="1417"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业绩比较基准收益率标准差</w:t>
            </w:r>
            <w:r w:rsidRPr="00414345">
              <w:rPr>
                <w:rFonts w:hAnsi="宋体"/>
                <w:color w:val="000000"/>
                <w:sz w:val="24"/>
                <w:szCs w:val="24"/>
              </w:rPr>
              <w:t>④</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①</w:t>
            </w:r>
            <w:r w:rsidRPr="00414345">
              <w:rPr>
                <w:color w:val="000000"/>
                <w:sz w:val="24"/>
                <w:szCs w:val="24"/>
              </w:rPr>
              <w:t>-</w:t>
            </w:r>
            <w:r w:rsidRPr="00414345">
              <w:rPr>
                <w:rFonts w:hAnsi="宋体"/>
                <w:color w:val="000000"/>
                <w:sz w:val="24"/>
                <w:szCs w:val="24"/>
              </w:rPr>
              <w:t>③</w:t>
            </w:r>
          </w:p>
        </w:tc>
        <w:tc>
          <w:tcPr>
            <w:tcW w:w="853"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②</w:t>
            </w:r>
            <w:r w:rsidRPr="00414345">
              <w:rPr>
                <w:color w:val="000000"/>
                <w:sz w:val="24"/>
                <w:szCs w:val="24"/>
              </w:rPr>
              <w:t>-</w:t>
            </w:r>
            <w:r w:rsidRPr="00414345">
              <w:rPr>
                <w:rFonts w:hAnsi="宋体"/>
                <w:color w:val="000000"/>
                <w:sz w:val="24"/>
                <w:szCs w:val="24"/>
              </w:rPr>
              <w:t>④</w:t>
            </w:r>
          </w:p>
        </w:tc>
      </w:tr>
      <w:tr w:rsidR="00384A2D">
        <w:trPr>
          <w:jc w:val="center"/>
        </w:trPr>
        <w:tc>
          <w:tcPr>
            <w:tcW w:w="1701" w:type="dxa"/>
            <w:vAlign w:val="center"/>
          </w:tcPr>
          <w:p w:rsidR="00384A2D" w:rsidRDefault="00B32EA8">
            <w:pPr>
              <w:jc w:val="left"/>
            </w:pPr>
            <w:r>
              <w:rPr>
                <w:color w:val="000000"/>
                <w:sz w:val="24"/>
                <w:szCs w:val="24"/>
              </w:rPr>
              <w:t>过去三个月</w:t>
            </w:r>
          </w:p>
        </w:tc>
        <w:tc>
          <w:tcPr>
            <w:tcW w:w="1045" w:type="dxa"/>
            <w:vAlign w:val="center"/>
          </w:tcPr>
          <w:p w:rsidR="00384A2D" w:rsidRDefault="00B32EA8">
            <w:pPr>
              <w:jc w:val="center"/>
            </w:pPr>
            <w:r>
              <w:rPr>
                <w:color w:val="000000"/>
                <w:sz w:val="24"/>
                <w:szCs w:val="24"/>
              </w:rPr>
              <w:t>-31.37%</w:t>
            </w:r>
          </w:p>
        </w:tc>
        <w:tc>
          <w:tcPr>
            <w:tcW w:w="1344" w:type="dxa"/>
            <w:vAlign w:val="center"/>
          </w:tcPr>
          <w:p w:rsidR="00384A2D" w:rsidRDefault="00B32EA8">
            <w:pPr>
              <w:jc w:val="center"/>
            </w:pPr>
            <w:r>
              <w:rPr>
                <w:color w:val="000000"/>
                <w:sz w:val="24"/>
                <w:szCs w:val="24"/>
              </w:rPr>
              <w:t>3.69%</w:t>
            </w:r>
          </w:p>
        </w:tc>
        <w:tc>
          <w:tcPr>
            <w:tcW w:w="1194" w:type="dxa"/>
            <w:vAlign w:val="center"/>
          </w:tcPr>
          <w:p w:rsidR="00384A2D" w:rsidRDefault="00B32EA8">
            <w:pPr>
              <w:jc w:val="center"/>
            </w:pPr>
            <w:r>
              <w:rPr>
                <w:color w:val="000000"/>
                <w:sz w:val="24"/>
                <w:szCs w:val="24"/>
              </w:rPr>
              <w:t>-21.26%</w:t>
            </w:r>
          </w:p>
        </w:tc>
        <w:tc>
          <w:tcPr>
            <w:tcW w:w="1492" w:type="dxa"/>
            <w:vAlign w:val="center"/>
          </w:tcPr>
          <w:p w:rsidR="00384A2D" w:rsidRDefault="00B32EA8">
            <w:pPr>
              <w:jc w:val="center"/>
            </w:pPr>
            <w:r>
              <w:rPr>
                <w:color w:val="000000"/>
                <w:sz w:val="24"/>
                <w:szCs w:val="24"/>
              </w:rPr>
              <w:t>2.51%</w:t>
            </w:r>
          </w:p>
        </w:tc>
        <w:tc>
          <w:tcPr>
            <w:tcW w:w="1194" w:type="dxa"/>
            <w:vAlign w:val="center"/>
          </w:tcPr>
          <w:p w:rsidR="00384A2D" w:rsidRDefault="00B32EA8">
            <w:pPr>
              <w:jc w:val="center"/>
            </w:pPr>
            <w:r>
              <w:rPr>
                <w:color w:val="000000"/>
                <w:sz w:val="24"/>
                <w:szCs w:val="24"/>
              </w:rPr>
              <w:t>-10.11%</w:t>
            </w:r>
          </w:p>
        </w:tc>
        <w:tc>
          <w:tcPr>
            <w:tcW w:w="898" w:type="dxa"/>
            <w:vAlign w:val="center"/>
          </w:tcPr>
          <w:p w:rsidR="00384A2D" w:rsidRDefault="00B32EA8">
            <w:pPr>
              <w:jc w:val="center"/>
            </w:pPr>
            <w:r>
              <w:rPr>
                <w:color w:val="000000"/>
                <w:sz w:val="24"/>
                <w:szCs w:val="24"/>
              </w:rPr>
              <w:t>1.18%</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3.2.2</w:t>
      </w:r>
      <w:r w:rsidR="000B1EB7">
        <w:rPr>
          <w:rFonts w:hint="eastAsia"/>
          <w:b/>
          <w:bCs/>
          <w:color w:val="000000"/>
          <w:kern w:val="0"/>
          <w:sz w:val="24"/>
          <w:szCs w:val="24"/>
        </w:rPr>
        <w:t xml:space="preserve"> </w:t>
      </w:r>
      <w:r w:rsidR="00F81917">
        <w:rPr>
          <w:rFonts w:hint="eastAsia"/>
          <w:b/>
          <w:bCs/>
          <w:color w:val="000000"/>
          <w:kern w:val="0"/>
          <w:sz w:val="24"/>
          <w:szCs w:val="24"/>
        </w:rPr>
        <w:t xml:space="preserve"> </w:t>
      </w:r>
      <w:r w:rsidR="000824E7" w:rsidRPr="00F81917">
        <w:rPr>
          <w:rFonts w:hint="eastAsia"/>
          <w:b/>
          <w:bCs/>
          <w:color w:val="000000"/>
          <w:kern w:val="0"/>
          <w:sz w:val="24"/>
          <w:szCs w:val="24"/>
        </w:rPr>
        <w:t>自基金合同生效以来</w:t>
      </w:r>
      <w:r w:rsidR="00C6002A" w:rsidRPr="00F81917">
        <w:rPr>
          <w:b/>
          <w:bCs/>
          <w:color w:val="000000"/>
          <w:kern w:val="0"/>
          <w:sz w:val="24"/>
          <w:szCs w:val="24"/>
        </w:rPr>
        <w:t>基</w:t>
      </w:r>
      <w:r w:rsidR="00C6002A" w:rsidRPr="00414345">
        <w:rPr>
          <w:b/>
          <w:bCs/>
          <w:color w:val="000000"/>
          <w:sz w:val="24"/>
        </w:rPr>
        <w:t>金份额累计净值增长率变动及其与同期业绩比较基准收益率变动的比较</w:t>
      </w:r>
    </w:p>
    <w:p w:rsidR="008606B6" w:rsidRPr="00414345" w:rsidRDefault="008606B6" w:rsidP="00C15CAC">
      <w:pPr>
        <w:spacing w:before="29" w:line="288" w:lineRule="auto"/>
        <w:jc w:val="center"/>
        <w:rPr>
          <w:color w:val="000000"/>
          <w:sz w:val="24"/>
          <w:szCs w:val="24"/>
        </w:rPr>
      </w:pPr>
      <w:r w:rsidRPr="00414345">
        <w:rPr>
          <w:color w:val="000000"/>
          <w:sz w:val="24"/>
          <w:szCs w:val="24"/>
        </w:rPr>
        <w:t>交银施罗德阿尔法核心混合型证券投资基金</w:t>
      </w:r>
    </w:p>
    <w:p w:rsidR="004061AC" w:rsidRPr="00414345" w:rsidRDefault="00B56F53"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color w:val="000000"/>
          <w:sz w:val="24"/>
          <w:szCs w:val="24"/>
        </w:rPr>
        <w:t>份额累计净值增长率与业绩比较基准收益率历史走势对比图</w:t>
      </w:r>
    </w:p>
    <w:p w:rsidR="00AE7962" w:rsidRPr="00414345" w:rsidRDefault="00DE4B43" w:rsidP="00C15CAC">
      <w:pPr>
        <w:pStyle w:val="a5"/>
        <w:snapToGrid w:val="0"/>
        <w:spacing w:before="29" w:line="288" w:lineRule="auto"/>
        <w:ind w:firstLine="480"/>
        <w:jc w:val="center"/>
        <w:rPr>
          <w:rFonts w:ascii="Times New Roman" w:hAnsi="Times New Roman" w:cs="Times New Roman"/>
          <w:sz w:val="24"/>
          <w:szCs w:val="24"/>
        </w:rPr>
      </w:pPr>
      <w:r w:rsidRPr="00414345">
        <w:rPr>
          <w:rFonts w:ascii="Times New Roman" w:hAnsi="Times New Roman" w:cs="Times New Roman"/>
          <w:color w:val="000000"/>
          <w:sz w:val="24"/>
          <w:szCs w:val="24"/>
        </w:rPr>
        <w:t>（</w:t>
      </w:r>
      <w:r w:rsidR="0042009D" w:rsidRPr="00414345">
        <w:rPr>
          <w:rFonts w:ascii="Times New Roman" w:hAnsi="Times New Roman" w:cs="Times New Roman"/>
          <w:sz w:val="24"/>
          <w:szCs w:val="24"/>
        </w:rPr>
        <w:t>2012</w:t>
      </w:r>
      <w:r w:rsidR="0042009D" w:rsidRPr="00414345">
        <w:rPr>
          <w:rFonts w:ascii="Times New Roman" w:hAnsi="Times New Roman" w:cs="Times New Roman"/>
          <w:sz w:val="24"/>
          <w:szCs w:val="24"/>
        </w:rPr>
        <w:t>年</w:t>
      </w:r>
      <w:r w:rsidR="0042009D" w:rsidRPr="00414345">
        <w:rPr>
          <w:rFonts w:ascii="Times New Roman" w:hAnsi="Times New Roman" w:cs="Times New Roman"/>
          <w:sz w:val="24"/>
          <w:szCs w:val="24"/>
        </w:rPr>
        <w:t>8</w:t>
      </w:r>
      <w:r w:rsidR="0042009D" w:rsidRPr="00414345">
        <w:rPr>
          <w:rFonts w:ascii="Times New Roman" w:hAnsi="Times New Roman" w:cs="Times New Roman"/>
          <w:sz w:val="24"/>
          <w:szCs w:val="24"/>
        </w:rPr>
        <w:t>月</w:t>
      </w:r>
      <w:r w:rsidR="0042009D" w:rsidRPr="00414345">
        <w:rPr>
          <w:rFonts w:ascii="Times New Roman" w:hAnsi="Times New Roman" w:cs="Times New Roman"/>
          <w:sz w:val="24"/>
          <w:szCs w:val="24"/>
        </w:rPr>
        <w:t>3</w:t>
      </w:r>
      <w:r w:rsidR="0042009D" w:rsidRPr="00414345">
        <w:rPr>
          <w:rFonts w:ascii="Times New Roman" w:hAnsi="Times New Roman" w:cs="Times New Roman"/>
          <w:sz w:val="24"/>
          <w:szCs w:val="24"/>
        </w:rPr>
        <w:t>日</w:t>
      </w:r>
      <w:r w:rsidR="00AE7962" w:rsidRPr="00414345">
        <w:rPr>
          <w:rFonts w:ascii="Times New Roman" w:hAnsi="Times New Roman" w:cs="Times New Roman"/>
          <w:sz w:val="24"/>
          <w:szCs w:val="24"/>
        </w:rPr>
        <w:t>至</w:t>
      </w:r>
      <w:r w:rsidR="00AE7962" w:rsidRPr="00414345">
        <w:rPr>
          <w:rFonts w:ascii="Times New Roman" w:hAnsi="Times New Roman" w:cs="Times New Roman"/>
          <w:sz w:val="24"/>
          <w:szCs w:val="24"/>
        </w:rPr>
        <w:t>2015</w:t>
      </w:r>
      <w:r w:rsidR="00AE7962" w:rsidRPr="00414345">
        <w:rPr>
          <w:rFonts w:ascii="Times New Roman" w:hAnsi="Times New Roman" w:cs="Times New Roman"/>
          <w:sz w:val="24"/>
          <w:szCs w:val="24"/>
        </w:rPr>
        <w:t>年</w:t>
      </w:r>
      <w:r w:rsidR="00AE7962" w:rsidRPr="00414345">
        <w:rPr>
          <w:rFonts w:ascii="Times New Roman" w:hAnsi="Times New Roman" w:cs="Times New Roman"/>
          <w:sz w:val="24"/>
          <w:szCs w:val="24"/>
        </w:rPr>
        <w:t>9</w:t>
      </w:r>
      <w:r w:rsidR="00AE7962" w:rsidRPr="00414345">
        <w:rPr>
          <w:rFonts w:ascii="Times New Roman" w:hAnsi="Times New Roman" w:cs="Times New Roman"/>
          <w:sz w:val="24"/>
          <w:szCs w:val="24"/>
        </w:rPr>
        <w:t>月</w:t>
      </w:r>
      <w:r w:rsidR="00AE7962" w:rsidRPr="00414345">
        <w:rPr>
          <w:rFonts w:ascii="Times New Roman" w:hAnsi="Times New Roman" w:cs="Times New Roman"/>
          <w:sz w:val="24"/>
          <w:szCs w:val="24"/>
        </w:rPr>
        <w:t>30</w:t>
      </w:r>
      <w:r w:rsidR="00AE7962" w:rsidRPr="00414345">
        <w:rPr>
          <w:rFonts w:ascii="Times New Roman" w:hAnsi="Times New Roman" w:cs="Times New Roman"/>
          <w:sz w:val="24"/>
          <w:szCs w:val="24"/>
        </w:rPr>
        <w:t>日</w:t>
      </w:r>
      <w:r w:rsidRPr="00414345">
        <w:rPr>
          <w:rFonts w:ascii="Times New Roman" w:hAnsi="Times New Roman" w:cs="Times New Roman"/>
          <w:color w:val="000000"/>
          <w:sz w:val="24"/>
          <w:szCs w:val="24"/>
        </w:rPr>
        <w:t>）</w:t>
      </w:r>
    </w:p>
    <w:p w:rsidR="004061AC" w:rsidRPr="00414345" w:rsidRDefault="007D1B71"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noProof/>
          <w:color w:val="000000"/>
          <w:sz w:val="24"/>
          <w:szCs w:val="24"/>
        </w:rPr>
        <w:lastRenderedPageBreak/>
        <w:drawing>
          <wp:inline distT="0" distB="0" distL="0" distR="0" wp14:anchorId="529281CA" wp14:editId="5989F780">
            <wp:extent cx="5731510" cy="3356610"/>
            <wp:effectExtent l="0" t="0" r="0" b="0"/>
            <wp:docPr id="5"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0" cstate="print"/>
                    <a:stretch>
                      <a:fillRect/>
                    </a:stretch>
                  </pic:blipFill>
                  <pic:spPr>
                    <a:xfrm>
                      <a:off x="0" y="0"/>
                      <a:ext cx="5731510" cy="3356610"/>
                    </a:xfrm>
                    <a:prstGeom prst="rect">
                      <a:avLst/>
                    </a:prstGeom>
                  </pic:spPr>
                </pic:pic>
              </a:graphicData>
            </a:graphic>
          </wp:inline>
        </w:drawing>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注：本基金建仓期为自基金合同生效日起的</w:t>
      </w:r>
      <w:r w:rsidRPr="00414345">
        <w:rPr>
          <w:color w:val="000000"/>
          <w:sz w:val="24"/>
          <w:szCs w:val="24"/>
        </w:rPr>
        <w:t>6</w:t>
      </w:r>
      <w:r w:rsidRPr="00414345">
        <w:rPr>
          <w:color w:val="000000"/>
          <w:sz w:val="24"/>
          <w:szCs w:val="24"/>
        </w:rPr>
        <w:t>个月。截至建仓期结束，本基金各项资产配置比例符合基金合同及招募说明书有关投资比例的约定。</w:t>
      </w:r>
    </w:p>
    <w:p w:rsidR="00957594" w:rsidRPr="00414345" w:rsidRDefault="00957594" w:rsidP="00C15CAC">
      <w:pPr>
        <w:tabs>
          <w:tab w:val="left" w:pos="1800"/>
        </w:tabs>
        <w:spacing w:before="29" w:line="288" w:lineRule="auto"/>
        <w:rPr>
          <w:color w:val="000000"/>
          <w:sz w:val="24"/>
          <w:szCs w:val="24"/>
        </w:rPr>
      </w:pPr>
    </w:p>
    <w:p w:rsidR="00693843" w:rsidRPr="00414345" w:rsidRDefault="00693843" w:rsidP="00C15CAC">
      <w:pPr>
        <w:tabs>
          <w:tab w:val="left" w:pos="1800"/>
        </w:tabs>
        <w:spacing w:before="29" w:line="288" w:lineRule="auto"/>
        <w:rPr>
          <w:color w:val="000000"/>
          <w:sz w:val="24"/>
          <w:szCs w:val="24"/>
        </w:rPr>
      </w:pPr>
    </w:p>
    <w:p w:rsidR="004061AC" w:rsidRPr="00414345" w:rsidRDefault="004061AC" w:rsidP="00F323FF">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§4  </w:t>
      </w:r>
      <w:r w:rsidRPr="00414345">
        <w:rPr>
          <w:color w:val="000000"/>
          <w:kern w:val="0"/>
          <w:sz w:val="24"/>
          <w:szCs w:val="24"/>
        </w:rPr>
        <w:t>管理人报告</w:t>
      </w:r>
    </w:p>
    <w:p w:rsidR="00B12B7D"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4.1 </w:t>
      </w:r>
      <w:r w:rsidRPr="00414345">
        <w:rPr>
          <w:b/>
          <w:bCs/>
          <w:color w:val="000000"/>
          <w:kern w:val="0"/>
          <w:sz w:val="24"/>
          <w:szCs w:val="24"/>
        </w:rPr>
        <w:t>基金经理</w:t>
      </w:r>
      <w:r w:rsidR="00333AD0" w:rsidRPr="00414345">
        <w:rPr>
          <w:b/>
          <w:color w:val="000000"/>
          <w:kern w:val="0"/>
          <w:sz w:val="24"/>
        </w:rPr>
        <w:t>（</w:t>
      </w:r>
      <w:r w:rsidRPr="00414345">
        <w:rPr>
          <w:b/>
          <w:bCs/>
          <w:color w:val="000000"/>
          <w:kern w:val="0"/>
          <w:sz w:val="24"/>
          <w:szCs w:val="24"/>
        </w:rPr>
        <w:t>或基金经理小组</w:t>
      </w:r>
      <w:r w:rsidR="00333AD0" w:rsidRPr="00414345">
        <w:rPr>
          <w:b/>
          <w:color w:val="000000"/>
          <w:kern w:val="0"/>
          <w:sz w:val="24"/>
        </w:rPr>
        <w:t>）</w:t>
      </w:r>
      <w:r w:rsidRPr="00414345">
        <w:rPr>
          <w:b/>
          <w:bCs/>
          <w:color w:val="000000"/>
          <w:kern w:val="0"/>
          <w:sz w:val="24"/>
          <w:szCs w:val="24"/>
        </w:rPr>
        <w:t>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6"/>
        <w:gridCol w:w="845"/>
        <w:gridCol w:w="1549"/>
        <w:gridCol w:w="1548"/>
        <w:gridCol w:w="1407"/>
        <w:gridCol w:w="2673"/>
      </w:tblGrid>
      <w:tr w:rsidR="00286BEF" w:rsidRPr="00414345" w:rsidTr="006A10AB">
        <w:trPr>
          <w:trHeight w:val="292"/>
          <w:jc w:val="center"/>
        </w:trPr>
        <w:tc>
          <w:tcPr>
            <w:tcW w:w="851"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姓名</w:t>
            </w:r>
          </w:p>
        </w:tc>
        <w:tc>
          <w:tcPr>
            <w:tcW w:w="850"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职务</w:t>
            </w:r>
          </w:p>
        </w:tc>
        <w:tc>
          <w:tcPr>
            <w:tcW w:w="3119" w:type="dxa"/>
            <w:gridSpan w:val="2"/>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任本基金的基金经理期限</w:t>
            </w:r>
          </w:p>
        </w:tc>
        <w:tc>
          <w:tcPr>
            <w:tcW w:w="1417" w:type="dxa"/>
            <w:vMerge w:val="restart"/>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证券从业年限</w:t>
            </w:r>
          </w:p>
        </w:tc>
        <w:tc>
          <w:tcPr>
            <w:tcW w:w="2694"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说明</w:t>
            </w:r>
          </w:p>
        </w:tc>
      </w:tr>
      <w:tr w:rsidR="00D13737" w:rsidRPr="00414345" w:rsidTr="006A10AB">
        <w:trPr>
          <w:jc w:val="center"/>
        </w:trPr>
        <w:tc>
          <w:tcPr>
            <w:tcW w:w="851"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850"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1560"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任职日期</w:t>
            </w:r>
          </w:p>
        </w:tc>
        <w:tc>
          <w:tcPr>
            <w:tcW w:w="1559"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离任日期</w:t>
            </w:r>
          </w:p>
        </w:tc>
        <w:tc>
          <w:tcPr>
            <w:tcW w:w="1417"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2694" w:type="dxa"/>
            <w:vMerge/>
            <w:vAlign w:val="center"/>
          </w:tcPr>
          <w:p w:rsidR="004061AC" w:rsidRPr="00414345" w:rsidRDefault="004061AC" w:rsidP="00C15CAC">
            <w:pPr>
              <w:widowControl/>
              <w:spacing w:before="29" w:line="288" w:lineRule="auto"/>
              <w:jc w:val="left"/>
              <w:rPr>
                <w:color w:val="000000"/>
                <w:kern w:val="0"/>
                <w:sz w:val="24"/>
                <w:szCs w:val="24"/>
              </w:rPr>
            </w:pPr>
          </w:p>
        </w:tc>
      </w:tr>
      <w:tr w:rsidR="00384A2D">
        <w:trPr>
          <w:jc w:val="center"/>
        </w:trPr>
        <w:tc>
          <w:tcPr>
            <w:tcW w:w="846" w:type="dxa"/>
            <w:vAlign w:val="center"/>
          </w:tcPr>
          <w:p w:rsidR="00384A2D" w:rsidRDefault="00B32EA8">
            <w:pPr>
              <w:jc w:val="center"/>
            </w:pPr>
            <w:r>
              <w:rPr>
                <w:color w:val="000000"/>
                <w:sz w:val="24"/>
                <w:szCs w:val="24"/>
              </w:rPr>
              <w:t>何帅</w:t>
            </w:r>
          </w:p>
        </w:tc>
        <w:tc>
          <w:tcPr>
            <w:tcW w:w="845" w:type="dxa"/>
            <w:vAlign w:val="center"/>
          </w:tcPr>
          <w:p w:rsidR="00384A2D" w:rsidRDefault="00B32EA8">
            <w:pPr>
              <w:jc w:val="center"/>
            </w:pPr>
            <w:r>
              <w:rPr>
                <w:color w:val="000000"/>
                <w:sz w:val="24"/>
                <w:szCs w:val="24"/>
              </w:rPr>
              <w:t>交银优势行业混合、交银阿尔法核心混合的基金经理</w:t>
            </w:r>
          </w:p>
        </w:tc>
        <w:tc>
          <w:tcPr>
            <w:tcW w:w="1549" w:type="dxa"/>
            <w:vAlign w:val="center"/>
          </w:tcPr>
          <w:p w:rsidR="00384A2D" w:rsidRDefault="00B32EA8">
            <w:pPr>
              <w:jc w:val="center"/>
            </w:pPr>
            <w:r>
              <w:rPr>
                <w:color w:val="000000"/>
                <w:sz w:val="24"/>
                <w:szCs w:val="24"/>
              </w:rPr>
              <w:t>2015-09-16</w:t>
            </w:r>
          </w:p>
        </w:tc>
        <w:tc>
          <w:tcPr>
            <w:tcW w:w="1548" w:type="dxa"/>
            <w:vAlign w:val="center"/>
          </w:tcPr>
          <w:p w:rsidR="00384A2D" w:rsidRDefault="00B32EA8">
            <w:pPr>
              <w:jc w:val="center"/>
            </w:pPr>
            <w:r>
              <w:rPr>
                <w:color w:val="000000"/>
                <w:sz w:val="24"/>
                <w:szCs w:val="24"/>
              </w:rPr>
              <w:t>-</w:t>
            </w:r>
          </w:p>
        </w:tc>
        <w:tc>
          <w:tcPr>
            <w:tcW w:w="1407" w:type="dxa"/>
            <w:vAlign w:val="center"/>
          </w:tcPr>
          <w:p w:rsidR="00384A2D" w:rsidRDefault="00B32EA8">
            <w:pPr>
              <w:jc w:val="center"/>
            </w:pPr>
            <w:r>
              <w:rPr>
                <w:color w:val="000000"/>
                <w:sz w:val="24"/>
                <w:szCs w:val="24"/>
              </w:rPr>
              <w:t>5</w:t>
            </w:r>
            <w:r>
              <w:rPr>
                <w:color w:val="000000"/>
                <w:sz w:val="24"/>
                <w:szCs w:val="24"/>
              </w:rPr>
              <w:t>年</w:t>
            </w:r>
          </w:p>
        </w:tc>
        <w:tc>
          <w:tcPr>
            <w:tcW w:w="2673" w:type="dxa"/>
            <w:vAlign w:val="center"/>
          </w:tcPr>
          <w:p w:rsidR="00384A2D" w:rsidRDefault="00B32EA8">
            <w:r>
              <w:rPr>
                <w:color w:val="000000"/>
                <w:sz w:val="24"/>
                <w:szCs w:val="24"/>
              </w:rPr>
              <w:t>何帅先生，上海财经大学硕士。历任国联安基金管理有限公司研究员。</w:t>
            </w:r>
            <w:r>
              <w:rPr>
                <w:color w:val="000000"/>
                <w:sz w:val="24"/>
                <w:szCs w:val="24"/>
              </w:rPr>
              <w:t>2012</w:t>
            </w:r>
            <w:r>
              <w:rPr>
                <w:color w:val="000000"/>
                <w:sz w:val="24"/>
                <w:szCs w:val="24"/>
              </w:rPr>
              <w:t>年加入交银施罗德基金管理有限公司，历任行业分析师。</w:t>
            </w:r>
          </w:p>
        </w:tc>
      </w:tr>
      <w:tr w:rsidR="00384A2D">
        <w:trPr>
          <w:jc w:val="center"/>
        </w:trPr>
        <w:tc>
          <w:tcPr>
            <w:tcW w:w="846" w:type="dxa"/>
            <w:vAlign w:val="center"/>
          </w:tcPr>
          <w:p w:rsidR="00384A2D" w:rsidRDefault="00B32EA8">
            <w:pPr>
              <w:jc w:val="center"/>
            </w:pPr>
            <w:r>
              <w:rPr>
                <w:color w:val="000000"/>
                <w:sz w:val="24"/>
                <w:szCs w:val="24"/>
              </w:rPr>
              <w:t>龙向东</w:t>
            </w:r>
          </w:p>
        </w:tc>
        <w:tc>
          <w:tcPr>
            <w:tcW w:w="845" w:type="dxa"/>
            <w:vAlign w:val="center"/>
          </w:tcPr>
          <w:p w:rsidR="00384A2D" w:rsidRDefault="00B32EA8">
            <w:pPr>
              <w:jc w:val="center"/>
            </w:pPr>
            <w:r>
              <w:rPr>
                <w:color w:val="000000"/>
                <w:sz w:val="24"/>
                <w:szCs w:val="24"/>
              </w:rPr>
              <w:t>交银阿尔法核心混</w:t>
            </w:r>
            <w:r>
              <w:rPr>
                <w:color w:val="000000"/>
                <w:sz w:val="24"/>
                <w:szCs w:val="24"/>
              </w:rPr>
              <w:lastRenderedPageBreak/>
              <w:t>合的基金经理、公司量化投资部总经理</w:t>
            </w:r>
          </w:p>
        </w:tc>
        <w:tc>
          <w:tcPr>
            <w:tcW w:w="1549" w:type="dxa"/>
            <w:vAlign w:val="center"/>
          </w:tcPr>
          <w:p w:rsidR="00384A2D" w:rsidRDefault="00B32EA8">
            <w:pPr>
              <w:jc w:val="center"/>
            </w:pPr>
            <w:r>
              <w:rPr>
                <w:color w:val="000000"/>
                <w:sz w:val="24"/>
                <w:szCs w:val="24"/>
              </w:rPr>
              <w:lastRenderedPageBreak/>
              <w:t>2012-08-03</w:t>
            </w:r>
          </w:p>
        </w:tc>
        <w:tc>
          <w:tcPr>
            <w:tcW w:w="1548" w:type="dxa"/>
            <w:vAlign w:val="center"/>
          </w:tcPr>
          <w:p w:rsidR="00384A2D" w:rsidRDefault="00B32EA8">
            <w:pPr>
              <w:jc w:val="center"/>
            </w:pPr>
            <w:r>
              <w:rPr>
                <w:color w:val="000000"/>
                <w:sz w:val="24"/>
                <w:szCs w:val="24"/>
              </w:rPr>
              <w:t>2015-09-26</w:t>
            </w:r>
          </w:p>
        </w:tc>
        <w:tc>
          <w:tcPr>
            <w:tcW w:w="1407" w:type="dxa"/>
            <w:vAlign w:val="center"/>
          </w:tcPr>
          <w:p w:rsidR="00384A2D" w:rsidRDefault="00B32EA8">
            <w:pPr>
              <w:jc w:val="center"/>
            </w:pPr>
            <w:r>
              <w:rPr>
                <w:color w:val="000000"/>
                <w:sz w:val="24"/>
                <w:szCs w:val="24"/>
              </w:rPr>
              <w:t>6</w:t>
            </w:r>
            <w:r>
              <w:rPr>
                <w:color w:val="000000"/>
                <w:sz w:val="24"/>
                <w:szCs w:val="24"/>
              </w:rPr>
              <w:t>年</w:t>
            </w:r>
          </w:p>
        </w:tc>
        <w:tc>
          <w:tcPr>
            <w:tcW w:w="2673" w:type="dxa"/>
            <w:vAlign w:val="center"/>
          </w:tcPr>
          <w:p w:rsidR="00384A2D" w:rsidRDefault="00B32EA8">
            <w:r>
              <w:rPr>
                <w:color w:val="000000"/>
                <w:sz w:val="24"/>
                <w:szCs w:val="24"/>
              </w:rPr>
              <w:t>龙向东先生，中国人民大学经济学学士、经济学硕士，美国加州大学河滨分校经济学博士。</w:t>
            </w:r>
            <w:r>
              <w:rPr>
                <w:color w:val="000000"/>
                <w:sz w:val="24"/>
                <w:szCs w:val="24"/>
              </w:rPr>
              <w:lastRenderedPageBreak/>
              <w:t>历任英国剑桥大学商学院金融分析和政策中心研究员，美国雷曼兄弟公司（欧洲）量化分析师，日本野村国际</w:t>
            </w:r>
            <w:r>
              <w:rPr>
                <w:color w:val="000000"/>
                <w:sz w:val="24"/>
                <w:szCs w:val="24"/>
              </w:rPr>
              <w:t xml:space="preserve"> </w:t>
            </w:r>
            <w:r>
              <w:rPr>
                <w:color w:val="000000"/>
                <w:sz w:val="24"/>
                <w:szCs w:val="24"/>
              </w:rPr>
              <w:t>（欧洲）</w:t>
            </w:r>
            <w:r>
              <w:rPr>
                <w:color w:val="000000"/>
                <w:sz w:val="24"/>
                <w:szCs w:val="24"/>
              </w:rPr>
              <w:t xml:space="preserve"> </w:t>
            </w:r>
            <w:r>
              <w:rPr>
                <w:color w:val="000000"/>
                <w:sz w:val="24"/>
                <w:szCs w:val="24"/>
              </w:rPr>
              <w:t>量化分析师，北京健坤和创投资公司量化投资总监。</w:t>
            </w:r>
            <w:r>
              <w:rPr>
                <w:color w:val="000000"/>
                <w:sz w:val="24"/>
                <w:szCs w:val="24"/>
              </w:rPr>
              <w:t>2010</w:t>
            </w:r>
            <w:r>
              <w:rPr>
                <w:color w:val="000000"/>
                <w:sz w:val="24"/>
                <w:szCs w:val="24"/>
              </w:rPr>
              <w:t>年加入交银施罗德基金管理有限公司，历任量化投资部副总经理，</w:t>
            </w:r>
            <w:r>
              <w:rPr>
                <w:color w:val="000000"/>
                <w:sz w:val="24"/>
                <w:szCs w:val="24"/>
              </w:rPr>
              <w:t>2012</w:t>
            </w:r>
            <w:r>
              <w:rPr>
                <w:color w:val="000000"/>
                <w:sz w:val="24"/>
                <w:szCs w:val="24"/>
              </w:rPr>
              <w:t>年</w:t>
            </w:r>
            <w:r>
              <w:rPr>
                <w:color w:val="000000"/>
                <w:sz w:val="24"/>
                <w:szCs w:val="24"/>
              </w:rPr>
              <w:t>8</w:t>
            </w:r>
            <w:r>
              <w:rPr>
                <w:color w:val="000000"/>
                <w:sz w:val="24"/>
                <w:szCs w:val="24"/>
              </w:rPr>
              <w:t>月</w:t>
            </w:r>
            <w:r>
              <w:rPr>
                <w:color w:val="000000"/>
                <w:sz w:val="24"/>
                <w:szCs w:val="24"/>
              </w:rPr>
              <w:t>3</w:t>
            </w:r>
            <w:r>
              <w:rPr>
                <w:color w:val="000000"/>
                <w:sz w:val="24"/>
                <w:szCs w:val="24"/>
              </w:rPr>
              <w:t>日至</w:t>
            </w:r>
            <w:r>
              <w:rPr>
                <w:color w:val="000000"/>
                <w:sz w:val="24"/>
                <w:szCs w:val="24"/>
              </w:rPr>
              <w:t>2015</w:t>
            </w:r>
            <w:r>
              <w:rPr>
                <w:color w:val="000000"/>
                <w:sz w:val="24"/>
                <w:szCs w:val="24"/>
              </w:rPr>
              <w:t>年</w:t>
            </w:r>
            <w:r>
              <w:rPr>
                <w:color w:val="000000"/>
                <w:sz w:val="24"/>
                <w:szCs w:val="24"/>
              </w:rPr>
              <w:t>9</w:t>
            </w:r>
            <w:r>
              <w:rPr>
                <w:color w:val="000000"/>
                <w:sz w:val="24"/>
                <w:szCs w:val="24"/>
              </w:rPr>
              <w:t>月</w:t>
            </w:r>
            <w:r>
              <w:rPr>
                <w:color w:val="000000"/>
                <w:sz w:val="24"/>
                <w:szCs w:val="24"/>
              </w:rPr>
              <w:t>25</w:t>
            </w:r>
            <w:r>
              <w:rPr>
                <w:color w:val="000000"/>
                <w:sz w:val="24"/>
                <w:szCs w:val="24"/>
              </w:rPr>
              <w:t>日担任交银施罗德阿尔法核心混合型证券投资基金（原交银施罗德阿尔法核心股票型证券投资基金）基金经理。</w:t>
            </w:r>
          </w:p>
        </w:tc>
      </w:tr>
    </w:tbl>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lastRenderedPageBreak/>
        <w:t>注：基金经理（或基金经理小组）期后变动（如有）敬请关注基金管理人发布的相关公告。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4.2 </w:t>
      </w:r>
      <w:r w:rsidRPr="00414345">
        <w:rPr>
          <w:b/>
          <w:bCs/>
          <w:color w:val="000000"/>
          <w:kern w:val="0"/>
          <w:sz w:val="24"/>
          <w:szCs w:val="24"/>
        </w:rPr>
        <w:t>管理人对报告期内本基金运作遵规守信情况的说明</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4.3 </w:t>
      </w:r>
      <w:r w:rsidRPr="00414345">
        <w:rPr>
          <w:b/>
          <w:bCs/>
          <w:color w:val="000000"/>
          <w:kern w:val="0"/>
          <w:sz w:val="24"/>
          <w:szCs w:val="24"/>
        </w:rPr>
        <w:t>公平交易专项说明</w:t>
      </w:r>
    </w:p>
    <w:p w:rsidR="004061AC" w:rsidRPr="00414345" w:rsidRDefault="004061AC" w:rsidP="00C15CAC">
      <w:pPr>
        <w:spacing w:before="29" w:line="288" w:lineRule="auto"/>
        <w:rPr>
          <w:color w:val="000000"/>
          <w:sz w:val="24"/>
          <w:szCs w:val="24"/>
        </w:rPr>
      </w:pPr>
      <w:r w:rsidRPr="00414345">
        <w:rPr>
          <w:color w:val="000000"/>
          <w:sz w:val="24"/>
          <w:szCs w:val="24"/>
        </w:rPr>
        <w:t xml:space="preserve">4.3.1 </w:t>
      </w:r>
      <w:r w:rsidRPr="00414345">
        <w:rPr>
          <w:color w:val="000000"/>
          <w:sz w:val="24"/>
          <w:szCs w:val="24"/>
        </w:rPr>
        <w:t>公平交易制度的执行情况</w:t>
      </w:r>
    </w:p>
    <w:p w:rsidR="00384A2D" w:rsidRDefault="00B32EA8">
      <w:pPr>
        <w:spacing w:before="29" w:line="288" w:lineRule="auto"/>
        <w:ind w:firstLineChars="200" w:firstLine="480"/>
        <w:rPr>
          <w:color w:val="000000"/>
          <w:sz w:val="24"/>
          <w:szCs w:val="24"/>
        </w:rPr>
      </w:pPr>
      <w:r>
        <w:rPr>
          <w:color w:val="000000"/>
          <w:sz w:val="24"/>
          <w:szCs w:val="24"/>
        </w:rPr>
        <w:t>本公司制定了严格的投资控制制度和公平交易监控制度来保证旗下基金运作的公平，旗下所管理的所有资产组合，包括证券投资基金和特定客户资产管理专户均严格遵循制度进行公平交易。</w:t>
      </w:r>
    </w:p>
    <w:p w:rsidR="00384A2D" w:rsidRDefault="00B32EA8">
      <w:pPr>
        <w:spacing w:before="29" w:line="288" w:lineRule="auto"/>
        <w:ind w:firstLineChars="200" w:firstLine="480"/>
        <w:rPr>
          <w:color w:val="000000"/>
          <w:sz w:val="24"/>
          <w:szCs w:val="24"/>
        </w:rPr>
      </w:pPr>
      <w:r>
        <w:rPr>
          <w:color w:val="000000"/>
          <w:sz w:val="24"/>
          <w:szCs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szCs w:val="24"/>
        </w:rPr>
        <w:t>“</w:t>
      </w:r>
      <w:r>
        <w:rPr>
          <w:color w:val="000000"/>
          <w:sz w:val="24"/>
          <w:szCs w:val="24"/>
        </w:rPr>
        <w:t>时间优先、价格优先、比例分配</w:t>
      </w:r>
      <w:r>
        <w:rPr>
          <w:color w:val="000000"/>
          <w:sz w:val="24"/>
          <w:szCs w:val="24"/>
        </w:rPr>
        <w:t>”</w:t>
      </w:r>
      <w:r>
        <w:rPr>
          <w:color w:val="000000"/>
          <w:sz w:val="24"/>
          <w:szCs w:val="24"/>
        </w:rPr>
        <w:t>的原则，全部通过交易系统进行比例分配；对于非集中竞价交易、以公司名义进行的场外交易，遵循</w:t>
      </w:r>
      <w:r>
        <w:rPr>
          <w:color w:val="000000"/>
          <w:sz w:val="24"/>
          <w:szCs w:val="24"/>
        </w:rPr>
        <w:t>“</w:t>
      </w:r>
      <w:r>
        <w:rPr>
          <w:color w:val="000000"/>
          <w:sz w:val="24"/>
          <w:szCs w:val="24"/>
        </w:rPr>
        <w:t>价格优先、比例分配</w:t>
      </w:r>
      <w:r>
        <w:rPr>
          <w:color w:val="000000"/>
          <w:sz w:val="24"/>
          <w:szCs w:val="24"/>
        </w:rPr>
        <w:t>”</w:t>
      </w:r>
      <w:r>
        <w:rPr>
          <w:color w:val="000000"/>
          <w:sz w:val="24"/>
          <w:szCs w:val="24"/>
        </w:rPr>
        <w:t>的原则按事前独立确定的投资方案对交易结果进行分配。</w:t>
      </w:r>
    </w:p>
    <w:p w:rsidR="00384A2D" w:rsidRDefault="00B32EA8">
      <w:pPr>
        <w:spacing w:before="29" w:line="288" w:lineRule="auto"/>
        <w:ind w:firstLineChars="200" w:firstLine="480"/>
        <w:rPr>
          <w:color w:val="000000"/>
          <w:sz w:val="24"/>
          <w:szCs w:val="24"/>
        </w:rPr>
      </w:pPr>
      <w:r>
        <w:rPr>
          <w:color w:val="000000"/>
          <w:sz w:val="24"/>
          <w:szCs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w:t>
      </w:r>
      <w:r>
        <w:rPr>
          <w:color w:val="000000"/>
          <w:sz w:val="24"/>
          <w:szCs w:val="24"/>
        </w:rPr>
        <w:lastRenderedPageBreak/>
        <w:t>通过分析评估和信息披露来加强对公平交易过程和结果的监督。</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报告期内本公司严格执行公平交易制度，公平对待旗下各投资组合，未发现任何违反公平交易的行为。</w:t>
      </w:r>
    </w:p>
    <w:p w:rsidR="004061AC" w:rsidRPr="00414345" w:rsidRDefault="004061AC" w:rsidP="00C15CAC">
      <w:pPr>
        <w:spacing w:before="29" w:line="288" w:lineRule="auto"/>
        <w:rPr>
          <w:color w:val="000000"/>
          <w:sz w:val="24"/>
          <w:szCs w:val="24"/>
        </w:rPr>
      </w:pPr>
      <w:r w:rsidRPr="00414345">
        <w:rPr>
          <w:color w:val="000000"/>
          <w:sz w:val="24"/>
          <w:szCs w:val="24"/>
        </w:rPr>
        <w:t xml:space="preserve">4.3.2 </w:t>
      </w:r>
      <w:r w:rsidRPr="00414345">
        <w:rPr>
          <w:color w:val="000000"/>
          <w:sz w:val="24"/>
          <w:szCs w:val="24"/>
        </w:rPr>
        <w:t>异常交易行为的专项说明</w:t>
      </w:r>
    </w:p>
    <w:p w:rsidR="004061AC" w:rsidRPr="00414345" w:rsidRDefault="00957594" w:rsidP="00C15CAC">
      <w:pPr>
        <w:spacing w:before="29" w:line="288" w:lineRule="auto"/>
        <w:ind w:firstLineChars="200" w:firstLine="480"/>
        <w:rPr>
          <w:color w:val="000000"/>
          <w:sz w:val="24"/>
          <w:szCs w:val="24"/>
        </w:rPr>
      </w:pPr>
      <w:r w:rsidRPr="00414345">
        <w:rPr>
          <w:color w:val="000000"/>
          <w:sz w:val="24"/>
          <w:szCs w:val="24"/>
        </w:rPr>
        <w:t>本基金于本报告期内不存在异常交易行为。本报告期内，本公司管理的所有投资组合参与的交易所公开竞价同日反向交易成交较少的单边交易量没有超过该证券当日总成交量</w:t>
      </w:r>
      <w:r w:rsidRPr="00414345">
        <w:rPr>
          <w:color w:val="000000"/>
          <w:sz w:val="24"/>
          <w:szCs w:val="24"/>
        </w:rPr>
        <w:t>5%</w:t>
      </w:r>
      <w:r w:rsidRPr="00414345">
        <w:rPr>
          <w:color w:val="000000"/>
          <w:sz w:val="24"/>
          <w:szCs w:val="24"/>
        </w:rPr>
        <w:t>的情形，本基金与本公司管理的其他投资组合在不同时间窗下（如日内、</w:t>
      </w:r>
      <w:r w:rsidRPr="00414345">
        <w:rPr>
          <w:color w:val="000000"/>
          <w:sz w:val="24"/>
          <w:szCs w:val="24"/>
        </w:rPr>
        <w:t>3</w:t>
      </w:r>
      <w:r w:rsidRPr="00414345">
        <w:rPr>
          <w:color w:val="000000"/>
          <w:sz w:val="24"/>
          <w:szCs w:val="24"/>
        </w:rPr>
        <w:t>日内、</w:t>
      </w:r>
      <w:r w:rsidRPr="00414345">
        <w:rPr>
          <w:color w:val="000000"/>
          <w:sz w:val="24"/>
          <w:szCs w:val="24"/>
        </w:rPr>
        <w:t>5</w:t>
      </w:r>
      <w:r w:rsidRPr="00414345">
        <w:rPr>
          <w:color w:val="000000"/>
          <w:sz w:val="24"/>
          <w:szCs w:val="24"/>
        </w:rPr>
        <w:t>日内）同向交易的交易价差未出现异常。</w:t>
      </w:r>
    </w:p>
    <w:p w:rsidR="004061AC" w:rsidRPr="00414345" w:rsidRDefault="004061AC"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 xml:space="preserve">4.4 </w:t>
      </w:r>
      <w:r w:rsidRPr="00414345">
        <w:rPr>
          <w:rFonts w:hAnsi="宋体"/>
          <w:b/>
          <w:bCs/>
          <w:color w:val="000000"/>
          <w:sz w:val="24"/>
        </w:rPr>
        <w:t>报告期内基金的投资策略和运作分析</w:t>
      </w:r>
    </w:p>
    <w:p w:rsidR="00384A2D" w:rsidRDefault="00B32EA8">
      <w:pPr>
        <w:spacing w:before="29" w:line="288" w:lineRule="auto"/>
        <w:ind w:firstLineChars="200" w:firstLine="480"/>
        <w:rPr>
          <w:color w:val="000000"/>
          <w:sz w:val="24"/>
          <w:szCs w:val="24"/>
        </w:rPr>
      </w:pPr>
      <w:r>
        <w:rPr>
          <w:color w:val="000000"/>
          <w:sz w:val="24"/>
          <w:szCs w:val="24"/>
        </w:rPr>
        <w:t>本季度股票市场主要受两大因素驱动：实体经济数据欠佳及去杠杆。因为前者，市场普遍预期政府会出台相应刺激政策；对应后者，市场存在纠结情绪：一方面去杠杆对前期涨幅较大、弹性显著的中小盘股票有下行压力，但另一方面，投资者仍然偏爱代表未来经济发展方向的新兴行业、有确定成长性的公司。此外，前两年一直引发投资者思考的新兴行业估值方法论又有了流动性这一新的影响因素，愈发扑朔迷离。</w:t>
      </w:r>
    </w:p>
    <w:p w:rsidR="00384A2D" w:rsidRDefault="00B32EA8">
      <w:pPr>
        <w:spacing w:before="29" w:line="288" w:lineRule="auto"/>
        <w:ind w:firstLineChars="200" w:firstLine="480"/>
        <w:rPr>
          <w:color w:val="000000"/>
          <w:sz w:val="24"/>
          <w:szCs w:val="24"/>
        </w:rPr>
      </w:pPr>
      <w:r>
        <w:rPr>
          <w:color w:val="000000"/>
          <w:sz w:val="24"/>
          <w:szCs w:val="24"/>
        </w:rPr>
        <w:t>审慎控制仓位的同时，本基金在响应逆周期政策刺激效应的周期股和代表新经济的成长股之间均衡配置。对应去年下半年的加仓、调结构为进攻，今年三季度的最佳策略应该是坚决减仓、调结构为防守。</w:t>
      </w:r>
      <w:r>
        <w:rPr>
          <w:color w:val="000000"/>
          <w:sz w:val="24"/>
          <w:szCs w:val="24"/>
        </w:rPr>
        <w:t>“</w:t>
      </w:r>
      <w:r>
        <w:rPr>
          <w:color w:val="000000"/>
          <w:sz w:val="24"/>
          <w:szCs w:val="24"/>
        </w:rPr>
        <w:t>病来如山倒，病去如抽丝</w:t>
      </w:r>
      <w:r>
        <w:rPr>
          <w:color w:val="000000"/>
          <w:sz w:val="24"/>
          <w:szCs w:val="24"/>
        </w:rPr>
        <w:t>”</w:t>
      </w:r>
      <w:r>
        <w:rPr>
          <w:color w:val="000000"/>
          <w:sz w:val="24"/>
          <w:szCs w:val="24"/>
        </w:rPr>
        <w:t>这句俗语，既提示了我们高位调整时的时效性和坚决果断行动的必要性，也警示了我们在大趋势面前勿轻言趋势转向、抄底。事后来看，不能低估市场自身运动的威力：加杠杆过程中投资者风险偏好是非线性提升的、上行动能短期内将市场估值带到了一个难以持续的高度、形成了高位势能；逆转之后，投资者情绪亦是非线性、短期快速地转向风险厌恶、处于高位的势能转换为下行动能的速度亦远超预期。羊群效应是双向、不对称的，不但体现在股市上升过程，也体现在下降过程，且下行作用力度、显效速度显著快于上升过程。经济学基石的理性假设在市场现实面前惨白无力，需要社会学、心理学提供更多的理论支持。</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展望四季度，预计经济增长压力与三季度相比不会发生明显变化，而财政政策可能预期更加积极，在细分行业上的刺激政策可能增多。市场层面，随着美国加息预期延后，国内清理配资接近尾声，可能带动风险偏好上升，所以市场风险较三季度有所减弱。在行业及公司选择上，将聚焦于</w:t>
      </w:r>
      <w:r w:rsidRPr="00414345">
        <w:rPr>
          <w:color w:val="000000"/>
          <w:sz w:val="24"/>
          <w:szCs w:val="24"/>
        </w:rPr>
        <w:t>2016</w:t>
      </w:r>
      <w:r w:rsidRPr="00414345">
        <w:rPr>
          <w:color w:val="000000"/>
          <w:sz w:val="24"/>
          <w:szCs w:val="24"/>
        </w:rPr>
        <w:t>年至</w:t>
      </w:r>
      <w:r w:rsidRPr="00414345">
        <w:rPr>
          <w:color w:val="000000"/>
          <w:sz w:val="24"/>
          <w:szCs w:val="24"/>
        </w:rPr>
        <w:t>2017</w:t>
      </w:r>
      <w:r w:rsidRPr="00414345">
        <w:rPr>
          <w:color w:val="000000"/>
          <w:sz w:val="24"/>
          <w:szCs w:val="24"/>
        </w:rPr>
        <w:t>年的成长潜力和空间，具备自身可持续增长能力的细分行业和公司仍是首选，同时此轮反弹后不少优质个股的估值开始趋高，除了寻找最优秀的公司，发掘性价比更高的标的可能是四季度投资研究的重点。</w:t>
      </w:r>
    </w:p>
    <w:p w:rsidR="00627E2D" w:rsidRPr="00414345" w:rsidRDefault="00627E2D"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4.5</w:t>
      </w:r>
      <w:r w:rsidRPr="00414345">
        <w:rPr>
          <w:b/>
          <w:color w:val="000000"/>
          <w:kern w:val="0"/>
          <w:sz w:val="24"/>
        </w:rPr>
        <w:t>报告期内基金的业绩表现</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截至</w:t>
      </w:r>
      <w:r w:rsidRPr="00414345">
        <w:rPr>
          <w:color w:val="000000"/>
          <w:sz w:val="24"/>
          <w:szCs w:val="24"/>
        </w:rPr>
        <w:t>2015</w:t>
      </w:r>
      <w:r w:rsidRPr="00414345">
        <w:rPr>
          <w:color w:val="000000"/>
          <w:sz w:val="24"/>
          <w:szCs w:val="24"/>
        </w:rPr>
        <w:t>年</w:t>
      </w:r>
      <w:r w:rsidRPr="00414345">
        <w:rPr>
          <w:color w:val="000000"/>
          <w:sz w:val="24"/>
          <w:szCs w:val="24"/>
        </w:rPr>
        <w:t>9</w:t>
      </w:r>
      <w:r w:rsidRPr="00414345">
        <w:rPr>
          <w:color w:val="000000"/>
          <w:sz w:val="24"/>
          <w:szCs w:val="24"/>
        </w:rPr>
        <w:t>月</w:t>
      </w:r>
      <w:r w:rsidRPr="00414345">
        <w:rPr>
          <w:color w:val="000000"/>
          <w:sz w:val="24"/>
          <w:szCs w:val="24"/>
        </w:rPr>
        <w:t>30</w:t>
      </w:r>
      <w:r w:rsidRPr="00414345">
        <w:rPr>
          <w:color w:val="000000"/>
          <w:sz w:val="24"/>
          <w:szCs w:val="24"/>
        </w:rPr>
        <w:t>日，本基金份额净值为</w:t>
      </w:r>
      <w:r w:rsidRPr="00414345">
        <w:rPr>
          <w:color w:val="000000"/>
          <w:sz w:val="24"/>
          <w:szCs w:val="24"/>
        </w:rPr>
        <w:t>1.608</w:t>
      </w:r>
      <w:r w:rsidRPr="00414345">
        <w:rPr>
          <w:color w:val="000000"/>
          <w:sz w:val="24"/>
          <w:szCs w:val="24"/>
        </w:rPr>
        <w:t>元，本报告期份额净值增长率为</w:t>
      </w:r>
      <w:r w:rsidRPr="00414345">
        <w:rPr>
          <w:color w:val="000000"/>
          <w:sz w:val="24"/>
          <w:szCs w:val="24"/>
        </w:rPr>
        <w:t>-31.37%</w:t>
      </w:r>
      <w:r w:rsidRPr="00414345">
        <w:rPr>
          <w:color w:val="000000"/>
          <w:sz w:val="24"/>
          <w:szCs w:val="24"/>
        </w:rPr>
        <w:t>，同期业绩比较基准增长率为</w:t>
      </w:r>
      <w:r w:rsidR="007D1B71">
        <w:rPr>
          <w:color w:val="000000"/>
          <w:sz w:val="24"/>
          <w:szCs w:val="24"/>
        </w:rPr>
        <w:t>-21.26</w:t>
      </w:r>
      <w:r w:rsidRPr="00414345">
        <w:rPr>
          <w:color w:val="000000"/>
          <w:sz w:val="24"/>
          <w:szCs w:val="24"/>
        </w:rPr>
        <w:t>%</w:t>
      </w:r>
      <w:r w:rsidRPr="00414345">
        <w:rPr>
          <w:color w:val="000000"/>
          <w:sz w:val="24"/>
          <w:szCs w:val="24"/>
        </w:rPr>
        <w:t>。</w:t>
      </w:r>
    </w:p>
    <w:p w:rsidR="009C5186" w:rsidRPr="00414345" w:rsidRDefault="009C5186" w:rsidP="00C15CAC">
      <w:pPr>
        <w:spacing w:before="29" w:line="288" w:lineRule="auto"/>
        <w:ind w:firstLineChars="200" w:firstLine="480"/>
        <w:rPr>
          <w:color w:val="000000"/>
          <w:sz w:val="24"/>
          <w:szCs w:val="24"/>
        </w:rPr>
      </w:pPr>
    </w:p>
    <w:p w:rsidR="00421CD2" w:rsidRPr="002070B4" w:rsidRDefault="00421CD2" w:rsidP="00421CD2">
      <w:pPr>
        <w:autoSpaceDE w:val="0"/>
        <w:autoSpaceDN w:val="0"/>
        <w:adjustRightInd w:val="0"/>
        <w:spacing w:before="29" w:line="288" w:lineRule="auto"/>
        <w:jc w:val="left"/>
        <w:rPr>
          <w:b/>
          <w:color w:val="000000"/>
          <w:kern w:val="0"/>
          <w:sz w:val="24"/>
        </w:rPr>
      </w:pPr>
      <w:r w:rsidRPr="002070B4">
        <w:rPr>
          <w:b/>
          <w:color w:val="000000"/>
          <w:kern w:val="0"/>
          <w:sz w:val="24"/>
        </w:rPr>
        <w:lastRenderedPageBreak/>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421CD2" w:rsidRDefault="00421CD2" w:rsidP="00421CD2">
      <w:pPr>
        <w:spacing w:before="29" w:line="288" w:lineRule="auto"/>
        <w:ind w:firstLineChars="200" w:firstLine="480"/>
        <w:rPr>
          <w:color w:val="000000"/>
          <w:sz w:val="24"/>
        </w:rPr>
      </w:pPr>
      <w:r w:rsidRPr="002070B4">
        <w:rPr>
          <w:color w:val="000000"/>
          <w:sz w:val="24"/>
        </w:rPr>
        <w:t>本基金本报告期内无需预警说明。</w:t>
      </w:r>
    </w:p>
    <w:p w:rsidR="004061AC" w:rsidRPr="00414345" w:rsidRDefault="004061AC" w:rsidP="00F323FF">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1C0993" w:rsidRPr="00414345">
        <w:rPr>
          <w:color w:val="000000"/>
          <w:kern w:val="0"/>
          <w:sz w:val="24"/>
          <w:szCs w:val="24"/>
        </w:rPr>
        <w:t>5</w:t>
      </w:r>
      <w:r w:rsidRPr="00414345">
        <w:rPr>
          <w:color w:val="000000"/>
          <w:kern w:val="0"/>
          <w:sz w:val="24"/>
          <w:szCs w:val="24"/>
        </w:rPr>
        <w:t>投资组合报告</w:t>
      </w: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5.1 </w:t>
      </w:r>
      <w:r w:rsidRPr="00414345">
        <w:rPr>
          <w:b/>
          <w:bCs/>
          <w:color w:val="000000"/>
          <w:kern w:val="0"/>
          <w:sz w:val="24"/>
          <w:szCs w:val="24"/>
        </w:rPr>
        <w:t>报告期末基金资产组合情况</w:t>
      </w:r>
    </w:p>
    <w:tbl>
      <w:tblPr>
        <w:tblStyle w:val="af7"/>
        <w:tblW w:w="8868" w:type="dxa"/>
        <w:jc w:val="center"/>
        <w:tblLayout w:type="fixed"/>
        <w:tblLook w:val="04A0" w:firstRow="1" w:lastRow="0" w:firstColumn="1" w:lastColumn="0" w:noHBand="0" w:noVBand="1"/>
      </w:tblPr>
      <w:tblGrid>
        <w:gridCol w:w="718"/>
        <w:gridCol w:w="3346"/>
        <w:gridCol w:w="2967"/>
        <w:gridCol w:w="1837"/>
      </w:tblGrid>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序号</w:t>
            </w:r>
          </w:p>
        </w:tc>
        <w:tc>
          <w:tcPr>
            <w:tcW w:w="3346"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项目</w:t>
            </w:r>
          </w:p>
        </w:tc>
        <w:tc>
          <w:tcPr>
            <w:tcW w:w="296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金额</w:t>
            </w:r>
            <w:r w:rsidR="00E84C7E" w:rsidRPr="00414345">
              <w:rPr>
                <w:color w:val="000000"/>
                <w:sz w:val="24"/>
              </w:rPr>
              <w:t>（元）</w:t>
            </w:r>
          </w:p>
        </w:tc>
        <w:tc>
          <w:tcPr>
            <w:tcW w:w="183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占基金总资产的比例</w:t>
            </w:r>
            <w:r w:rsidR="008C7FFA" w:rsidRPr="00414345">
              <w:rPr>
                <w:color w:val="000000"/>
                <w:sz w:val="24"/>
              </w:rPr>
              <w:t>（％）</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1</w:t>
            </w: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权益投资</w:t>
            </w:r>
          </w:p>
        </w:tc>
        <w:tc>
          <w:tcPr>
            <w:tcW w:w="2967" w:type="dxa"/>
            <w:vAlign w:val="center"/>
          </w:tcPr>
          <w:p w:rsidR="00853140" w:rsidRPr="00414345" w:rsidRDefault="00C77AEF" w:rsidP="00C15CAC">
            <w:pPr>
              <w:spacing w:before="29" w:line="288" w:lineRule="auto"/>
              <w:ind w:left="17"/>
              <w:jc w:val="right"/>
              <w:rPr>
                <w:color w:val="000000"/>
                <w:sz w:val="24"/>
                <w:szCs w:val="24"/>
              </w:rPr>
            </w:pPr>
            <w:r w:rsidRPr="00414345">
              <w:rPr>
                <w:color w:val="000000"/>
                <w:sz w:val="24"/>
                <w:szCs w:val="24"/>
              </w:rPr>
              <w:t>59,449,254.11</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62.31</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其中：股票</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59,449,254.11</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62.31</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2</w:t>
            </w: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固定收益投资</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其中：债券</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p>
        </w:tc>
        <w:tc>
          <w:tcPr>
            <w:tcW w:w="3346" w:type="dxa"/>
            <w:vAlign w:val="center"/>
          </w:tcPr>
          <w:p w:rsidR="00853140" w:rsidRPr="00414345" w:rsidRDefault="00853140" w:rsidP="00C15CAC">
            <w:pPr>
              <w:autoSpaceDE w:val="0"/>
              <w:autoSpaceDN w:val="0"/>
              <w:adjustRightInd w:val="0"/>
              <w:spacing w:before="29" w:line="288" w:lineRule="auto"/>
              <w:ind w:leftChars="8" w:left="17" w:firstLineChars="300" w:firstLine="720"/>
              <w:jc w:val="left"/>
              <w:rPr>
                <w:color w:val="000000"/>
                <w:sz w:val="24"/>
                <w:szCs w:val="24"/>
              </w:rPr>
            </w:pPr>
            <w:r w:rsidRPr="00414345">
              <w:rPr>
                <w:color w:val="000000"/>
                <w:sz w:val="24"/>
                <w:szCs w:val="24"/>
              </w:rPr>
              <w:t>资产支持证券</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r w:rsidRPr="00414345">
              <w:rPr>
                <w:color w:val="000000"/>
                <w:sz w:val="24"/>
                <w:szCs w:val="24"/>
              </w:rPr>
              <w:t>3</w:t>
            </w:r>
          </w:p>
        </w:tc>
        <w:tc>
          <w:tcPr>
            <w:tcW w:w="3346" w:type="dxa"/>
            <w:vAlign w:val="center"/>
          </w:tcPr>
          <w:p w:rsidR="007D100C" w:rsidRPr="00414345" w:rsidRDefault="007D100C" w:rsidP="00C15CAC">
            <w:pPr>
              <w:spacing w:before="29" w:line="288" w:lineRule="auto"/>
              <w:ind w:left="17"/>
              <w:jc w:val="left"/>
              <w:rPr>
                <w:color w:val="000000"/>
                <w:sz w:val="24"/>
                <w:szCs w:val="24"/>
              </w:rPr>
            </w:pPr>
            <w:r w:rsidRPr="00414345">
              <w:rPr>
                <w:rFonts w:hAnsi="宋体"/>
                <w:color w:val="000000"/>
                <w:sz w:val="24"/>
                <w:szCs w:val="24"/>
              </w:rPr>
              <w:t>贵金属投资</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rFonts w:eastAsiaTheme="minorEastAsia"/>
                <w:color w:val="000000"/>
                <w:sz w:val="24"/>
                <w:szCs w:val="24"/>
              </w:rPr>
              <w:t>-</w:t>
            </w:r>
          </w:p>
        </w:tc>
        <w:tc>
          <w:tcPr>
            <w:tcW w:w="1837" w:type="dxa"/>
            <w:vAlign w:val="center"/>
          </w:tcPr>
          <w:p w:rsidR="007D100C" w:rsidRPr="00414345" w:rsidRDefault="007D100C" w:rsidP="00C15CAC">
            <w:pPr>
              <w:spacing w:before="29" w:line="288" w:lineRule="auto"/>
              <w:ind w:left="17"/>
              <w:jc w:val="right"/>
              <w:rPr>
                <w:rFonts w:eastAsiaTheme="minorEastAsia"/>
                <w:color w:val="000000"/>
                <w:sz w:val="24"/>
                <w:szCs w:val="24"/>
              </w:rPr>
            </w:pPr>
            <w:r w:rsidRPr="00414345">
              <w:rPr>
                <w:rFonts w:eastAsiaTheme="minorEastAsia"/>
                <w:color w:val="000000"/>
                <w:sz w:val="24"/>
                <w:szCs w:val="24"/>
              </w:rPr>
              <w:t>-</w:t>
            </w:r>
          </w:p>
        </w:tc>
      </w:tr>
      <w:tr w:rsidR="007D100C" w:rsidRPr="00414345" w:rsidTr="007D100C">
        <w:trPr>
          <w:jc w:val="center"/>
        </w:trPr>
        <w:tc>
          <w:tcPr>
            <w:tcW w:w="718" w:type="dxa"/>
            <w:vAlign w:val="center"/>
          </w:tcPr>
          <w:p w:rsidR="007D100C" w:rsidRPr="00414345" w:rsidRDefault="00C012F9" w:rsidP="00C15CAC">
            <w:pPr>
              <w:spacing w:before="29" w:line="288" w:lineRule="auto"/>
              <w:ind w:left="17"/>
              <w:jc w:val="center"/>
              <w:rPr>
                <w:color w:val="000000"/>
                <w:sz w:val="24"/>
                <w:szCs w:val="24"/>
              </w:rPr>
            </w:pPr>
            <w:r w:rsidRPr="00414345">
              <w:rPr>
                <w:color w:val="000000"/>
                <w:sz w:val="24"/>
                <w:szCs w:val="24"/>
              </w:rPr>
              <w:t>4</w:t>
            </w: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金融衍生品投资</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C012F9" w:rsidP="00C15CAC">
            <w:pPr>
              <w:spacing w:before="29" w:line="288" w:lineRule="auto"/>
              <w:ind w:left="17"/>
              <w:jc w:val="center"/>
              <w:rPr>
                <w:color w:val="000000"/>
                <w:sz w:val="24"/>
                <w:szCs w:val="24"/>
              </w:rPr>
            </w:pPr>
            <w:r w:rsidRPr="00414345">
              <w:rPr>
                <w:color w:val="000000"/>
                <w:sz w:val="24"/>
                <w:szCs w:val="24"/>
              </w:rPr>
              <w:t>5</w:t>
            </w: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买入返售金融资产</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其中：买断式回购的买入返售金融资产</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C012F9" w:rsidP="00C15CAC">
            <w:pPr>
              <w:spacing w:before="29" w:line="288" w:lineRule="auto"/>
              <w:ind w:left="17"/>
              <w:jc w:val="center"/>
              <w:rPr>
                <w:color w:val="000000"/>
                <w:sz w:val="24"/>
                <w:szCs w:val="24"/>
              </w:rPr>
            </w:pPr>
            <w:r w:rsidRPr="00414345">
              <w:rPr>
                <w:color w:val="000000"/>
                <w:sz w:val="24"/>
                <w:szCs w:val="24"/>
              </w:rPr>
              <w:t>6</w:t>
            </w: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银行存款和结算备付金合计</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35,830,641.22</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37.55</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r w:rsidRPr="00414345">
              <w:rPr>
                <w:color w:val="000000"/>
                <w:sz w:val="24"/>
                <w:szCs w:val="24"/>
              </w:rPr>
              <w:t>7</w:t>
            </w:r>
          </w:p>
        </w:tc>
        <w:tc>
          <w:tcPr>
            <w:tcW w:w="3346" w:type="dxa"/>
            <w:vAlign w:val="center"/>
          </w:tcPr>
          <w:p w:rsidR="007D100C" w:rsidRPr="00414345" w:rsidRDefault="0015710B" w:rsidP="00C15CAC">
            <w:pPr>
              <w:spacing w:before="29" w:line="288" w:lineRule="auto"/>
              <w:jc w:val="left"/>
              <w:rPr>
                <w:sz w:val="24"/>
                <w:szCs w:val="24"/>
              </w:rPr>
            </w:pPr>
            <w:r w:rsidRPr="00414345">
              <w:rPr>
                <w:color w:val="000000"/>
                <w:sz w:val="24"/>
                <w:szCs w:val="24"/>
              </w:rPr>
              <w:t>其他</w:t>
            </w:r>
            <w:r w:rsidR="007D100C" w:rsidRPr="00414345">
              <w:rPr>
                <w:color w:val="000000"/>
                <w:sz w:val="24"/>
                <w:szCs w:val="24"/>
              </w:rPr>
              <w:t>资产</w:t>
            </w:r>
          </w:p>
        </w:tc>
        <w:tc>
          <w:tcPr>
            <w:tcW w:w="296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128,755.06</w:t>
            </w:r>
          </w:p>
        </w:tc>
        <w:tc>
          <w:tcPr>
            <w:tcW w:w="183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0.13</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r w:rsidRPr="00414345">
              <w:rPr>
                <w:color w:val="000000"/>
                <w:sz w:val="24"/>
                <w:szCs w:val="24"/>
              </w:rPr>
              <w:t>8</w:t>
            </w:r>
          </w:p>
        </w:tc>
        <w:tc>
          <w:tcPr>
            <w:tcW w:w="3346" w:type="dxa"/>
            <w:vAlign w:val="center"/>
          </w:tcPr>
          <w:p w:rsidR="007D100C" w:rsidRPr="00414345" w:rsidRDefault="007D100C" w:rsidP="00C15CAC">
            <w:pPr>
              <w:spacing w:before="29" w:line="288" w:lineRule="auto"/>
              <w:jc w:val="left"/>
              <w:rPr>
                <w:sz w:val="24"/>
                <w:szCs w:val="24"/>
              </w:rPr>
            </w:pPr>
            <w:r w:rsidRPr="00414345">
              <w:rPr>
                <w:color w:val="000000"/>
                <w:sz w:val="24"/>
                <w:szCs w:val="24"/>
              </w:rPr>
              <w:t>合计</w:t>
            </w:r>
          </w:p>
        </w:tc>
        <w:tc>
          <w:tcPr>
            <w:tcW w:w="296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95,408,650.39</w:t>
            </w:r>
          </w:p>
        </w:tc>
        <w:tc>
          <w:tcPr>
            <w:tcW w:w="183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100.00</w:t>
            </w:r>
          </w:p>
        </w:tc>
      </w:tr>
    </w:tbl>
    <w:p w:rsidR="004061AC" w:rsidRPr="00414345" w:rsidRDefault="004061AC" w:rsidP="00C15CAC">
      <w:pPr>
        <w:autoSpaceDE w:val="0"/>
        <w:autoSpaceDN w:val="0"/>
        <w:adjustRightInd w:val="0"/>
        <w:spacing w:before="29" w:line="288" w:lineRule="auto"/>
        <w:jc w:val="left"/>
        <w:rPr>
          <w:color w:val="00000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5.2 </w:t>
      </w:r>
      <w:r w:rsidRPr="00414345">
        <w:rPr>
          <w:b/>
          <w:bCs/>
          <w:color w:val="000000"/>
          <w:kern w:val="0"/>
          <w:sz w:val="24"/>
          <w:szCs w:val="24"/>
        </w:rPr>
        <w:t>报告期末按行业分类的股票投资组合</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 w:type="dxa"/>
          <w:left w:w="0" w:type="dxa"/>
          <w:bottom w:w="-1" w:type="dxa"/>
          <w:right w:w="0" w:type="dxa"/>
        </w:tblCellMar>
        <w:tblLook w:val="0000" w:firstRow="0" w:lastRow="0" w:firstColumn="0" w:lastColumn="0" w:noHBand="0" w:noVBand="0"/>
      </w:tblPr>
      <w:tblGrid>
        <w:gridCol w:w="845"/>
        <w:gridCol w:w="3544"/>
        <w:gridCol w:w="2841"/>
        <w:gridCol w:w="1638"/>
      </w:tblGrid>
      <w:tr w:rsidR="00531F10" w:rsidRPr="00414345" w:rsidTr="006C2C1B">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代码</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行业类别</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公允价值（元）</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占基金资产净值比例（％）</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A</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农、林、牧、渔业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B</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采矿业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C</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制造业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29,058,900.16</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31.84</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D</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电力、热力、燃气及水生产和供应业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E</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建筑业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3,312,993.00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3.63</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F</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批发和零售业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2,999,366.60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3.29</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G</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交通运输、仓储和邮政业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4,311,307.00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4.72</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lastRenderedPageBreak/>
              <w:t>H</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住宿和餐饮业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DC28F1">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I</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DC28F1">
            <w:pPr>
              <w:adjustRightInd w:val="0"/>
              <w:snapToGrid w:val="0"/>
              <w:spacing w:before="29" w:line="288" w:lineRule="auto"/>
              <w:rPr>
                <w:sz w:val="24"/>
                <w:szCs w:val="24"/>
              </w:rPr>
            </w:pPr>
            <w:r w:rsidRPr="00414345">
              <w:rPr>
                <w:sz w:val="24"/>
                <w:szCs w:val="24"/>
              </w:rPr>
              <w:t>信息传输、软件和信息技术服务业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4,303,894.98</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4.72</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J</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金融业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4,210,275.60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4.61</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K</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房地产业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L</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租赁和商务服务业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1,433,000.00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1.57</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M</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科学研究和技术服务业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1,124,430.00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1.23</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N</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水利、环境和公共设施管理业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7,307,346.77</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8.01</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O</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居民服务、修理和其他服务业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P</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教育</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Q</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卫生和社会工作</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R</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文化、体育和娱乐业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1,387,740.00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1.52</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S</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综合</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合计</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59,449,254.11</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65.14</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5.3 </w:t>
      </w:r>
      <w:r w:rsidRPr="00414345">
        <w:rPr>
          <w:b/>
          <w:bCs/>
          <w:color w:val="000000"/>
          <w:kern w:val="0"/>
          <w:sz w:val="24"/>
          <w:szCs w:val="24"/>
        </w:rPr>
        <w:t>报告期末按公允价值占基金资产净值比例大小排序的前十名股票投资明细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55"/>
        <w:gridCol w:w="1334"/>
        <w:gridCol w:w="1777"/>
        <w:gridCol w:w="1334"/>
        <w:gridCol w:w="1924"/>
        <w:gridCol w:w="1644"/>
      </w:tblGrid>
      <w:tr w:rsidR="00AC592E" w:rsidRPr="00414345" w:rsidTr="00A324F4">
        <w:trPr>
          <w:jc w:val="center"/>
        </w:trPr>
        <w:tc>
          <w:tcPr>
            <w:tcW w:w="869"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序号</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股票代码</w:t>
            </w:r>
          </w:p>
        </w:tc>
        <w:tc>
          <w:tcPr>
            <w:tcW w:w="1810"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股票名称</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数量</w:t>
            </w:r>
            <w:r w:rsidR="00B47982" w:rsidRPr="00414345">
              <w:rPr>
                <w:color w:val="000000"/>
                <w:sz w:val="24"/>
              </w:rPr>
              <w:t>（股）</w:t>
            </w:r>
          </w:p>
        </w:tc>
        <w:tc>
          <w:tcPr>
            <w:tcW w:w="1960" w:type="dxa"/>
            <w:vAlign w:val="center"/>
          </w:tcPr>
          <w:p w:rsidR="00853140" w:rsidRPr="00414345" w:rsidRDefault="00853140"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674"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占基金资产净值比例</w:t>
            </w:r>
            <w:r w:rsidR="00B47982" w:rsidRPr="00414345">
              <w:rPr>
                <w:color w:val="000000"/>
                <w:sz w:val="24"/>
              </w:rPr>
              <w:t>（％）</w:t>
            </w:r>
          </w:p>
        </w:tc>
      </w:tr>
      <w:tr w:rsidR="00384A2D">
        <w:trPr>
          <w:jc w:val="center"/>
        </w:trPr>
        <w:tc>
          <w:tcPr>
            <w:tcW w:w="855" w:type="dxa"/>
            <w:vAlign w:val="center"/>
          </w:tcPr>
          <w:p w:rsidR="00384A2D" w:rsidRDefault="00B32EA8">
            <w:pPr>
              <w:jc w:val="center"/>
            </w:pPr>
            <w:r>
              <w:rPr>
                <w:color w:val="000000"/>
                <w:sz w:val="24"/>
                <w:szCs w:val="24"/>
              </w:rPr>
              <w:t>1</w:t>
            </w:r>
          </w:p>
        </w:tc>
        <w:tc>
          <w:tcPr>
            <w:tcW w:w="1334" w:type="dxa"/>
            <w:vAlign w:val="center"/>
          </w:tcPr>
          <w:p w:rsidR="00384A2D" w:rsidRDefault="00B32EA8">
            <w:pPr>
              <w:jc w:val="center"/>
            </w:pPr>
            <w:r>
              <w:rPr>
                <w:color w:val="000000"/>
                <w:sz w:val="24"/>
                <w:szCs w:val="24"/>
              </w:rPr>
              <w:t>600054</w:t>
            </w:r>
          </w:p>
        </w:tc>
        <w:tc>
          <w:tcPr>
            <w:tcW w:w="1777" w:type="dxa"/>
            <w:vAlign w:val="center"/>
          </w:tcPr>
          <w:p w:rsidR="00384A2D" w:rsidRDefault="00B32EA8">
            <w:pPr>
              <w:jc w:val="center"/>
            </w:pPr>
            <w:r>
              <w:rPr>
                <w:color w:val="000000"/>
                <w:sz w:val="24"/>
                <w:szCs w:val="24"/>
              </w:rPr>
              <w:t>黄山旅游</w:t>
            </w:r>
          </w:p>
        </w:tc>
        <w:tc>
          <w:tcPr>
            <w:tcW w:w="1334" w:type="dxa"/>
            <w:vAlign w:val="center"/>
          </w:tcPr>
          <w:p w:rsidR="00384A2D" w:rsidRDefault="00B32EA8">
            <w:pPr>
              <w:jc w:val="right"/>
            </w:pPr>
            <w:r>
              <w:rPr>
                <w:color w:val="000000"/>
                <w:sz w:val="24"/>
                <w:szCs w:val="24"/>
              </w:rPr>
              <w:t>224,500</w:t>
            </w:r>
          </w:p>
        </w:tc>
        <w:tc>
          <w:tcPr>
            <w:tcW w:w="1924" w:type="dxa"/>
            <w:vAlign w:val="center"/>
          </w:tcPr>
          <w:p w:rsidR="00384A2D" w:rsidRDefault="00B32EA8">
            <w:pPr>
              <w:jc w:val="right"/>
            </w:pPr>
            <w:r>
              <w:rPr>
                <w:color w:val="000000"/>
                <w:sz w:val="24"/>
                <w:szCs w:val="24"/>
              </w:rPr>
              <w:t>4,323,870.00</w:t>
            </w:r>
          </w:p>
        </w:tc>
        <w:tc>
          <w:tcPr>
            <w:tcW w:w="1644" w:type="dxa"/>
            <w:vAlign w:val="center"/>
          </w:tcPr>
          <w:p w:rsidR="00384A2D" w:rsidRDefault="00B32EA8">
            <w:pPr>
              <w:jc w:val="right"/>
            </w:pPr>
            <w:r>
              <w:rPr>
                <w:color w:val="000000"/>
                <w:sz w:val="24"/>
                <w:szCs w:val="24"/>
              </w:rPr>
              <w:t>4.74</w:t>
            </w:r>
          </w:p>
        </w:tc>
      </w:tr>
      <w:tr w:rsidR="00384A2D">
        <w:trPr>
          <w:jc w:val="center"/>
        </w:trPr>
        <w:tc>
          <w:tcPr>
            <w:tcW w:w="855" w:type="dxa"/>
            <w:vAlign w:val="center"/>
          </w:tcPr>
          <w:p w:rsidR="00384A2D" w:rsidRDefault="00B32EA8">
            <w:pPr>
              <w:jc w:val="center"/>
            </w:pPr>
            <w:r>
              <w:rPr>
                <w:color w:val="000000"/>
                <w:sz w:val="24"/>
                <w:szCs w:val="24"/>
              </w:rPr>
              <w:t>2</w:t>
            </w:r>
          </w:p>
        </w:tc>
        <w:tc>
          <w:tcPr>
            <w:tcW w:w="1334" w:type="dxa"/>
            <w:vAlign w:val="center"/>
          </w:tcPr>
          <w:p w:rsidR="00384A2D" w:rsidRDefault="00B32EA8">
            <w:pPr>
              <w:jc w:val="center"/>
            </w:pPr>
            <w:r>
              <w:rPr>
                <w:color w:val="000000"/>
                <w:sz w:val="24"/>
                <w:szCs w:val="24"/>
              </w:rPr>
              <w:t>000630</w:t>
            </w:r>
          </w:p>
        </w:tc>
        <w:tc>
          <w:tcPr>
            <w:tcW w:w="1777" w:type="dxa"/>
            <w:vAlign w:val="center"/>
          </w:tcPr>
          <w:p w:rsidR="00384A2D" w:rsidRDefault="00B32EA8">
            <w:pPr>
              <w:jc w:val="center"/>
            </w:pPr>
            <w:r>
              <w:rPr>
                <w:color w:val="000000"/>
                <w:sz w:val="24"/>
                <w:szCs w:val="24"/>
              </w:rPr>
              <w:t>铜陵有色</w:t>
            </w:r>
          </w:p>
        </w:tc>
        <w:tc>
          <w:tcPr>
            <w:tcW w:w="1334" w:type="dxa"/>
            <w:vAlign w:val="center"/>
          </w:tcPr>
          <w:p w:rsidR="00384A2D" w:rsidRDefault="00B32EA8">
            <w:pPr>
              <w:jc w:val="right"/>
            </w:pPr>
            <w:r>
              <w:rPr>
                <w:color w:val="000000"/>
                <w:sz w:val="24"/>
                <w:szCs w:val="24"/>
              </w:rPr>
              <w:t>1,636,000</w:t>
            </w:r>
          </w:p>
        </w:tc>
        <w:tc>
          <w:tcPr>
            <w:tcW w:w="1924" w:type="dxa"/>
            <w:vAlign w:val="center"/>
          </w:tcPr>
          <w:p w:rsidR="00384A2D" w:rsidRDefault="00B32EA8">
            <w:pPr>
              <w:jc w:val="right"/>
            </w:pPr>
            <w:r>
              <w:rPr>
                <w:color w:val="000000"/>
                <w:sz w:val="24"/>
                <w:szCs w:val="24"/>
              </w:rPr>
              <w:t>3,779,160.00</w:t>
            </w:r>
          </w:p>
        </w:tc>
        <w:tc>
          <w:tcPr>
            <w:tcW w:w="1644" w:type="dxa"/>
            <w:vAlign w:val="center"/>
          </w:tcPr>
          <w:p w:rsidR="00384A2D" w:rsidRDefault="00B32EA8">
            <w:pPr>
              <w:jc w:val="right"/>
            </w:pPr>
            <w:r>
              <w:rPr>
                <w:color w:val="000000"/>
                <w:sz w:val="24"/>
                <w:szCs w:val="24"/>
              </w:rPr>
              <w:t>4.14</w:t>
            </w:r>
          </w:p>
        </w:tc>
      </w:tr>
      <w:tr w:rsidR="00384A2D">
        <w:trPr>
          <w:jc w:val="center"/>
        </w:trPr>
        <w:tc>
          <w:tcPr>
            <w:tcW w:w="855" w:type="dxa"/>
            <w:vAlign w:val="center"/>
          </w:tcPr>
          <w:p w:rsidR="00384A2D" w:rsidRDefault="00B32EA8">
            <w:pPr>
              <w:jc w:val="center"/>
            </w:pPr>
            <w:r>
              <w:rPr>
                <w:color w:val="000000"/>
                <w:sz w:val="24"/>
                <w:szCs w:val="24"/>
              </w:rPr>
              <w:t>3</w:t>
            </w:r>
          </w:p>
        </w:tc>
        <w:tc>
          <w:tcPr>
            <w:tcW w:w="1334" w:type="dxa"/>
            <w:vAlign w:val="center"/>
          </w:tcPr>
          <w:p w:rsidR="00384A2D" w:rsidRDefault="00B32EA8">
            <w:pPr>
              <w:jc w:val="center"/>
            </w:pPr>
            <w:r>
              <w:rPr>
                <w:color w:val="000000"/>
                <w:sz w:val="24"/>
                <w:szCs w:val="24"/>
              </w:rPr>
              <w:t>002390</w:t>
            </w:r>
          </w:p>
        </w:tc>
        <w:tc>
          <w:tcPr>
            <w:tcW w:w="1777" w:type="dxa"/>
            <w:vAlign w:val="center"/>
          </w:tcPr>
          <w:p w:rsidR="00384A2D" w:rsidRDefault="00B32EA8">
            <w:pPr>
              <w:jc w:val="center"/>
            </w:pPr>
            <w:r>
              <w:rPr>
                <w:color w:val="000000"/>
                <w:sz w:val="24"/>
                <w:szCs w:val="24"/>
              </w:rPr>
              <w:t>信邦制药</w:t>
            </w:r>
          </w:p>
        </w:tc>
        <w:tc>
          <w:tcPr>
            <w:tcW w:w="1334" w:type="dxa"/>
            <w:vAlign w:val="center"/>
          </w:tcPr>
          <w:p w:rsidR="00384A2D" w:rsidRDefault="00B32EA8">
            <w:pPr>
              <w:jc w:val="right"/>
            </w:pPr>
            <w:r>
              <w:rPr>
                <w:color w:val="000000"/>
                <w:sz w:val="24"/>
                <w:szCs w:val="24"/>
              </w:rPr>
              <w:t>219,600</w:t>
            </w:r>
          </w:p>
        </w:tc>
        <w:tc>
          <w:tcPr>
            <w:tcW w:w="1924" w:type="dxa"/>
            <w:vAlign w:val="center"/>
          </w:tcPr>
          <w:p w:rsidR="00384A2D" w:rsidRDefault="00B32EA8">
            <w:pPr>
              <w:jc w:val="right"/>
            </w:pPr>
            <w:r>
              <w:rPr>
                <w:color w:val="000000"/>
                <w:sz w:val="24"/>
                <w:szCs w:val="24"/>
              </w:rPr>
              <w:t>2,281,644.00</w:t>
            </w:r>
          </w:p>
        </w:tc>
        <w:tc>
          <w:tcPr>
            <w:tcW w:w="1644" w:type="dxa"/>
            <w:vAlign w:val="center"/>
          </w:tcPr>
          <w:p w:rsidR="00384A2D" w:rsidRDefault="00B32EA8">
            <w:pPr>
              <w:jc w:val="right"/>
            </w:pPr>
            <w:r>
              <w:rPr>
                <w:color w:val="000000"/>
                <w:sz w:val="24"/>
                <w:szCs w:val="24"/>
              </w:rPr>
              <w:t>2.50</w:t>
            </w:r>
          </w:p>
        </w:tc>
      </w:tr>
      <w:tr w:rsidR="00384A2D">
        <w:trPr>
          <w:jc w:val="center"/>
        </w:trPr>
        <w:tc>
          <w:tcPr>
            <w:tcW w:w="855" w:type="dxa"/>
            <w:vAlign w:val="center"/>
          </w:tcPr>
          <w:p w:rsidR="00384A2D" w:rsidRDefault="00B32EA8">
            <w:pPr>
              <w:jc w:val="center"/>
            </w:pPr>
            <w:r>
              <w:rPr>
                <w:color w:val="000000"/>
                <w:sz w:val="24"/>
                <w:szCs w:val="24"/>
              </w:rPr>
              <w:t>4</w:t>
            </w:r>
          </w:p>
        </w:tc>
        <w:tc>
          <w:tcPr>
            <w:tcW w:w="1334" w:type="dxa"/>
            <w:vAlign w:val="center"/>
          </w:tcPr>
          <w:p w:rsidR="00384A2D" w:rsidRDefault="00B32EA8">
            <w:pPr>
              <w:jc w:val="center"/>
            </w:pPr>
            <w:r>
              <w:rPr>
                <w:color w:val="000000"/>
                <w:sz w:val="24"/>
                <w:szCs w:val="24"/>
              </w:rPr>
              <w:t>002573</w:t>
            </w:r>
          </w:p>
        </w:tc>
        <w:tc>
          <w:tcPr>
            <w:tcW w:w="1777" w:type="dxa"/>
            <w:vAlign w:val="center"/>
          </w:tcPr>
          <w:p w:rsidR="00384A2D" w:rsidRDefault="00B32EA8">
            <w:pPr>
              <w:jc w:val="center"/>
            </w:pPr>
            <w:r>
              <w:rPr>
                <w:color w:val="000000"/>
                <w:sz w:val="24"/>
                <w:szCs w:val="24"/>
              </w:rPr>
              <w:t>清新环境</w:t>
            </w:r>
          </w:p>
        </w:tc>
        <w:tc>
          <w:tcPr>
            <w:tcW w:w="1334" w:type="dxa"/>
            <w:vAlign w:val="center"/>
          </w:tcPr>
          <w:p w:rsidR="00384A2D" w:rsidRDefault="00B32EA8">
            <w:pPr>
              <w:jc w:val="right"/>
            </w:pPr>
            <w:r>
              <w:rPr>
                <w:color w:val="000000"/>
                <w:sz w:val="24"/>
                <w:szCs w:val="24"/>
              </w:rPr>
              <w:t>119,179</w:t>
            </w:r>
          </w:p>
        </w:tc>
        <w:tc>
          <w:tcPr>
            <w:tcW w:w="1924" w:type="dxa"/>
            <w:vAlign w:val="center"/>
          </w:tcPr>
          <w:p w:rsidR="00384A2D" w:rsidRDefault="00B32EA8">
            <w:pPr>
              <w:jc w:val="right"/>
            </w:pPr>
            <w:r>
              <w:rPr>
                <w:color w:val="000000"/>
                <w:sz w:val="24"/>
                <w:szCs w:val="24"/>
              </w:rPr>
              <w:t>2,101,125.77</w:t>
            </w:r>
          </w:p>
        </w:tc>
        <w:tc>
          <w:tcPr>
            <w:tcW w:w="1644" w:type="dxa"/>
            <w:vAlign w:val="center"/>
          </w:tcPr>
          <w:p w:rsidR="00384A2D" w:rsidRDefault="00B32EA8">
            <w:pPr>
              <w:jc w:val="right"/>
            </w:pPr>
            <w:r>
              <w:rPr>
                <w:color w:val="000000"/>
                <w:sz w:val="24"/>
                <w:szCs w:val="24"/>
              </w:rPr>
              <w:t>2.30</w:t>
            </w:r>
          </w:p>
        </w:tc>
      </w:tr>
      <w:tr w:rsidR="00384A2D">
        <w:trPr>
          <w:jc w:val="center"/>
        </w:trPr>
        <w:tc>
          <w:tcPr>
            <w:tcW w:w="855" w:type="dxa"/>
            <w:vAlign w:val="center"/>
          </w:tcPr>
          <w:p w:rsidR="00384A2D" w:rsidRDefault="00B32EA8">
            <w:pPr>
              <w:jc w:val="center"/>
            </w:pPr>
            <w:r>
              <w:rPr>
                <w:color w:val="000000"/>
                <w:sz w:val="24"/>
                <w:szCs w:val="24"/>
              </w:rPr>
              <w:t>5</w:t>
            </w:r>
          </w:p>
        </w:tc>
        <w:tc>
          <w:tcPr>
            <w:tcW w:w="1334" w:type="dxa"/>
            <w:vAlign w:val="center"/>
          </w:tcPr>
          <w:p w:rsidR="00384A2D" w:rsidRDefault="00B32EA8">
            <w:pPr>
              <w:jc w:val="center"/>
            </w:pPr>
            <w:r>
              <w:rPr>
                <w:color w:val="000000"/>
                <w:sz w:val="24"/>
                <w:szCs w:val="24"/>
              </w:rPr>
              <w:t>000768</w:t>
            </w:r>
          </w:p>
        </w:tc>
        <w:tc>
          <w:tcPr>
            <w:tcW w:w="1777" w:type="dxa"/>
            <w:vAlign w:val="center"/>
          </w:tcPr>
          <w:p w:rsidR="00384A2D" w:rsidRDefault="00B32EA8">
            <w:pPr>
              <w:jc w:val="center"/>
            </w:pPr>
            <w:r>
              <w:rPr>
                <w:color w:val="000000"/>
                <w:sz w:val="24"/>
                <w:szCs w:val="24"/>
              </w:rPr>
              <w:t>中航飞机</w:t>
            </w:r>
          </w:p>
        </w:tc>
        <w:tc>
          <w:tcPr>
            <w:tcW w:w="1334" w:type="dxa"/>
            <w:vAlign w:val="center"/>
          </w:tcPr>
          <w:p w:rsidR="00384A2D" w:rsidRDefault="00B32EA8">
            <w:pPr>
              <w:jc w:val="right"/>
            </w:pPr>
            <w:r>
              <w:rPr>
                <w:color w:val="000000"/>
                <w:sz w:val="24"/>
                <w:szCs w:val="24"/>
              </w:rPr>
              <w:t>76,898</w:t>
            </w:r>
          </w:p>
        </w:tc>
        <w:tc>
          <w:tcPr>
            <w:tcW w:w="1924" w:type="dxa"/>
            <w:vAlign w:val="center"/>
          </w:tcPr>
          <w:p w:rsidR="00384A2D" w:rsidRDefault="00B32EA8">
            <w:pPr>
              <w:jc w:val="right"/>
            </w:pPr>
            <w:r>
              <w:rPr>
                <w:color w:val="000000"/>
                <w:sz w:val="24"/>
                <w:szCs w:val="24"/>
              </w:rPr>
              <w:t>1,724,822.14</w:t>
            </w:r>
          </w:p>
        </w:tc>
        <w:tc>
          <w:tcPr>
            <w:tcW w:w="1644" w:type="dxa"/>
            <w:vAlign w:val="center"/>
          </w:tcPr>
          <w:p w:rsidR="00384A2D" w:rsidRDefault="00B32EA8">
            <w:pPr>
              <w:jc w:val="right"/>
            </w:pPr>
            <w:r>
              <w:rPr>
                <w:color w:val="000000"/>
                <w:sz w:val="24"/>
                <w:szCs w:val="24"/>
              </w:rPr>
              <w:t>1.89</w:t>
            </w:r>
          </w:p>
        </w:tc>
      </w:tr>
      <w:tr w:rsidR="00384A2D">
        <w:trPr>
          <w:jc w:val="center"/>
        </w:trPr>
        <w:tc>
          <w:tcPr>
            <w:tcW w:w="855" w:type="dxa"/>
            <w:vAlign w:val="center"/>
          </w:tcPr>
          <w:p w:rsidR="00384A2D" w:rsidRDefault="00B32EA8">
            <w:pPr>
              <w:jc w:val="center"/>
            </w:pPr>
            <w:r>
              <w:rPr>
                <w:color w:val="000000"/>
                <w:sz w:val="24"/>
                <w:szCs w:val="24"/>
              </w:rPr>
              <w:t>6</w:t>
            </w:r>
          </w:p>
        </w:tc>
        <w:tc>
          <w:tcPr>
            <w:tcW w:w="1334" w:type="dxa"/>
            <w:vAlign w:val="center"/>
          </w:tcPr>
          <w:p w:rsidR="00384A2D" w:rsidRDefault="00B32EA8">
            <w:pPr>
              <w:jc w:val="center"/>
            </w:pPr>
            <w:r>
              <w:rPr>
                <w:color w:val="000000"/>
                <w:sz w:val="24"/>
                <w:szCs w:val="24"/>
              </w:rPr>
              <w:t>600009</w:t>
            </w:r>
          </w:p>
        </w:tc>
        <w:tc>
          <w:tcPr>
            <w:tcW w:w="1777" w:type="dxa"/>
            <w:vAlign w:val="center"/>
          </w:tcPr>
          <w:p w:rsidR="00384A2D" w:rsidRDefault="00B32EA8">
            <w:pPr>
              <w:jc w:val="center"/>
            </w:pPr>
            <w:r>
              <w:rPr>
                <w:color w:val="000000"/>
                <w:sz w:val="24"/>
                <w:szCs w:val="24"/>
              </w:rPr>
              <w:t>上海机场</w:t>
            </w:r>
          </w:p>
        </w:tc>
        <w:tc>
          <w:tcPr>
            <w:tcW w:w="1334" w:type="dxa"/>
            <w:vAlign w:val="center"/>
          </w:tcPr>
          <w:p w:rsidR="00384A2D" w:rsidRDefault="00B32EA8">
            <w:pPr>
              <w:jc w:val="right"/>
            </w:pPr>
            <w:r>
              <w:rPr>
                <w:color w:val="000000"/>
                <w:sz w:val="24"/>
                <w:szCs w:val="24"/>
              </w:rPr>
              <w:t>61,200</w:t>
            </w:r>
          </w:p>
        </w:tc>
        <w:tc>
          <w:tcPr>
            <w:tcW w:w="1924" w:type="dxa"/>
            <w:vAlign w:val="center"/>
          </w:tcPr>
          <w:p w:rsidR="00384A2D" w:rsidRDefault="00B32EA8">
            <w:pPr>
              <w:jc w:val="right"/>
            </w:pPr>
            <w:r>
              <w:rPr>
                <w:color w:val="000000"/>
                <w:sz w:val="24"/>
                <w:szCs w:val="24"/>
              </w:rPr>
              <w:t>1,696,464.00</w:t>
            </w:r>
          </w:p>
        </w:tc>
        <w:tc>
          <w:tcPr>
            <w:tcW w:w="1644" w:type="dxa"/>
            <w:vAlign w:val="center"/>
          </w:tcPr>
          <w:p w:rsidR="00384A2D" w:rsidRDefault="00B32EA8">
            <w:pPr>
              <w:jc w:val="right"/>
            </w:pPr>
            <w:r>
              <w:rPr>
                <w:color w:val="000000"/>
                <w:sz w:val="24"/>
                <w:szCs w:val="24"/>
              </w:rPr>
              <w:t>1.86</w:t>
            </w:r>
          </w:p>
        </w:tc>
      </w:tr>
      <w:tr w:rsidR="00384A2D">
        <w:trPr>
          <w:jc w:val="center"/>
        </w:trPr>
        <w:tc>
          <w:tcPr>
            <w:tcW w:w="855" w:type="dxa"/>
            <w:vAlign w:val="center"/>
          </w:tcPr>
          <w:p w:rsidR="00384A2D" w:rsidRDefault="00B32EA8">
            <w:pPr>
              <w:jc w:val="center"/>
            </w:pPr>
            <w:r>
              <w:rPr>
                <w:color w:val="000000"/>
                <w:sz w:val="24"/>
                <w:szCs w:val="24"/>
              </w:rPr>
              <w:t>7</w:t>
            </w:r>
          </w:p>
        </w:tc>
        <w:tc>
          <w:tcPr>
            <w:tcW w:w="1334" w:type="dxa"/>
            <w:vAlign w:val="center"/>
          </w:tcPr>
          <w:p w:rsidR="00384A2D" w:rsidRDefault="00B32EA8">
            <w:pPr>
              <w:jc w:val="center"/>
            </w:pPr>
            <w:r>
              <w:rPr>
                <w:color w:val="000000"/>
                <w:sz w:val="24"/>
                <w:szCs w:val="24"/>
              </w:rPr>
              <w:t>300212</w:t>
            </w:r>
          </w:p>
        </w:tc>
        <w:tc>
          <w:tcPr>
            <w:tcW w:w="1777" w:type="dxa"/>
            <w:vAlign w:val="center"/>
          </w:tcPr>
          <w:p w:rsidR="00384A2D" w:rsidRDefault="00B32EA8">
            <w:pPr>
              <w:jc w:val="center"/>
            </w:pPr>
            <w:r>
              <w:rPr>
                <w:color w:val="000000"/>
                <w:sz w:val="24"/>
                <w:szCs w:val="24"/>
              </w:rPr>
              <w:t>易华录</w:t>
            </w:r>
          </w:p>
        </w:tc>
        <w:tc>
          <w:tcPr>
            <w:tcW w:w="1334" w:type="dxa"/>
            <w:vAlign w:val="center"/>
          </w:tcPr>
          <w:p w:rsidR="00384A2D" w:rsidRDefault="00B32EA8">
            <w:pPr>
              <w:jc w:val="right"/>
            </w:pPr>
            <w:r>
              <w:rPr>
                <w:color w:val="000000"/>
                <w:sz w:val="24"/>
                <w:szCs w:val="24"/>
              </w:rPr>
              <w:t>45,700</w:t>
            </w:r>
          </w:p>
        </w:tc>
        <w:tc>
          <w:tcPr>
            <w:tcW w:w="1924" w:type="dxa"/>
            <w:vAlign w:val="center"/>
          </w:tcPr>
          <w:p w:rsidR="00384A2D" w:rsidRDefault="00B32EA8">
            <w:pPr>
              <w:jc w:val="right"/>
            </w:pPr>
            <w:r>
              <w:rPr>
                <w:color w:val="000000"/>
                <w:sz w:val="24"/>
                <w:szCs w:val="24"/>
              </w:rPr>
              <w:t>1,558,370.00</w:t>
            </w:r>
          </w:p>
        </w:tc>
        <w:tc>
          <w:tcPr>
            <w:tcW w:w="1644" w:type="dxa"/>
            <w:vAlign w:val="center"/>
          </w:tcPr>
          <w:p w:rsidR="00384A2D" w:rsidRDefault="00B32EA8">
            <w:pPr>
              <w:jc w:val="right"/>
            </w:pPr>
            <w:r>
              <w:rPr>
                <w:color w:val="000000"/>
                <w:sz w:val="24"/>
                <w:szCs w:val="24"/>
              </w:rPr>
              <w:t>1.71</w:t>
            </w:r>
          </w:p>
        </w:tc>
      </w:tr>
      <w:tr w:rsidR="00384A2D">
        <w:trPr>
          <w:jc w:val="center"/>
        </w:trPr>
        <w:tc>
          <w:tcPr>
            <w:tcW w:w="855" w:type="dxa"/>
            <w:vAlign w:val="center"/>
          </w:tcPr>
          <w:p w:rsidR="00384A2D" w:rsidRDefault="00B32EA8">
            <w:pPr>
              <w:jc w:val="center"/>
            </w:pPr>
            <w:r>
              <w:rPr>
                <w:color w:val="000000"/>
                <w:sz w:val="24"/>
                <w:szCs w:val="24"/>
              </w:rPr>
              <w:t>8</w:t>
            </w:r>
          </w:p>
        </w:tc>
        <w:tc>
          <w:tcPr>
            <w:tcW w:w="1334" w:type="dxa"/>
            <w:vAlign w:val="center"/>
          </w:tcPr>
          <w:p w:rsidR="00384A2D" w:rsidRDefault="00B32EA8">
            <w:pPr>
              <w:jc w:val="center"/>
            </w:pPr>
            <w:r>
              <w:rPr>
                <w:color w:val="000000"/>
                <w:sz w:val="24"/>
                <w:szCs w:val="24"/>
              </w:rPr>
              <w:t>601021</w:t>
            </w:r>
          </w:p>
        </w:tc>
        <w:tc>
          <w:tcPr>
            <w:tcW w:w="1777" w:type="dxa"/>
            <w:vAlign w:val="center"/>
          </w:tcPr>
          <w:p w:rsidR="00384A2D" w:rsidRDefault="00B32EA8">
            <w:pPr>
              <w:jc w:val="center"/>
            </w:pPr>
            <w:r>
              <w:rPr>
                <w:color w:val="000000"/>
                <w:sz w:val="24"/>
                <w:szCs w:val="24"/>
              </w:rPr>
              <w:t>春秋航空</w:t>
            </w:r>
          </w:p>
        </w:tc>
        <w:tc>
          <w:tcPr>
            <w:tcW w:w="1334" w:type="dxa"/>
            <w:vAlign w:val="center"/>
          </w:tcPr>
          <w:p w:rsidR="00384A2D" w:rsidRDefault="00B32EA8">
            <w:pPr>
              <w:jc w:val="right"/>
            </w:pPr>
            <w:r>
              <w:rPr>
                <w:color w:val="000000"/>
                <w:sz w:val="24"/>
                <w:szCs w:val="24"/>
              </w:rPr>
              <w:t>13,300</w:t>
            </w:r>
          </w:p>
        </w:tc>
        <w:tc>
          <w:tcPr>
            <w:tcW w:w="1924" w:type="dxa"/>
            <w:vAlign w:val="center"/>
          </w:tcPr>
          <w:p w:rsidR="00384A2D" w:rsidRDefault="00B32EA8">
            <w:pPr>
              <w:jc w:val="right"/>
            </w:pPr>
            <w:r>
              <w:rPr>
                <w:color w:val="000000"/>
                <w:sz w:val="24"/>
                <w:szCs w:val="24"/>
              </w:rPr>
              <w:t>1,492,260.00</w:t>
            </w:r>
          </w:p>
        </w:tc>
        <w:tc>
          <w:tcPr>
            <w:tcW w:w="1644" w:type="dxa"/>
            <w:vAlign w:val="center"/>
          </w:tcPr>
          <w:p w:rsidR="00384A2D" w:rsidRDefault="00B32EA8">
            <w:pPr>
              <w:jc w:val="right"/>
            </w:pPr>
            <w:r>
              <w:rPr>
                <w:color w:val="000000"/>
                <w:sz w:val="24"/>
                <w:szCs w:val="24"/>
              </w:rPr>
              <w:t>1.64</w:t>
            </w:r>
          </w:p>
        </w:tc>
      </w:tr>
      <w:tr w:rsidR="00384A2D">
        <w:trPr>
          <w:jc w:val="center"/>
        </w:trPr>
        <w:tc>
          <w:tcPr>
            <w:tcW w:w="855" w:type="dxa"/>
            <w:vAlign w:val="center"/>
          </w:tcPr>
          <w:p w:rsidR="00384A2D" w:rsidRDefault="00B32EA8">
            <w:pPr>
              <w:jc w:val="center"/>
            </w:pPr>
            <w:r>
              <w:rPr>
                <w:color w:val="000000"/>
                <w:sz w:val="24"/>
                <w:szCs w:val="24"/>
              </w:rPr>
              <w:t>9</w:t>
            </w:r>
          </w:p>
        </w:tc>
        <w:tc>
          <w:tcPr>
            <w:tcW w:w="1334" w:type="dxa"/>
            <w:vAlign w:val="center"/>
          </w:tcPr>
          <w:p w:rsidR="00384A2D" w:rsidRDefault="00B32EA8">
            <w:pPr>
              <w:jc w:val="center"/>
            </w:pPr>
            <w:r>
              <w:rPr>
                <w:color w:val="000000"/>
                <w:sz w:val="24"/>
                <w:szCs w:val="24"/>
              </w:rPr>
              <w:t>002310</w:t>
            </w:r>
          </w:p>
        </w:tc>
        <w:tc>
          <w:tcPr>
            <w:tcW w:w="1777" w:type="dxa"/>
            <w:vAlign w:val="center"/>
          </w:tcPr>
          <w:p w:rsidR="00384A2D" w:rsidRDefault="00B32EA8">
            <w:pPr>
              <w:jc w:val="center"/>
            </w:pPr>
            <w:r>
              <w:rPr>
                <w:color w:val="000000"/>
                <w:sz w:val="24"/>
                <w:szCs w:val="24"/>
              </w:rPr>
              <w:t>东方园林</w:t>
            </w:r>
          </w:p>
        </w:tc>
        <w:tc>
          <w:tcPr>
            <w:tcW w:w="1334" w:type="dxa"/>
            <w:vAlign w:val="center"/>
          </w:tcPr>
          <w:p w:rsidR="00384A2D" w:rsidRDefault="00B32EA8">
            <w:pPr>
              <w:jc w:val="right"/>
            </w:pPr>
            <w:r>
              <w:rPr>
                <w:color w:val="000000"/>
                <w:sz w:val="24"/>
                <w:szCs w:val="24"/>
              </w:rPr>
              <w:t>72,400</w:t>
            </w:r>
          </w:p>
        </w:tc>
        <w:tc>
          <w:tcPr>
            <w:tcW w:w="1924" w:type="dxa"/>
            <w:vAlign w:val="center"/>
          </w:tcPr>
          <w:p w:rsidR="00384A2D" w:rsidRDefault="00B32EA8">
            <w:pPr>
              <w:jc w:val="right"/>
            </w:pPr>
            <w:r>
              <w:rPr>
                <w:color w:val="000000"/>
                <w:sz w:val="24"/>
                <w:szCs w:val="24"/>
              </w:rPr>
              <w:t>1,466,100.00</w:t>
            </w:r>
          </w:p>
        </w:tc>
        <w:tc>
          <w:tcPr>
            <w:tcW w:w="1644" w:type="dxa"/>
            <w:vAlign w:val="center"/>
          </w:tcPr>
          <w:p w:rsidR="00384A2D" w:rsidRDefault="00B32EA8">
            <w:pPr>
              <w:jc w:val="right"/>
            </w:pPr>
            <w:r>
              <w:rPr>
                <w:color w:val="000000"/>
                <w:sz w:val="24"/>
                <w:szCs w:val="24"/>
              </w:rPr>
              <w:t>1.61</w:t>
            </w:r>
          </w:p>
        </w:tc>
      </w:tr>
      <w:tr w:rsidR="00384A2D">
        <w:trPr>
          <w:jc w:val="center"/>
        </w:trPr>
        <w:tc>
          <w:tcPr>
            <w:tcW w:w="855" w:type="dxa"/>
            <w:vAlign w:val="center"/>
          </w:tcPr>
          <w:p w:rsidR="00384A2D" w:rsidRDefault="00B32EA8">
            <w:pPr>
              <w:jc w:val="center"/>
            </w:pPr>
            <w:r>
              <w:rPr>
                <w:color w:val="000000"/>
                <w:sz w:val="24"/>
                <w:szCs w:val="24"/>
              </w:rPr>
              <w:t>10</w:t>
            </w:r>
          </w:p>
        </w:tc>
        <w:tc>
          <w:tcPr>
            <w:tcW w:w="1334" w:type="dxa"/>
            <w:vAlign w:val="center"/>
          </w:tcPr>
          <w:p w:rsidR="00384A2D" w:rsidRDefault="00B32EA8">
            <w:pPr>
              <w:jc w:val="center"/>
            </w:pPr>
            <w:r>
              <w:rPr>
                <w:color w:val="000000"/>
                <w:sz w:val="24"/>
                <w:szCs w:val="24"/>
              </w:rPr>
              <w:t>300063</w:t>
            </w:r>
          </w:p>
        </w:tc>
        <w:tc>
          <w:tcPr>
            <w:tcW w:w="1777" w:type="dxa"/>
            <w:vAlign w:val="center"/>
          </w:tcPr>
          <w:p w:rsidR="00384A2D" w:rsidRDefault="00B32EA8">
            <w:pPr>
              <w:jc w:val="center"/>
            </w:pPr>
            <w:r>
              <w:rPr>
                <w:color w:val="000000"/>
                <w:sz w:val="24"/>
                <w:szCs w:val="24"/>
              </w:rPr>
              <w:t>天龙集团</w:t>
            </w:r>
          </w:p>
        </w:tc>
        <w:tc>
          <w:tcPr>
            <w:tcW w:w="1334" w:type="dxa"/>
            <w:vAlign w:val="center"/>
          </w:tcPr>
          <w:p w:rsidR="00384A2D" w:rsidRDefault="00B32EA8">
            <w:pPr>
              <w:jc w:val="right"/>
            </w:pPr>
            <w:r>
              <w:rPr>
                <w:color w:val="000000"/>
                <w:sz w:val="24"/>
                <w:szCs w:val="24"/>
              </w:rPr>
              <w:t>40,400</w:t>
            </w:r>
          </w:p>
        </w:tc>
        <w:tc>
          <w:tcPr>
            <w:tcW w:w="1924" w:type="dxa"/>
            <w:vAlign w:val="center"/>
          </w:tcPr>
          <w:p w:rsidR="00384A2D" w:rsidRDefault="00B32EA8">
            <w:pPr>
              <w:jc w:val="right"/>
            </w:pPr>
            <w:r>
              <w:rPr>
                <w:color w:val="000000"/>
                <w:sz w:val="24"/>
                <w:szCs w:val="24"/>
              </w:rPr>
              <w:t>1,434,200.00</w:t>
            </w:r>
          </w:p>
        </w:tc>
        <w:tc>
          <w:tcPr>
            <w:tcW w:w="1644" w:type="dxa"/>
            <w:vAlign w:val="center"/>
          </w:tcPr>
          <w:p w:rsidR="00384A2D" w:rsidRDefault="00B32EA8">
            <w:pPr>
              <w:jc w:val="right"/>
            </w:pPr>
            <w:r>
              <w:rPr>
                <w:color w:val="000000"/>
                <w:sz w:val="24"/>
                <w:szCs w:val="24"/>
              </w:rPr>
              <w:t>1.57</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5.4 </w:t>
      </w:r>
      <w:r w:rsidRPr="00414345">
        <w:rPr>
          <w:b/>
          <w:bCs/>
          <w:color w:val="000000"/>
          <w:kern w:val="0"/>
          <w:sz w:val="24"/>
          <w:szCs w:val="24"/>
        </w:rPr>
        <w:t>报告期末按债券品种分类的债券投资组合</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本基金本报告期末未持有债券。</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5.5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的前五名债券投资明细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本基金本报告期末未持有债券。</w:t>
      </w:r>
    </w:p>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5.6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的前十名资产支持证券投资明细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本基金本报告期末未持有资产支持证券。</w:t>
      </w:r>
    </w:p>
    <w:p w:rsidR="00A54C7D" w:rsidRPr="00414345" w:rsidRDefault="00A54C7D" w:rsidP="00C15CAC">
      <w:pPr>
        <w:autoSpaceDE w:val="0"/>
        <w:autoSpaceDN w:val="0"/>
        <w:adjustRightInd w:val="0"/>
        <w:spacing w:before="29" w:line="288" w:lineRule="auto"/>
        <w:jc w:val="left"/>
        <w:rPr>
          <w:color w:val="000000"/>
          <w:sz w:val="24"/>
          <w:szCs w:val="24"/>
        </w:rPr>
      </w:pPr>
    </w:p>
    <w:p w:rsidR="00A54C7D" w:rsidRPr="00414345" w:rsidRDefault="00A54C7D" w:rsidP="00C15CAC">
      <w:pPr>
        <w:autoSpaceDE w:val="0"/>
        <w:autoSpaceDN w:val="0"/>
        <w:adjustRightInd w:val="0"/>
        <w:spacing w:before="29" w:line="288" w:lineRule="auto"/>
        <w:jc w:val="left"/>
        <w:rPr>
          <w:color w:val="000000"/>
          <w:kern w:val="0"/>
          <w:sz w:val="24"/>
          <w:szCs w:val="24"/>
        </w:rPr>
      </w:pPr>
      <w:r w:rsidRPr="00414345">
        <w:rPr>
          <w:b/>
          <w:bCs/>
          <w:color w:val="000000"/>
          <w:kern w:val="0"/>
          <w:sz w:val="24"/>
          <w:szCs w:val="24"/>
        </w:rPr>
        <w:t>5.7</w:t>
      </w:r>
      <w:r w:rsidRPr="00414345">
        <w:rPr>
          <w:rFonts w:eastAsiaTheme="minorEastAsia"/>
          <w:b/>
          <w:bCs/>
          <w:color w:val="000000"/>
          <w:kern w:val="0"/>
          <w:sz w:val="24"/>
          <w:szCs w:val="24"/>
        </w:rPr>
        <w:t xml:space="preserve"> </w:t>
      </w:r>
      <w:r w:rsidRPr="00414345">
        <w:rPr>
          <w:rFonts w:hAnsi="宋体"/>
          <w:b/>
          <w:bCs/>
          <w:color w:val="000000"/>
          <w:kern w:val="0"/>
          <w:sz w:val="24"/>
          <w:szCs w:val="24"/>
        </w:rPr>
        <w:t>报告期末按公允价值占基金资产净值比例大小排序的前五名贵金属投资明细</w:t>
      </w:r>
    </w:p>
    <w:p w:rsidR="00632B0F" w:rsidRPr="00414345" w:rsidRDefault="00632B0F" w:rsidP="00C15CAC">
      <w:pPr>
        <w:widowControl/>
        <w:spacing w:line="288" w:lineRule="auto"/>
        <w:jc w:val="left"/>
        <w:rPr>
          <w:sz w:val="24"/>
          <w:szCs w:val="24"/>
        </w:rPr>
      </w:pPr>
      <w:r w:rsidRPr="00414345">
        <w:rPr>
          <w:sz w:val="24"/>
          <w:szCs w:val="24"/>
        </w:rPr>
        <w:t>本基金本报告期末未持有贵金属。</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A917B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5.8</w:t>
      </w:r>
      <w:r w:rsidR="008E1D74" w:rsidRPr="00414345">
        <w:rPr>
          <w:b/>
          <w:bCs/>
          <w:color w:val="000000"/>
          <w:kern w:val="0"/>
          <w:sz w:val="24"/>
          <w:szCs w:val="24"/>
        </w:rPr>
        <w:t xml:space="preserve"> </w:t>
      </w:r>
      <w:r w:rsidR="004061AC"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004061AC" w:rsidRPr="00414345">
        <w:rPr>
          <w:b/>
          <w:bCs/>
          <w:color w:val="000000"/>
          <w:kern w:val="0"/>
          <w:sz w:val="24"/>
          <w:szCs w:val="24"/>
        </w:rPr>
        <w:t>的前五名权证投资明细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本基金本报告期末未持有权证。</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275745"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A917BF" w:rsidRPr="00414345">
        <w:rPr>
          <w:b/>
          <w:bCs/>
          <w:color w:val="000000"/>
          <w:kern w:val="0"/>
          <w:sz w:val="24"/>
          <w:szCs w:val="24"/>
        </w:rPr>
        <w:t>.</w:t>
      </w:r>
      <w:r w:rsidR="0059076B" w:rsidRPr="00414345">
        <w:rPr>
          <w:b/>
          <w:bCs/>
          <w:color w:val="000000"/>
          <w:kern w:val="0"/>
          <w:sz w:val="24"/>
          <w:szCs w:val="24"/>
        </w:rPr>
        <w:t>9</w:t>
      </w:r>
      <w:r w:rsidR="008E1D74" w:rsidRPr="00414345">
        <w:rPr>
          <w:b/>
          <w:bCs/>
          <w:color w:val="000000"/>
          <w:kern w:val="0"/>
          <w:sz w:val="24"/>
          <w:szCs w:val="24"/>
        </w:rPr>
        <w:t xml:space="preserve"> </w:t>
      </w:r>
      <w:r w:rsidR="00275745" w:rsidRPr="00414345">
        <w:rPr>
          <w:b/>
          <w:bCs/>
          <w:color w:val="000000"/>
          <w:kern w:val="0"/>
          <w:sz w:val="24"/>
          <w:szCs w:val="24"/>
        </w:rPr>
        <w:t>报告期末本基金投资的股指期货交易情况说明</w:t>
      </w:r>
    </w:p>
    <w:p w:rsidR="00275745" w:rsidRPr="00414345" w:rsidRDefault="00AA3A38"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本基金本报告期末未持有股指期货。</w:t>
      </w:r>
    </w:p>
    <w:p w:rsidR="00AA3A38" w:rsidRPr="00414345" w:rsidRDefault="00AA3A38" w:rsidP="00C15CAC">
      <w:pPr>
        <w:adjustRightInd w:val="0"/>
        <w:snapToGrid w:val="0"/>
        <w:spacing w:before="29" w:line="288" w:lineRule="auto"/>
        <w:rPr>
          <w:sz w:val="24"/>
          <w:szCs w:val="24"/>
        </w:rPr>
      </w:pPr>
    </w:p>
    <w:p w:rsidR="00A669FC" w:rsidRPr="00414345" w:rsidRDefault="00312A9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5.10</w:t>
      </w:r>
      <w:r w:rsidR="0004308C" w:rsidRPr="00414345">
        <w:rPr>
          <w:b/>
          <w:bCs/>
          <w:color w:val="000000"/>
          <w:kern w:val="0"/>
          <w:sz w:val="24"/>
          <w:szCs w:val="24"/>
        </w:rPr>
        <w:t xml:space="preserve"> </w:t>
      </w:r>
      <w:r w:rsidRPr="00414345">
        <w:rPr>
          <w:b/>
          <w:bCs/>
          <w:color w:val="000000"/>
          <w:kern w:val="0"/>
          <w:sz w:val="24"/>
          <w:szCs w:val="24"/>
        </w:rPr>
        <w:t>报告期末本基金投资的国债期货交易情况说明</w:t>
      </w:r>
    </w:p>
    <w:p w:rsidR="00312A9F" w:rsidRPr="00414345" w:rsidRDefault="00312A9F"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本基金本报告期末未持有国债期货。</w:t>
      </w:r>
    </w:p>
    <w:p w:rsidR="00426096" w:rsidRPr="00414345" w:rsidRDefault="00426096" w:rsidP="00C15CAC">
      <w:pPr>
        <w:autoSpaceDE w:val="0"/>
        <w:autoSpaceDN w:val="0"/>
        <w:adjustRightInd w:val="0"/>
        <w:spacing w:before="29" w:line="288" w:lineRule="auto"/>
        <w:jc w:val="left"/>
        <w:rPr>
          <w:color w:val="000000"/>
          <w:sz w:val="24"/>
          <w:szCs w:val="24"/>
        </w:rPr>
      </w:pPr>
    </w:p>
    <w:p w:rsidR="004061AC"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275745" w:rsidRPr="00414345">
        <w:rPr>
          <w:b/>
          <w:bCs/>
          <w:color w:val="000000"/>
          <w:kern w:val="0"/>
          <w:sz w:val="24"/>
          <w:szCs w:val="24"/>
        </w:rPr>
        <w:t>.</w:t>
      </w:r>
      <w:r w:rsidR="0059076B" w:rsidRPr="00414345">
        <w:rPr>
          <w:b/>
          <w:bCs/>
          <w:color w:val="000000"/>
          <w:kern w:val="0"/>
          <w:sz w:val="24"/>
          <w:szCs w:val="24"/>
        </w:rPr>
        <w:t>11</w:t>
      </w:r>
      <w:r w:rsidR="0004308C" w:rsidRPr="00414345">
        <w:rPr>
          <w:b/>
          <w:bCs/>
          <w:color w:val="000000"/>
          <w:kern w:val="0"/>
          <w:sz w:val="24"/>
          <w:szCs w:val="24"/>
        </w:rPr>
        <w:t xml:space="preserve"> </w:t>
      </w:r>
      <w:r w:rsidR="004061AC" w:rsidRPr="00414345">
        <w:rPr>
          <w:b/>
          <w:bCs/>
          <w:color w:val="000000"/>
          <w:kern w:val="0"/>
          <w:sz w:val="24"/>
          <w:szCs w:val="24"/>
        </w:rPr>
        <w:t>投资组合报告附注</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5.11.1</w:t>
      </w:r>
      <w:r w:rsidRPr="00BE5388">
        <w:rPr>
          <w:bCs/>
          <w:color w:val="000000"/>
          <w:kern w:val="0"/>
          <w:sz w:val="24"/>
          <w:szCs w:val="24"/>
        </w:rPr>
        <w:t>报告期内本基金投资的前十名证券的发行主体未被监管部门立案调查，在本报告编制日前一年内本基金投资的前十名证券的发行主体未受到公开谴责和处罚。</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5.11.2</w:t>
      </w:r>
      <w:r w:rsidRPr="00BE5388">
        <w:rPr>
          <w:bCs/>
          <w:color w:val="000000"/>
          <w:kern w:val="0"/>
          <w:sz w:val="24"/>
          <w:szCs w:val="24"/>
        </w:rPr>
        <w:t>本基金投资的前十名股票中，没有超出基金合同规定的备选股票库之外的股票。</w:t>
      </w: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11.3</w:t>
      </w:r>
      <w:r w:rsidR="0004308C" w:rsidRPr="00414345">
        <w:rPr>
          <w:bCs/>
          <w:color w:val="000000"/>
          <w:kern w:val="0"/>
          <w:sz w:val="24"/>
          <w:szCs w:val="24"/>
        </w:rPr>
        <w:t xml:space="preserve"> </w:t>
      </w:r>
      <w:r w:rsidR="0035383E" w:rsidRPr="00414345">
        <w:rPr>
          <w:bCs/>
          <w:color w:val="000000"/>
          <w:kern w:val="0"/>
          <w:sz w:val="24"/>
          <w:szCs w:val="24"/>
        </w:rPr>
        <w:t>其他</w:t>
      </w:r>
      <w:r w:rsidR="004061AC" w:rsidRPr="00414345">
        <w:rPr>
          <w:bCs/>
          <w:color w:val="000000"/>
          <w:kern w:val="0"/>
          <w:sz w:val="24"/>
          <w:szCs w:val="24"/>
        </w:rPr>
        <w:t>资产构成</w:t>
      </w:r>
    </w:p>
    <w:tbl>
      <w:tblPr>
        <w:tblStyle w:val="af7"/>
        <w:tblpPr w:leftFromText="180" w:rightFromText="180" w:vertAnchor="text" w:horzAnchor="margin" w:tblpXSpec="center" w:tblpY="265"/>
        <w:tblW w:w="8868" w:type="dxa"/>
        <w:jc w:val="center"/>
        <w:tblLayout w:type="fixed"/>
        <w:tblCellMar>
          <w:top w:w="-1" w:type="dxa"/>
          <w:bottom w:w="-1" w:type="dxa"/>
        </w:tblCellMar>
        <w:tblLook w:val="04A0" w:firstRow="1" w:lastRow="0" w:firstColumn="1" w:lastColumn="0" w:noHBand="0" w:noVBand="1"/>
      </w:tblPr>
      <w:tblGrid>
        <w:gridCol w:w="1287"/>
        <w:gridCol w:w="2573"/>
        <w:gridCol w:w="5008"/>
      </w:tblGrid>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序号</w:t>
            </w:r>
          </w:p>
        </w:tc>
        <w:tc>
          <w:tcPr>
            <w:tcW w:w="2470"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名称</w:t>
            </w:r>
          </w:p>
        </w:tc>
        <w:tc>
          <w:tcPr>
            <w:tcW w:w="4808"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金额</w:t>
            </w:r>
            <w:r w:rsidRPr="00414345">
              <w:rPr>
                <w:color w:val="000000"/>
                <w:sz w:val="24"/>
              </w:rPr>
              <w:t>（元）</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1</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存出保证金</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110,955.90</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2</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应收证券清算款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3</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应收股利</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4</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应收利息</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4,620.51</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5</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应收申购款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13,178.65</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6</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其他应收款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7</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待摊费用</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8</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lastRenderedPageBreak/>
              <w:t>9</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合计</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128,755.06</w:t>
            </w:r>
          </w:p>
        </w:tc>
      </w:tr>
    </w:tbl>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11.4</w:t>
      </w:r>
      <w:r w:rsidR="00E85E4B" w:rsidRPr="00414345">
        <w:rPr>
          <w:bCs/>
          <w:color w:val="000000"/>
          <w:kern w:val="0"/>
          <w:sz w:val="24"/>
          <w:szCs w:val="24"/>
        </w:rPr>
        <w:t xml:space="preserve"> </w:t>
      </w:r>
      <w:r w:rsidR="004061AC" w:rsidRPr="00414345">
        <w:rPr>
          <w:bCs/>
          <w:color w:val="000000"/>
          <w:kern w:val="0"/>
          <w:sz w:val="24"/>
          <w:szCs w:val="24"/>
        </w:rPr>
        <w:t>报告期末持有的处于转股期的可转换债券明细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本基金本报告期末未持有处于转股期的可转换债券。</w:t>
      </w:r>
    </w:p>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11.5</w:t>
      </w:r>
      <w:r w:rsidR="003F09B5" w:rsidRPr="00414345">
        <w:rPr>
          <w:bCs/>
          <w:color w:val="000000"/>
          <w:kern w:val="0"/>
          <w:sz w:val="24"/>
          <w:szCs w:val="24"/>
        </w:rPr>
        <w:t xml:space="preserve"> </w:t>
      </w:r>
      <w:r w:rsidR="004061AC" w:rsidRPr="00414345">
        <w:rPr>
          <w:bCs/>
          <w:color w:val="000000"/>
          <w:kern w:val="0"/>
          <w:sz w:val="24"/>
          <w:szCs w:val="24"/>
        </w:rPr>
        <w:t>报告期末前十名股票中存在流通受限情况的说明</w:t>
      </w:r>
    </w:p>
    <w:tbl>
      <w:tblPr>
        <w:tblStyle w:val="af7"/>
        <w:tblW w:w="8868" w:type="dxa"/>
        <w:jc w:val="center"/>
        <w:tblLayout w:type="fixed"/>
        <w:tblCellMar>
          <w:top w:w="57" w:type="dxa"/>
          <w:bottom w:w="57" w:type="dxa"/>
        </w:tblCellMar>
        <w:tblLook w:val="04A0" w:firstRow="1" w:lastRow="0" w:firstColumn="1" w:lastColumn="0" w:noHBand="0" w:noVBand="1"/>
      </w:tblPr>
      <w:tblGrid>
        <w:gridCol w:w="1129"/>
        <w:gridCol w:w="1356"/>
        <w:gridCol w:w="1355"/>
        <w:gridCol w:w="1880"/>
        <w:gridCol w:w="1724"/>
        <w:gridCol w:w="1424"/>
      </w:tblGrid>
      <w:tr w:rsidR="003E62FB" w:rsidRPr="00414345" w:rsidTr="00BC216C">
        <w:trPr>
          <w:jc w:val="center"/>
        </w:trPr>
        <w:tc>
          <w:tcPr>
            <w:tcW w:w="1083"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序号</w:t>
            </w:r>
          </w:p>
        </w:tc>
        <w:tc>
          <w:tcPr>
            <w:tcW w:w="1302"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股票代码</w:t>
            </w:r>
          </w:p>
        </w:tc>
        <w:tc>
          <w:tcPr>
            <w:tcW w:w="1301"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股票名称</w:t>
            </w:r>
          </w:p>
        </w:tc>
        <w:tc>
          <w:tcPr>
            <w:tcW w:w="1805"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流通受限部分的公允价值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655"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占基金资产净值比例</w:t>
            </w:r>
            <w:r w:rsidR="00AC063D" w:rsidRPr="00414345">
              <w:rPr>
                <w:color w:val="000000"/>
                <w:sz w:val="24"/>
                <w:szCs w:val="24"/>
              </w:rPr>
              <w:t>(</w:t>
            </w:r>
            <w:r w:rsidR="00AC063D" w:rsidRPr="00414345">
              <w:rPr>
                <w:color w:val="000000"/>
                <w:sz w:val="24"/>
                <w:szCs w:val="24"/>
              </w:rPr>
              <w:t>％</w:t>
            </w:r>
            <w:r w:rsidR="00AC063D" w:rsidRPr="00414345">
              <w:rPr>
                <w:color w:val="000000"/>
                <w:sz w:val="24"/>
                <w:szCs w:val="24"/>
              </w:rPr>
              <w:t>)</w:t>
            </w:r>
          </w:p>
        </w:tc>
        <w:tc>
          <w:tcPr>
            <w:tcW w:w="1367"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流通受限情况说明</w:t>
            </w:r>
          </w:p>
        </w:tc>
      </w:tr>
      <w:tr w:rsidR="00384A2D">
        <w:trPr>
          <w:jc w:val="center"/>
        </w:trPr>
        <w:tc>
          <w:tcPr>
            <w:tcW w:w="1129" w:type="dxa"/>
            <w:vAlign w:val="center"/>
          </w:tcPr>
          <w:p w:rsidR="00384A2D" w:rsidRDefault="00B32EA8">
            <w:pPr>
              <w:jc w:val="center"/>
            </w:pPr>
            <w:r>
              <w:rPr>
                <w:color w:val="000000"/>
                <w:sz w:val="24"/>
                <w:szCs w:val="24"/>
              </w:rPr>
              <w:t>1</w:t>
            </w:r>
          </w:p>
        </w:tc>
        <w:tc>
          <w:tcPr>
            <w:tcW w:w="1356" w:type="dxa"/>
            <w:vAlign w:val="center"/>
          </w:tcPr>
          <w:p w:rsidR="00384A2D" w:rsidRDefault="00B32EA8">
            <w:pPr>
              <w:jc w:val="center"/>
            </w:pPr>
            <w:r>
              <w:rPr>
                <w:color w:val="000000"/>
                <w:sz w:val="24"/>
                <w:szCs w:val="24"/>
              </w:rPr>
              <w:t>000630</w:t>
            </w:r>
          </w:p>
        </w:tc>
        <w:tc>
          <w:tcPr>
            <w:tcW w:w="1355" w:type="dxa"/>
            <w:vAlign w:val="center"/>
          </w:tcPr>
          <w:p w:rsidR="00384A2D" w:rsidRDefault="00B32EA8">
            <w:pPr>
              <w:jc w:val="center"/>
            </w:pPr>
            <w:r>
              <w:rPr>
                <w:color w:val="000000"/>
                <w:sz w:val="24"/>
                <w:szCs w:val="24"/>
              </w:rPr>
              <w:t>铜陵有色</w:t>
            </w:r>
          </w:p>
        </w:tc>
        <w:tc>
          <w:tcPr>
            <w:tcW w:w="1880" w:type="dxa"/>
            <w:vAlign w:val="center"/>
          </w:tcPr>
          <w:p w:rsidR="00384A2D" w:rsidRDefault="00B32EA8">
            <w:pPr>
              <w:jc w:val="right"/>
            </w:pPr>
            <w:r>
              <w:rPr>
                <w:color w:val="000000"/>
                <w:sz w:val="24"/>
                <w:szCs w:val="24"/>
              </w:rPr>
              <w:t>3,779,160.00</w:t>
            </w:r>
          </w:p>
        </w:tc>
        <w:tc>
          <w:tcPr>
            <w:tcW w:w="1724" w:type="dxa"/>
            <w:vAlign w:val="center"/>
          </w:tcPr>
          <w:p w:rsidR="00384A2D" w:rsidRDefault="00B32EA8">
            <w:pPr>
              <w:jc w:val="right"/>
            </w:pPr>
            <w:r>
              <w:rPr>
                <w:color w:val="000000"/>
                <w:sz w:val="24"/>
                <w:szCs w:val="24"/>
              </w:rPr>
              <w:t>4.14</w:t>
            </w:r>
          </w:p>
        </w:tc>
        <w:tc>
          <w:tcPr>
            <w:tcW w:w="1424" w:type="dxa"/>
            <w:vAlign w:val="center"/>
          </w:tcPr>
          <w:p w:rsidR="00384A2D" w:rsidRDefault="00B32EA8">
            <w:pPr>
              <w:jc w:val="right"/>
            </w:pPr>
            <w:r>
              <w:rPr>
                <w:color w:val="000000"/>
                <w:sz w:val="24"/>
                <w:szCs w:val="24"/>
              </w:rPr>
              <w:t>重大事项</w:t>
            </w:r>
          </w:p>
        </w:tc>
      </w:tr>
      <w:tr w:rsidR="00384A2D">
        <w:trPr>
          <w:jc w:val="center"/>
        </w:trPr>
        <w:tc>
          <w:tcPr>
            <w:tcW w:w="1129" w:type="dxa"/>
            <w:vAlign w:val="center"/>
          </w:tcPr>
          <w:p w:rsidR="00384A2D" w:rsidRDefault="00B32EA8">
            <w:pPr>
              <w:jc w:val="center"/>
            </w:pPr>
            <w:r>
              <w:rPr>
                <w:color w:val="000000"/>
                <w:sz w:val="24"/>
                <w:szCs w:val="24"/>
              </w:rPr>
              <w:t>2</w:t>
            </w:r>
          </w:p>
        </w:tc>
        <w:tc>
          <w:tcPr>
            <w:tcW w:w="1356" w:type="dxa"/>
            <w:vAlign w:val="center"/>
          </w:tcPr>
          <w:p w:rsidR="00384A2D" w:rsidRDefault="00B32EA8">
            <w:pPr>
              <w:jc w:val="center"/>
            </w:pPr>
            <w:r>
              <w:rPr>
                <w:color w:val="000000"/>
                <w:sz w:val="24"/>
                <w:szCs w:val="24"/>
              </w:rPr>
              <w:t>002310</w:t>
            </w:r>
          </w:p>
        </w:tc>
        <w:tc>
          <w:tcPr>
            <w:tcW w:w="1355" w:type="dxa"/>
            <w:vAlign w:val="center"/>
          </w:tcPr>
          <w:p w:rsidR="00384A2D" w:rsidRDefault="00B32EA8">
            <w:pPr>
              <w:jc w:val="center"/>
            </w:pPr>
            <w:r>
              <w:rPr>
                <w:color w:val="000000"/>
                <w:sz w:val="24"/>
                <w:szCs w:val="24"/>
              </w:rPr>
              <w:t>东方园林</w:t>
            </w:r>
          </w:p>
        </w:tc>
        <w:tc>
          <w:tcPr>
            <w:tcW w:w="1880" w:type="dxa"/>
            <w:vAlign w:val="center"/>
          </w:tcPr>
          <w:p w:rsidR="00384A2D" w:rsidRDefault="00B32EA8">
            <w:pPr>
              <w:jc w:val="right"/>
            </w:pPr>
            <w:r>
              <w:rPr>
                <w:color w:val="000000"/>
                <w:sz w:val="24"/>
                <w:szCs w:val="24"/>
              </w:rPr>
              <w:t>1,466,100.00</w:t>
            </w:r>
          </w:p>
        </w:tc>
        <w:tc>
          <w:tcPr>
            <w:tcW w:w="1724" w:type="dxa"/>
            <w:vAlign w:val="center"/>
          </w:tcPr>
          <w:p w:rsidR="00384A2D" w:rsidRDefault="00B32EA8">
            <w:pPr>
              <w:jc w:val="right"/>
            </w:pPr>
            <w:r>
              <w:rPr>
                <w:color w:val="000000"/>
                <w:sz w:val="24"/>
                <w:szCs w:val="24"/>
              </w:rPr>
              <w:t>1.61</w:t>
            </w:r>
          </w:p>
        </w:tc>
        <w:tc>
          <w:tcPr>
            <w:tcW w:w="1424" w:type="dxa"/>
            <w:vAlign w:val="center"/>
          </w:tcPr>
          <w:p w:rsidR="00384A2D" w:rsidRDefault="00B32EA8">
            <w:pPr>
              <w:jc w:val="right"/>
            </w:pPr>
            <w:r>
              <w:rPr>
                <w:color w:val="000000"/>
                <w:sz w:val="24"/>
                <w:szCs w:val="24"/>
              </w:rPr>
              <w:t>重大事项</w:t>
            </w:r>
          </w:p>
        </w:tc>
      </w:tr>
    </w:tbl>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11.6</w:t>
      </w:r>
      <w:r w:rsidR="003F09B5" w:rsidRPr="00414345">
        <w:rPr>
          <w:bCs/>
          <w:color w:val="000000"/>
          <w:kern w:val="0"/>
          <w:sz w:val="24"/>
          <w:szCs w:val="24"/>
        </w:rPr>
        <w:t xml:space="preserve"> </w:t>
      </w:r>
      <w:r w:rsidR="001675CD" w:rsidRPr="00414345">
        <w:rPr>
          <w:bCs/>
          <w:color w:val="000000"/>
          <w:kern w:val="0"/>
          <w:sz w:val="24"/>
          <w:szCs w:val="24"/>
        </w:rPr>
        <w:t>投资组合报告附注的其他文字描述部分</w:t>
      </w:r>
    </w:p>
    <w:p w:rsidR="006B2FF6" w:rsidRPr="00414345" w:rsidRDefault="004061AC" w:rsidP="00E40D31">
      <w:pPr>
        <w:spacing w:before="29" w:line="288" w:lineRule="auto"/>
        <w:rPr>
          <w:color w:val="000000"/>
          <w:sz w:val="24"/>
          <w:szCs w:val="24"/>
        </w:rPr>
      </w:pPr>
      <w:r w:rsidRPr="00414345">
        <w:rPr>
          <w:color w:val="000000"/>
          <w:sz w:val="24"/>
          <w:szCs w:val="24"/>
        </w:rPr>
        <w:t>由于四舍五入的原因，分项之和与合计项之间可能存在尾差。</w:t>
      </w:r>
    </w:p>
    <w:p w:rsidR="006B2FF6" w:rsidRPr="00414345" w:rsidRDefault="006B2FF6" w:rsidP="00C15CAC">
      <w:pPr>
        <w:spacing w:before="29" w:line="288" w:lineRule="auto"/>
        <w:ind w:firstLineChars="200" w:firstLine="480"/>
        <w:rPr>
          <w:color w:val="000000"/>
          <w:sz w:val="24"/>
          <w:szCs w:val="24"/>
        </w:rPr>
      </w:pPr>
    </w:p>
    <w:p w:rsidR="004061AC" w:rsidRPr="00414345" w:rsidRDefault="004061AC" w:rsidP="00C15CAC">
      <w:pPr>
        <w:spacing w:before="29" w:line="288" w:lineRule="auto"/>
        <w:ind w:firstLineChars="200" w:firstLine="482"/>
        <w:jc w:val="center"/>
        <w:rPr>
          <w:b/>
          <w:color w:val="000000"/>
          <w:sz w:val="24"/>
          <w:szCs w:val="24"/>
        </w:rPr>
      </w:pPr>
      <w:r w:rsidRPr="00414345">
        <w:rPr>
          <w:b/>
          <w:color w:val="000000"/>
          <w:kern w:val="0"/>
          <w:sz w:val="24"/>
          <w:szCs w:val="24"/>
        </w:rPr>
        <w:t xml:space="preserve">§6  </w:t>
      </w:r>
      <w:r w:rsidRPr="00414345">
        <w:rPr>
          <w:b/>
          <w:color w:val="000000"/>
          <w:kern w:val="0"/>
          <w:sz w:val="24"/>
          <w:szCs w:val="24"/>
        </w:rPr>
        <w:t>开放式基金份额变动</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单位：份</w:t>
      </w:r>
    </w:p>
    <w:tbl>
      <w:tblPr>
        <w:tblW w:w="8868" w:type="dxa"/>
        <w:jc w:val="center"/>
        <w:tblLayout w:type="fixed"/>
        <w:tblCellMar>
          <w:top w:w="-1" w:type="dxa"/>
          <w:bottom w:w="-1" w:type="dxa"/>
        </w:tblCellMar>
        <w:tblLook w:val="0000" w:firstRow="0" w:lastRow="0" w:firstColumn="0" w:lastColumn="0" w:noHBand="0" w:noVBand="0"/>
      </w:tblPr>
      <w:tblGrid>
        <w:gridCol w:w="4734"/>
        <w:gridCol w:w="4134"/>
      </w:tblGrid>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报告期期初基金份额总额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86,837,088.53</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18,051,231.91</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减：</w:t>
            </w:r>
            <w:r w:rsidR="00FE179F" w:rsidRPr="00414345">
              <w:rPr>
                <w:color w:val="000000"/>
                <w:kern w:val="0"/>
                <w:sz w:val="24"/>
                <w:szCs w:val="24"/>
              </w:rPr>
              <w:t>本报告期</w:t>
            </w:r>
            <w:r w:rsidR="00F31B0C">
              <w:rPr>
                <w:rFonts w:hint="eastAsia"/>
                <w:color w:val="000000"/>
                <w:kern w:val="0"/>
                <w:sz w:val="24"/>
                <w:szCs w:val="24"/>
              </w:rPr>
              <w:t>期间</w:t>
            </w:r>
            <w:r w:rsidRPr="00414345">
              <w:rPr>
                <w:color w:val="000000"/>
                <w:kern w:val="0"/>
                <w:sz w:val="24"/>
                <w:szCs w:val="24"/>
              </w:rPr>
              <w:t>基金总赎回份额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48,146,449.39</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35076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基金拆分变动份额</w:t>
            </w:r>
            <w:r w:rsidR="00F31B0C" w:rsidRPr="006664D2">
              <w:rPr>
                <w:rFonts w:hint="eastAsia"/>
                <w:color w:val="000000"/>
                <w:kern w:val="0"/>
                <w:sz w:val="24"/>
              </w:rPr>
              <w:t>（份额减少以</w:t>
            </w:r>
            <w:r w:rsidR="00F31B0C" w:rsidRPr="004D5D71">
              <w:rPr>
                <w:color w:val="000000"/>
              </w:rPr>
              <w:t>“-”</w:t>
            </w:r>
            <w:r w:rsidR="00F31B0C" w:rsidRPr="006664D2">
              <w:rPr>
                <w:rFonts w:hint="eastAsia"/>
                <w:color w:val="000000"/>
                <w:kern w:val="0"/>
                <w:sz w:val="24"/>
              </w:rPr>
              <w:t>填列）</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w:t>
            </w:r>
          </w:p>
        </w:tc>
      </w:tr>
      <w:tr w:rsidR="006D7FF8"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56,741,871.05</w:t>
            </w:r>
          </w:p>
        </w:tc>
      </w:tr>
    </w:tbl>
    <w:p w:rsidR="00384A2D" w:rsidRDefault="00371793">
      <w:pPr>
        <w:autoSpaceDE w:val="0"/>
        <w:autoSpaceDN w:val="0"/>
        <w:adjustRightInd w:val="0"/>
        <w:spacing w:before="29" w:line="288" w:lineRule="auto"/>
        <w:jc w:val="left"/>
        <w:rPr>
          <w:color w:val="000000"/>
          <w:sz w:val="24"/>
          <w:szCs w:val="24"/>
        </w:rPr>
      </w:pPr>
      <w:r>
        <w:rPr>
          <w:color w:val="000000"/>
          <w:sz w:val="24"/>
          <w:szCs w:val="24"/>
        </w:rPr>
        <w:t>注</w:t>
      </w:r>
      <w:r>
        <w:rPr>
          <w:rFonts w:hint="eastAsia"/>
          <w:color w:val="000000"/>
          <w:sz w:val="24"/>
          <w:szCs w:val="24"/>
        </w:rPr>
        <w:t>：</w:t>
      </w:r>
      <w:r w:rsidR="00756FE0">
        <w:rPr>
          <w:color w:val="000000"/>
          <w:sz w:val="24"/>
          <w:szCs w:val="24"/>
        </w:rPr>
        <w:t>1</w:t>
      </w:r>
      <w:r w:rsidR="00756FE0">
        <w:rPr>
          <w:color w:val="000000"/>
          <w:sz w:val="24"/>
          <w:szCs w:val="24"/>
        </w:rPr>
        <w:t>、如果本报告期间发生转换入、红利再投业务，则总申购份额中包含该业务；</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 xml:space="preserve">　　</w:t>
      </w:r>
      <w:r w:rsidRPr="00414345">
        <w:rPr>
          <w:color w:val="000000"/>
          <w:sz w:val="24"/>
          <w:szCs w:val="24"/>
        </w:rPr>
        <w:t>2</w:t>
      </w:r>
      <w:r w:rsidRPr="00414345">
        <w:rPr>
          <w:color w:val="000000"/>
          <w:sz w:val="24"/>
          <w:szCs w:val="24"/>
        </w:rPr>
        <w:t>、如果本报告期间发生转换出业务，则总赎回份额中包含该业务。</w:t>
      </w:r>
    </w:p>
    <w:p w:rsidR="00320E90" w:rsidRDefault="00320E90" w:rsidP="00C15CAC">
      <w:pPr>
        <w:autoSpaceDE w:val="0"/>
        <w:autoSpaceDN w:val="0"/>
        <w:adjustRightInd w:val="0"/>
        <w:spacing w:before="29" w:line="288" w:lineRule="auto"/>
        <w:jc w:val="left"/>
        <w:rPr>
          <w:color w:val="000000"/>
          <w:sz w:val="24"/>
          <w:szCs w:val="24"/>
        </w:rPr>
      </w:pPr>
    </w:p>
    <w:p w:rsidR="00ED2620" w:rsidRPr="00ED2620" w:rsidRDefault="000A2FC0" w:rsidP="00F323FF">
      <w:pPr>
        <w:pStyle w:val="1"/>
        <w:tabs>
          <w:tab w:val="center" w:pos="4156"/>
          <w:tab w:val="right" w:pos="8312"/>
        </w:tabs>
        <w:spacing w:beforeLines="100" w:before="312" w:afterLines="100" w:after="312" w:line="288" w:lineRule="auto"/>
        <w:jc w:val="center"/>
        <w:rPr>
          <w:sz w:val="24"/>
          <w:szCs w:val="24"/>
        </w:rPr>
      </w:pPr>
      <w:r w:rsidRPr="00414345">
        <w:rPr>
          <w:color w:val="000000"/>
          <w:kern w:val="0"/>
          <w:sz w:val="24"/>
          <w:szCs w:val="24"/>
        </w:rPr>
        <w:t>§</w:t>
      </w:r>
      <w:r w:rsidR="00ED2620" w:rsidRPr="00ED2620">
        <w:rPr>
          <w:rFonts w:eastAsiaTheme="minorEastAsia"/>
          <w:color w:val="000000"/>
          <w:kern w:val="0"/>
          <w:sz w:val="24"/>
          <w:szCs w:val="24"/>
        </w:rPr>
        <w:t xml:space="preserve">7  </w:t>
      </w:r>
      <w:r w:rsidR="00ED2620" w:rsidRPr="00ED2620">
        <w:rPr>
          <w:sz w:val="24"/>
          <w:szCs w:val="24"/>
        </w:rPr>
        <w:t>基金管理人运用固有资金投资本基金情况</w:t>
      </w:r>
    </w:p>
    <w:p w:rsidR="00ED2620" w:rsidRPr="00ED2620" w:rsidRDefault="00ED2620" w:rsidP="00C15CAC">
      <w:pPr>
        <w:spacing w:line="288" w:lineRule="auto"/>
        <w:jc w:val="left"/>
        <w:rPr>
          <w:sz w:val="24"/>
          <w:szCs w:val="24"/>
        </w:rPr>
      </w:pPr>
      <w:r w:rsidRPr="00ED2620">
        <w:rPr>
          <w:b/>
          <w:sz w:val="24"/>
        </w:rPr>
        <w:t xml:space="preserve">7.1 </w:t>
      </w:r>
      <w:r w:rsidRPr="00ED2620">
        <w:rPr>
          <w:b/>
          <w:sz w:val="24"/>
        </w:rPr>
        <w:t>基金管理人持有本基金份额变动情况</w:t>
      </w:r>
    </w:p>
    <w:p w:rsidR="00ED2620" w:rsidRPr="00ED2620" w:rsidRDefault="00ED2620" w:rsidP="00C15CAC">
      <w:pPr>
        <w:autoSpaceDE w:val="0"/>
        <w:autoSpaceDN w:val="0"/>
        <w:adjustRightInd w:val="0"/>
        <w:spacing w:before="29" w:line="288" w:lineRule="auto"/>
        <w:ind w:left="15"/>
        <w:jc w:val="right"/>
        <w:rPr>
          <w:rFonts w:eastAsiaTheme="minorEastAsia"/>
          <w:color w:val="000000"/>
          <w:kern w:val="0"/>
          <w:sz w:val="24"/>
        </w:rPr>
      </w:pPr>
      <w:r w:rsidRPr="00ED2620">
        <w:rPr>
          <w:rFonts w:eastAsiaTheme="minorEastAsia" w:hAnsiTheme="minorEastAsia"/>
          <w:color w:val="000000"/>
          <w:kern w:val="0"/>
          <w:sz w:val="24"/>
        </w:rPr>
        <w:t>单位：份</w:t>
      </w:r>
    </w:p>
    <w:tbl>
      <w:tblPr>
        <w:tblW w:w="8868" w:type="dxa"/>
        <w:jc w:val="center"/>
        <w:tblLayout w:type="fixed"/>
        <w:tblLook w:val="04A0" w:firstRow="1" w:lastRow="0" w:firstColumn="1" w:lastColumn="0" w:noHBand="0" w:noVBand="1"/>
      </w:tblPr>
      <w:tblGrid>
        <w:gridCol w:w="5308"/>
        <w:gridCol w:w="3560"/>
      </w:tblGrid>
      <w:tr w:rsidR="00ED2620" w:rsidRPr="00ED2620" w:rsidTr="006075E6">
        <w:trPr>
          <w:jc w:val="center"/>
        </w:trPr>
        <w:tc>
          <w:tcPr>
            <w:tcW w:w="5308"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pStyle w:val="ad"/>
              <w:adjustRightInd w:val="0"/>
              <w:snapToGrid w:val="0"/>
              <w:spacing w:line="288" w:lineRule="auto"/>
              <w:rPr>
                <w:rFonts w:eastAsia="方正仿宋简体"/>
                <w:color w:val="000000"/>
              </w:rPr>
            </w:pPr>
            <w:r w:rsidRPr="00ED2620">
              <w:rPr>
                <w:color w:val="000000"/>
              </w:rPr>
              <w:t>报告期期初管理人持有的本基金份额</w:t>
            </w:r>
          </w:p>
        </w:tc>
        <w:tc>
          <w:tcPr>
            <w:tcW w:w="3560"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spacing w:line="288" w:lineRule="auto"/>
              <w:jc w:val="right"/>
              <w:rPr>
                <w:rFonts w:eastAsiaTheme="minorEastAsia"/>
                <w:sz w:val="24"/>
                <w:szCs w:val="24"/>
              </w:rPr>
            </w:pPr>
            <w:r w:rsidRPr="00ED2620">
              <w:rPr>
                <w:rFonts w:eastAsiaTheme="minorEastAsia"/>
                <w:color w:val="000000"/>
                <w:sz w:val="24"/>
              </w:rPr>
              <w:t>20,005,300.00</w:t>
            </w:r>
          </w:p>
        </w:tc>
      </w:tr>
      <w:tr w:rsidR="00ED2620" w:rsidRPr="00ED2620" w:rsidTr="006075E6">
        <w:trPr>
          <w:jc w:val="center"/>
        </w:trPr>
        <w:tc>
          <w:tcPr>
            <w:tcW w:w="5308"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adjustRightInd w:val="0"/>
              <w:snapToGrid w:val="0"/>
              <w:spacing w:line="288" w:lineRule="auto"/>
              <w:rPr>
                <w:color w:val="000000"/>
                <w:sz w:val="24"/>
                <w:szCs w:val="24"/>
              </w:rPr>
            </w:pPr>
            <w:r w:rsidRPr="00ED2620">
              <w:rPr>
                <w:rFonts w:eastAsiaTheme="minorEastAsia"/>
                <w:color w:val="000000"/>
                <w:kern w:val="0"/>
                <w:sz w:val="24"/>
              </w:rPr>
              <w:t>本报告期</w:t>
            </w:r>
            <w:r w:rsidRPr="00ED2620">
              <w:rPr>
                <w:color w:val="000000"/>
                <w:sz w:val="24"/>
              </w:rPr>
              <w:t>买入</w:t>
            </w:r>
            <w:r w:rsidRPr="00ED2620">
              <w:rPr>
                <w:color w:val="000000"/>
                <w:sz w:val="24"/>
              </w:rPr>
              <w:t>/</w:t>
            </w:r>
            <w:r w:rsidRPr="00ED2620">
              <w:rPr>
                <w:color w:val="000000"/>
                <w:sz w:val="24"/>
              </w:rPr>
              <w:t>申购总份额</w:t>
            </w:r>
          </w:p>
        </w:tc>
        <w:tc>
          <w:tcPr>
            <w:tcW w:w="3560"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spacing w:line="288" w:lineRule="auto"/>
              <w:jc w:val="right"/>
              <w:rPr>
                <w:rFonts w:eastAsiaTheme="minorEastAsia"/>
                <w:color w:val="000000"/>
                <w:kern w:val="0"/>
                <w:sz w:val="24"/>
                <w:szCs w:val="24"/>
              </w:rPr>
            </w:pPr>
            <w:r w:rsidRPr="00ED2620">
              <w:rPr>
                <w:rFonts w:eastAsiaTheme="minorEastAsia"/>
                <w:color w:val="000000"/>
                <w:sz w:val="24"/>
              </w:rPr>
              <w:t>-</w:t>
            </w:r>
          </w:p>
        </w:tc>
      </w:tr>
      <w:tr w:rsidR="00ED2620" w:rsidRPr="00ED2620" w:rsidTr="006075E6">
        <w:trPr>
          <w:jc w:val="center"/>
        </w:trPr>
        <w:tc>
          <w:tcPr>
            <w:tcW w:w="5308"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adjustRightInd w:val="0"/>
              <w:snapToGrid w:val="0"/>
              <w:spacing w:line="288" w:lineRule="auto"/>
              <w:rPr>
                <w:color w:val="000000"/>
                <w:sz w:val="24"/>
                <w:szCs w:val="24"/>
              </w:rPr>
            </w:pPr>
            <w:r w:rsidRPr="00ED2620">
              <w:rPr>
                <w:rFonts w:eastAsiaTheme="minorEastAsia"/>
                <w:color w:val="000000"/>
                <w:kern w:val="0"/>
                <w:sz w:val="24"/>
              </w:rPr>
              <w:t>本报告期</w:t>
            </w:r>
            <w:r w:rsidRPr="00ED2620">
              <w:rPr>
                <w:color w:val="000000"/>
                <w:sz w:val="24"/>
              </w:rPr>
              <w:t>卖出</w:t>
            </w:r>
            <w:r w:rsidRPr="00ED2620">
              <w:rPr>
                <w:color w:val="000000"/>
                <w:sz w:val="24"/>
              </w:rPr>
              <w:t>/</w:t>
            </w:r>
            <w:r w:rsidRPr="00ED2620">
              <w:rPr>
                <w:color w:val="000000"/>
                <w:sz w:val="24"/>
              </w:rPr>
              <w:t>赎回总份额</w:t>
            </w:r>
          </w:p>
        </w:tc>
        <w:tc>
          <w:tcPr>
            <w:tcW w:w="3560"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spacing w:line="288" w:lineRule="auto"/>
              <w:jc w:val="right"/>
              <w:rPr>
                <w:rFonts w:eastAsiaTheme="minorEastAsia"/>
                <w:color w:val="000000"/>
                <w:kern w:val="0"/>
                <w:sz w:val="24"/>
                <w:szCs w:val="24"/>
              </w:rPr>
            </w:pPr>
            <w:r w:rsidRPr="00ED2620">
              <w:rPr>
                <w:rFonts w:eastAsiaTheme="minorEastAsia"/>
                <w:color w:val="000000"/>
                <w:sz w:val="24"/>
              </w:rPr>
              <w:t>-</w:t>
            </w:r>
          </w:p>
        </w:tc>
      </w:tr>
      <w:tr w:rsidR="00ED2620" w:rsidRPr="00ED2620" w:rsidTr="006075E6">
        <w:trPr>
          <w:jc w:val="center"/>
        </w:trPr>
        <w:tc>
          <w:tcPr>
            <w:tcW w:w="5308"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adjustRightInd w:val="0"/>
              <w:snapToGrid w:val="0"/>
              <w:spacing w:line="288" w:lineRule="auto"/>
              <w:rPr>
                <w:color w:val="000000"/>
                <w:sz w:val="24"/>
                <w:szCs w:val="24"/>
              </w:rPr>
            </w:pPr>
            <w:r w:rsidRPr="00ED2620">
              <w:rPr>
                <w:color w:val="000000"/>
                <w:sz w:val="24"/>
              </w:rPr>
              <w:t>报告期期末管理人持有的本基金份额</w:t>
            </w:r>
          </w:p>
        </w:tc>
        <w:tc>
          <w:tcPr>
            <w:tcW w:w="3560"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spacing w:line="288" w:lineRule="auto"/>
              <w:jc w:val="right"/>
              <w:rPr>
                <w:rFonts w:eastAsiaTheme="minorEastAsia"/>
                <w:sz w:val="24"/>
                <w:szCs w:val="24"/>
              </w:rPr>
            </w:pPr>
            <w:r w:rsidRPr="00ED2620">
              <w:rPr>
                <w:rFonts w:eastAsiaTheme="minorEastAsia"/>
                <w:color w:val="000000"/>
                <w:sz w:val="24"/>
              </w:rPr>
              <w:t>20,005,300.00</w:t>
            </w:r>
          </w:p>
        </w:tc>
      </w:tr>
      <w:tr w:rsidR="00ED2620" w:rsidRPr="00ED2620" w:rsidTr="006075E6">
        <w:trPr>
          <w:jc w:val="center"/>
        </w:trPr>
        <w:tc>
          <w:tcPr>
            <w:tcW w:w="5308"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adjustRightInd w:val="0"/>
              <w:snapToGrid w:val="0"/>
              <w:spacing w:line="288" w:lineRule="auto"/>
              <w:rPr>
                <w:color w:val="000000"/>
                <w:sz w:val="24"/>
                <w:szCs w:val="24"/>
              </w:rPr>
            </w:pPr>
            <w:r w:rsidRPr="00ED2620">
              <w:rPr>
                <w:color w:val="000000"/>
                <w:sz w:val="24"/>
              </w:rPr>
              <w:lastRenderedPageBreak/>
              <w:t>报告期期末持有的本基金份额占基金总份额比例（</w:t>
            </w:r>
            <w:r w:rsidRPr="00ED2620">
              <w:rPr>
                <w:color w:val="000000"/>
                <w:sz w:val="24"/>
              </w:rPr>
              <w:t>%</w:t>
            </w:r>
            <w:r w:rsidRPr="00ED2620">
              <w:rPr>
                <w:color w:val="000000"/>
                <w:sz w:val="24"/>
              </w:rPr>
              <w:t>）</w:t>
            </w:r>
          </w:p>
        </w:tc>
        <w:tc>
          <w:tcPr>
            <w:tcW w:w="3560"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spacing w:line="288" w:lineRule="auto"/>
              <w:jc w:val="right"/>
              <w:rPr>
                <w:rFonts w:eastAsiaTheme="minorEastAsia"/>
                <w:color w:val="000000"/>
                <w:kern w:val="0"/>
                <w:sz w:val="24"/>
                <w:szCs w:val="24"/>
              </w:rPr>
            </w:pPr>
            <w:r w:rsidRPr="00ED2620">
              <w:rPr>
                <w:rFonts w:eastAsiaTheme="minorEastAsia"/>
                <w:color w:val="000000"/>
                <w:sz w:val="24"/>
              </w:rPr>
              <w:t>35.26</w:t>
            </w:r>
          </w:p>
        </w:tc>
      </w:tr>
    </w:tbl>
    <w:p w:rsidR="00384A2D" w:rsidRDefault="00B32EA8">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、如果本报告期间发生转换入、红利再投业务，则总申购份额中包含该业务。</w:t>
      </w:r>
    </w:p>
    <w:p w:rsidR="00410630" w:rsidRDefault="00ED2620" w:rsidP="00C15CAC">
      <w:pPr>
        <w:autoSpaceDE w:val="0"/>
        <w:autoSpaceDN w:val="0"/>
        <w:adjustRightInd w:val="0"/>
        <w:spacing w:before="29" w:line="288" w:lineRule="auto"/>
        <w:jc w:val="left"/>
        <w:rPr>
          <w:rFonts w:eastAsiaTheme="minorEastAsia"/>
          <w:color w:val="000000"/>
          <w:sz w:val="24"/>
        </w:rPr>
      </w:pPr>
      <w:r w:rsidRPr="00ED2620">
        <w:rPr>
          <w:rFonts w:eastAsiaTheme="minorEastAsia"/>
          <w:color w:val="000000"/>
          <w:sz w:val="24"/>
        </w:rPr>
        <w:t xml:space="preserve">    2</w:t>
      </w:r>
      <w:r w:rsidRPr="00ED2620">
        <w:rPr>
          <w:rFonts w:eastAsiaTheme="minorEastAsia"/>
          <w:color w:val="000000"/>
          <w:sz w:val="24"/>
        </w:rPr>
        <w:t>、如果本报告期间发生转换出业务，则总赎回份额中包含该业务。</w:t>
      </w:r>
    </w:p>
    <w:p w:rsidR="00410630" w:rsidRDefault="00410630" w:rsidP="00C15CAC">
      <w:pPr>
        <w:autoSpaceDE w:val="0"/>
        <w:autoSpaceDN w:val="0"/>
        <w:adjustRightInd w:val="0"/>
        <w:spacing w:before="29" w:line="288" w:lineRule="auto"/>
        <w:jc w:val="left"/>
        <w:rPr>
          <w:rFonts w:eastAsiaTheme="minorEastAsia"/>
          <w:color w:val="000000"/>
          <w:sz w:val="24"/>
        </w:rPr>
      </w:pPr>
    </w:p>
    <w:p w:rsidR="00410630" w:rsidRPr="00BB5E0E" w:rsidRDefault="00410630" w:rsidP="00BB5E0E">
      <w:pPr>
        <w:spacing w:line="288" w:lineRule="auto"/>
        <w:jc w:val="left"/>
        <w:rPr>
          <w:b/>
          <w:sz w:val="24"/>
        </w:rPr>
      </w:pPr>
      <w:r w:rsidRPr="00410630">
        <w:rPr>
          <w:b/>
          <w:sz w:val="24"/>
        </w:rPr>
        <w:t>7.2</w:t>
      </w:r>
      <w:r w:rsidR="00775B61">
        <w:rPr>
          <w:rFonts w:hint="eastAsia"/>
          <w:b/>
          <w:sz w:val="24"/>
        </w:rPr>
        <w:t xml:space="preserve"> </w:t>
      </w:r>
      <w:r w:rsidRPr="00410630">
        <w:rPr>
          <w:rFonts w:hint="eastAsia"/>
          <w:b/>
          <w:sz w:val="24"/>
        </w:rPr>
        <w:t>基金管理人运用固有资金投资本基金交易明细</w:t>
      </w:r>
    </w:p>
    <w:p w:rsidR="00320300" w:rsidRPr="00414345" w:rsidRDefault="00320300" w:rsidP="00C15CAC">
      <w:pPr>
        <w:autoSpaceDE w:val="0"/>
        <w:autoSpaceDN w:val="0"/>
        <w:adjustRightInd w:val="0"/>
        <w:spacing w:before="29" w:line="288" w:lineRule="auto"/>
        <w:jc w:val="left"/>
        <w:rPr>
          <w:color w:val="000000"/>
          <w:sz w:val="24"/>
        </w:rPr>
      </w:pPr>
      <w:r w:rsidRPr="00414345">
        <w:rPr>
          <w:color w:val="000000"/>
          <w:sz w:val="24"/>
        </w:rPr>
        <w:t>本基金管理人本报告期内未进行本基金的申购、赎回、红利再投等。</w:t>
      </w:r>
    </w:p>
    <w:p w:rsidR="00480B35" w:rsidRPr="00414345" w:rsidRDefault="00480B35" w:rsidP="00C15CAC">
      <w:pPr>
        <w:autoSpaceDE w:val="0"/>
        <w:autoSpaceDN w:val="0"/>
        <w:adjustRightInd w:val="0"/>
        <w:spacing w:before="29" w:line="288" w:lineRule="auto"/>
        <w:jc w:val="left"/>
        <w:rPr>
          <w:color w:val="000000"/>
          <w:sz w:val="24"/>
        </w:rPr>
      </w:pPr>
    </w:p>
    <w:p w:rsidR="004061AC" w:rsidRPr="00414345" w:rsidRDefault="004061AC" w:rsidP="00F323FF">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676095" w:rsidRPr="00414345">
        <w:rPr>
          <w:color w:val="000000"/>
          <w:kern w:val="0"/>
          <w:sz w:val="24"/>
          <w:szCs w:val="24"/>
        </w:rPr>
        <w:t>8</w:t>
      </w:r>
      <w:r w:rsidR="00A3030E" w:rsidRPr="00414345">
        <w:rPr>
          <w:color w:val="000000"/>
          <w:kern w:val="0"/>
          <w:sz w:val="24"/>
          <w:szCs w:val="24"/>
        </w:rPr>
        <w:t xml:space="preserve"> </w:t>
      </w:r>
      <w:r w:rsidRPr="00414345">
        <w:rPr>
          <w:color w:val="000000"/>
          <w:kern w:val="0"/>
          <w:sz w:val="24"/>
          <w:szCs w:val="24"/>
        </w:rPr>
        <w:t>影响投资者决策的其他重要信息</w:t>
      </w:r>
    </w:p>
    <w:p w:rsidR="00384A2D" w:rsidRDefault="00B32EA8">
      <w:pPr>
        <w:spacing w:before="29" w:line="288" w:lineRule="auto"/>
        <w:ind w:firstLineChars="200" w:firstLine="480"/>
        <w:rPr>
          <w:color w:val="000000"/>
          <w:sz w:val="24"/>
          <w:szCs w:val="24"/>
        </w:rPr>
      </w:pPr>
      <w:r>
        <w:rPr>
          <w:color w:val="000000"/>
          <w:sz w:val="24"/>
          <w:szCs w:val="24"/>
        </w:rPr>
        <w:t xml:space="preserve">1. </w:t>
      </w:r>
      <w:r>
        <w:rPr>
          <w:color w:val="000000"/>
          <w:sz w:val="24"/>
          <w:szCs w:val="24"/>
        </w:rPr>
        <w:t>根据《中华人民共和国证券投资基金法》、《关于实施</w:t>
      </w:r>
      <w:r>
        <w:rPr>
          <w:color w:val="000000"/>
          <w:sz w:val="24"/>
          <w:szCs w:val="24"/>
        </w:rPr>
        <w:t>&lt;</w:t>
      </w:r>
      <w:r>
        <w:rPr>
          <w:color w:val="000000"/>
          <w:sz w:val="24"/>
          <w:szCs w:val="24"/>
        </w:rPr>
        <w:t>公开募集证券投资基金运作管理办法</w:t>
      </w:r>
      <w:r>
        <w:rPr>
          <w:color w:val="000000"/>
          <w:sz w:val="24"/>
          <w:szCs w:val="24"/>
        </w:rPr>
        <w:t>&gt;</w:t>
      </w:r>
      <w:r>
        <w:rPr>
          <w:color w:val="000000"/>
          <w:sz w:val="24"/>
          <w:szCs w:val="24"/>
        </w:rPr>
        <w:t>有关问题的规定》以及《公开募集证券投资基金运作管理办法》第三十条的规定</w:t>
      </w:r>
      <w:r>
        <w:rPr>
          <w:color w:val="000000"/>
          <w:sz w:val="24"/>
          <w:szCs w:val="24"/>
        </w:rPr>
        <w:t>“</w:t>
      </w:r>
      <w:r>
        <w:rPr>
          <w:color w:val="000000"/>
          <w:sz w:val="24"/>
          <w:szCs w:val="24"/>
        </w:rPr>
        <w:t>基金合同和基金招募说明书应当按照下列规定载明基金的类别：（一）百分之八十以上的基金资产投资于股票的，为股票基金；</w:t>
      </w:r>
      <w:r>
        <w:rPr>
          <w:color w:val="000000"/>
          <w:sz w:val="24"/>
          <w:szCs w:val="24"/>
        </w:rPr>
        <w:t>……</w:t>
      </w:r>
      <w:r>
        <w:rPr>
          <w:color w:val="000000"/>
          <w:sz w:val="24"/>
          <w:szCs w:val="24"/>
        </w:rPr>
        <w:t>（五）投资于股票、债券、货币市场工具或其他基金份额，并且股票投资、债券投资、基金投资的比例不符合第（一）项、第（二）项、第（四）项规定的，为混合基金；</w:t>
      </w:r>
      <w:r>
        <w:rPr>
          <w:color w:val="000000"/>
          <w:sz w:val="24"/>
          <w:szCs w:val="24"/>
        </w:rPr>
        <w:t>……”</w:t>
      </w:r>
      <w:r>
        <w:rPr>
          <w:color w:val="000000"/>
          <w:sz w:val="24"/>
          <w:szCs w:val="24"/>
        </w:rPr>
        <w:t>，由于交银施罗德阿尔法核心股票型证券投资基金的基金投资比例已不符合《公开募集证券投资基金运作管理办法》中关于股票型基金的要求，经与基金托管人协商一致，并报中国证监会备案，本基金管理人决定自</w:t>
      </w:r>
      <w:r>
        <w:rPr>
          <w:color w:val="000000"/>
          <w:sz w:val="24"/>
          <w:szCs w:val="24"/>
        </w:rPr>
        <w:t>2015</w:t>
      </w:r>
      <w:r>
        <w:rPr>
          <w:color w:val="000000"/>
          <w:sz w:val="24"/>
          <w:szCs w:val="24"/>
        </w:rPr>
        <w:t>年</w:t>
      </w:r>
      <w:r>
        <w:rPr>
          <w:color w:val="000000"/>
          <w:sz w:val="24"/>
          <w:szCs w:val="24"/>
        </w:rPr>
        <w:t>8</w:t>
      </w:r>
      <w:r>
        <w:rPr>
          <w:color w:val="000000"/>
          <w:sz w:val="24"/>
          <w:szCs w:val="24"/>
        </w:rPr>
        <w:t>月</w:t>
      </w:r>
      <w:r>
        <w:rPr>
          <w:color w:val="000000"/>
          <w:sz w:val="24"/>
          <w:szCs w:val="24"/>
        </w:rPr>
        <w:t>8</w:t>
      </w:r>
      <w:r>
        <w:rPr>
          <w:color w:val="000000"/>
          <w:sz w:val="24"/>
          <w:szCs w:val="24"/>
        </w:rPr>
        <w:t>日起，调整本基金类型为混合型基金，基金名称变更为</w:t>
      </w:r>
      <w:r>
        <w:rPr>
          <w:color w:val="000000"/>
          <w:sz w:val="24"/>
          <w:szCs w:val="24"/>
        </w:rPr>
        <w:t>“</w:t>
      </w:r>
      <w:r>
        <w:rPr>
          <w:color w:val="000000"/>
          <w:sz w:val="24"/>
          <w:szCs w:val="24"/>
        </w:rPr>
        <w:t>交银施罗德阿尔法核心混合型证券投资基金</w:t>
      </w:r>
      <w:r>
        <w:rPr>
          <w:color w:val="000000"/>
          <w:sz w:val="24"/>
          <w:szCs w:val="24"/>
        </w:rPr>
        <w:t>”</w:t>
      </w:r>
      <w:r>
        <w:rPr>
          <w:color w:val="000000"/>
          <w:sz w:val="24"/>
          <w:szCs w:val="24"/>
        </w:rPr>
        <w:t>，同时相应修改基金合同和托管协议相关表述。详情请见本基金管理人于</w:t>
      </w:r>
      <w:r>
        <w:rPr>
          <w:color w:val="000000"/>
          <w:sz w:val="24"/>
          <w:szCs w:val="24"/>
        </w:rPr>
        <w:t>2015</w:t>
      </w:r>
      <w:r>
        <w:rPr>
          <w:color w:val="000000"/>
          <w:sz w:val="24"/>
          <w:szCs w:val="24"/>
        </w:rPr>
        <w:t>年</w:t>
      </w:r>
      <w:r>
        <w:rPr>
          <w:color w:val="000000"/>
          <w:sz w:val="24"/>
          <w:szCs w:val="24"/>
        </w:rPr>
        <w:t>8</w:t>
      </w:r>
      <w:r>
        <w:rPr>
          <w:color w:val="000000"/>
          <w:sz w:val="24"/>
          <w:szCs w:val="24"/>
        </w:rPr>
        <w:t>月</w:t>
      </w:r>
      <w:r>
        <w:rPr>
          <w:color w:val="000000"/>
          <w:sz w:val="24"/>
          <w:szCs w:val="24"/>
        </w:rPr>
        <w:t>5</w:t>
      </w:r>
      <w:r>
        <w:rPr>
          <w:color w:val="000000"/>
          <w:sz w:val="24"/>
          <w:szCs w:val="24"/>
        </w:rPr>
        <w:t>日发布的《交银施罗德基金管理有限公司关于旗下部分基金变更基金类别及修改基金名称并相应修改基金合同和托管协议的公告》。</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 xml:space="preserve">2. </w:t>
      </w:r>
      <w:r w:rsidRPr="00414345">
        <w:rPr>
          <w:color w:val="000000"/>
          <w:sz w:val="24"/>
          <w:szCs w:val="24"/>
        </w:rPr>
        <w:t>鉴于交银施罗德阿尔法核心混合型证券投资基金的业绩比较基准的指数停止计算编制，本基金管理人根据基金合同的相关约定，经与基金托管人协商一致，并报中国证监会备案，决定自</w:t>
      </w:r>
      <w:r w:rsidRPr="00414345">
        <w:rPr>
          <w:color w:val="000000"/>
          <w:sz w:val="24"/>
          <w:szCs w:val="24"/>
        </w:rPr>
        <w:t>2015</w:t>
      </w:r>
      <w:r w:rsidRPr="00414345">
        <w:rPr>
          <w:color w:val="000000"/>
          <w:sz w:val="24"/>
          <w:szCs w:val="24"/>
        </w:rPr>
        <w:t>年</w:t>
      </w:r>
      <w:r w:rsidRPr="00414345">
        <w:rPr>
          <w:color w:val="000000"/>
          <w:sz w:val="24"/>
          <w:szCs w:val="24"/>
        </w:rPr>
        <w:t>10</w:t>
      </w:r>
      <w:r w:rsidRPr="00414345">
        <w:rPr>
          <w:color w:val="000000"/>
          <w:sz w:val="24"/>
          <w:szCs w:val="24"/>
        </w:rPr>
        <w:t>月</w:t>
      </w:r>
      <w:r w:rsidRPr="00414345">
        <w:rPr>
          <w:color w:val="000000"/>
          <w:sz w:val="24"/>
          <w:szCs w:val="24"/>
        </w:rPr>
        <w:t>1</w:t>
      </w:r>
      <w:r w:rsidRPr="00414345">
        <w:rPr>
          <w:color w:val="000000"/>
          <w:sz w:val="24"/>
          <w:szCs w:val="24"/>
        </w:rPr>
        <w:t>日起将交银施罗德阿尔法核心混合型证券投资基金的业绩比较基准由原</w:t>
      </w:r>
      <w:r w:rsidRPr="00414345">
        <w:rPr>
          <w:color w:val="000000"/>
          <w:sz w:val="24"/>
          <w:szCs w:val="24"/>
        </w:rPr>
        <w:t>“75%</w:t>
      </w:r>
      <w:r w:rsidR="000052E5" w:rsidRPr="000052E5">
        <w:rPr>
          <w:rFonts w:hint="eastAsia"/>
          <w:color w:val="000000"/>
          <w:sz w:val="24"/>
          <w:szCs w:val="24"/>
        </w:rPr>
        <w:t>×</w:t>
      </w:r>
      <w:r w:rsidRPr="00414345">
        <w:rPr>
          <w:color w:val="000000"/>
          <w:sz w:val="24"/>
          <w:szCs w:val="24"/>
        </w:rPr>
        <w:t>沪深</w:t>
      </w:r>
      <w:r w:rsidRPr="00414345">
        <w:rPr>
          <w:color w:val="000000"/>
          <w:sz w:val="24"/>
          <w:szCs w:val="24"/>
        </w:rPr>
        <w:t>300</w:t>
      </w:r>
      <w:r w:rsidRPr="00414345">
        <w:rPr>
          <w:color w:val="000000"/>
          <w:sz w:val="24"/>
          <w:szCs w:val="24"/>
        </w:rPr>
        <w:t>指数收益率</w:t>
      </w:r>
      <w:r w:rsidRPr="00414345">
        <w:rPr>
          <w:color w:val="000000"/>
          <w:sz w:val="24"/>
          <w:szCs w:val="24"/>
        </w:rPr>
        <w:t>+25%</w:t>
      </w:r>
      <w:r w:rsidR="000052E5" w:rsidRPr="000052E5">
        <w:rPr>
          <w:rFonts w:hint="eastAsia"/>
          <w:color w:val="000000"/>
          <w:sz w:val="24"/>
          <w:szCs w:val="24"/>
        </w:rPr>
        <w:t>×</w:t>
      </w:r>
      <w:r w:rsidRPr="00414345">
        <w:rPr>
          <w:color w:val="000000"/>
          <w:sz w:val="24"/>
          <w:szCs w:val="24"/>
        </w:rPr>
        <w:t>中信标普全债指数收益率</w:t>
      </w:r>
      <w:r w:rsidRPr="00414345">
        <w:rPr>
          <w:color w:val="000000"/>
          <w:sz w:val="24"/>
          <w:szCs w:val="24"/>
        </w:rPr>
        <w:t>”</w:t>
      </w:r>
      <w:r w:rsidRPr="00414345">
        <w:rPr>
          <w:color w:val="000000"/>
          <w:sz w:val="24"/>
          <w:szCs w:val="24"/>
        </w:rPr>
        <w:t>变更为</w:t>
      </w:r>
      <w:r w:rsidRPr="00414345">
        <w:rPr>
          <w:color w:val="000000"/>
          <w:sz w:val="24"/>
          <w:szCs w:val="24"/>
        </w:rPr>
        <w:t>“75%</w:t>
      </w:r>
      <w:r w:rsidR="000052E5" w:rsidRPr="000052E5">
        <w:rPr>
          <w:rFonts w:hint="eastAsia"/>
          <w:color w:val="000000"/>
          <w:sz w:val="24"/>
          <w:szCs w:val="24"/>
        </w:rPr>
        <w:t>×</w:t>
      </w:r>
      <w:r w:rsidRPr="00414345">
        <w:rPr>
          <w:color w:val="000000"/>
          <w:sz w:val="24"/>
          <w:szCs w:val="24"/>
        </w:rPr>
        <w:t>沪深</w:t>
      </w:r>
      <w:r w:rsidRPr="00414345">
        <w:rPr>
          <w:color w:val="000000"/>
          <w:sz w:val="24"/>
          <w:szCs w:val="24"/>
        </w:rPr>
        <w:t>300</w:t>
      </w:r>
      <w:r w:rsidRPr="00414345">
        <w:rPr>
          <w:color w:val="000000"/>
          <w:sz w:val="24"/>
          <w:szCs w:val="24"/>
        </w:rPr>
        <w:t>指数收益率</w:t>
      </w:r>
      <w:r w:rsidRPr="00414345">
        <w:rPr>
          <w:color w:val="000000"/>
          <w:sz w:val="24"/>
          <w:szCs w:val="24"/>
        </w:rPr>
        <w:t>+25%</w:t>
      </w:r>
      <w:r w:rsidR="000052E5" w:rsidRPr="000052E5">
        <w:rPr>
          <w:rFonts w:hint="eastAsia"/>
          <w:color w:val="000000"/>
          <w:sz w:val="24"/>
          <w:szCs w:val="24"/>
        </w:rPr>
        <w:t>×</w:t>
      </w:r>
      <w:r w:rsidRPr="00414345">
        <w:rPr>
          <w:color w:val="000000"/>
          <w:sz w:val="24"/>
          <w:szCs w:val="24"/>
        </w:rPr>
        <w:t>中证综合债券指数收益率</w:t>
      </w:r>
      <w:r w:rsidRPr="00414345">
        <w:rPr>
          <w:color w:val="000000"/>
          <w:sz w:val="24"/>
          <w:szCs w:val="24"/>
        </w:rPr>
        <w:t>”</w:t>
      </w:r>
      <w:r w:rsidRPr="00414345">
        <w:rPr>
          <w:color w:val="000000"/>
          <w:sz w:val="24"/>
          <w:szCs w:val="24"/>
        </w:rPr>
        <w:t>，并相应修改基金合同的有关内容。详情请见本基金管理人于</w:t>
      </w:r>
      <w:r w:rsidRPr="00414345">
        <w:rPr>
          <w:color w:val="000000"/>
          <w:sz w:val="24"/>
          <w:szCs w:val="24"/>
        </w:rPr>
        <w:t>2015</w:t>
      </w:r>
      <w:r w:rsidRPr="00414345">
        <w:rPr>
          <w:color w:val="000000"/>
          <w:sz w:val="24"/>
          <w:szCs w:val="24"/>
        </w:rPr>
        <w:t>年</w:t>
      </w:r>
      <w:r w:rsidRPr="00414345">
        <w:rPr>
          <w:color w:val="000000"/>
          <w:sz w:val="24"/>
          <w:szCs w:val="24"/>
        </w:rPr>
        <w:t>9</w:t>
      </w:r>
      <w:r w:rsidRPr="00414345">
        <w:rPr>
          <w:color w:val="000000"/>
          <w:sz w:val="24"/>
          <w:szCs w:val="24"/>
        </w:rPr>
        <w:t>月</w:t>
      </w:r>
      <w:r w:rsidRPr="00414345">
        <w:rPr>
          <w:color w:val="000000"/>
          <w:sz w:val="24"/>
          <w:szCs w:val="24"/>
        </w:rPr>
        <w:t>28</w:t>
      </w:r>
      <w:r w:rsidRPr="00414345">
        <w:rPr>
          <w:color w:val="000000"/>
          <w:sz w:val="24"/>
          <w:szCs w:val="24"/>
        </w:rPr>
        <w:t>日发布的《交银施罗德基金管理有限公司关于旗下部分基金业绩比较基准变更并修改基金合同相关内容的公告》。</w:t>
      </w:r>
    </w:p>
    <w:p w:rsidR="00ED6E80" w:rsidRPr="00414345" w:rsidRDefault="00ED6E80" w:rsidP="00C15CAC">
      <w:pPr>
        <w:spacing w:before="29" w:line="288" w:lineRule="auto"/>
        <w:ind w:firstLineChars="200" w:firstLine="480"/>
        <w:rPr>
          <w:color w:val="000000"/>
          <w:sz w:val="24"/>
          <w:szCs w:val="24"/>
        </w:rPr>
      </w:pPr>
    </w:p>
    <w:p w:rsidR="00B22DEE" w:rsidRPr="00E02660" w:rsidRDefault="004061AC" w:rsidP="00F323FF">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D02347" w:rsidRPr="00414345">
        <w:rPr>
          <w:color w:val="000000"/>
          <w:kern w:val="0"/>
          <w:sz w:val="24"/>
          <w:szCs w:val="24"/>
        </w:rPr>
        <w:t>9</w:t>
      </w:r>
      <w:r w:rsidR="00A3030E" w:rsidRPr="00414345">
        <w:rPr>
          <w:color w:val="000000"/>
          <w:kern w:val="0"/>
          <w:sz w:val="24"/>
          <w:szCs w:val="24"/>
        </w:rPr>
        <w:t xml:space="preserve"> </w:t>
      </w:r>
      <w:r w:rsidRPr="00414345">
        <w:rPr>
          <w:color w:val="000000"/>
          <w:kern w:val="0"/>
          <w:sz w:val="24"/>
          <w:szCs w:val="24"/>
        </w:rPr>
        <w:t>备查文件目录</w:t>
      </w: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1</w:t>
      </w:r>
      <w:r w:rsidR="00E705CC" w:rsidRPr="00414345">
        <w:rPr>
          <w:b/>
          <w:bCs/>
          <w:color w:val="000000"/>
          <w:kern w:val="0"/>
          <w:sz w:val="24"/>
          <w:szCs w:val="24"/>
        </w:rPr>
        <w:t xml:space="preserve"> </w:t>
      </w:r>
      <w:r w:rsidR="004061AC" w:rsidRPr="00414345">
        <w:rPr>
          <w:b/>
          <w:bCs/>
          <w:color w:val="000000"/>
          <w:kern w:val="0"/>
          <w:sz w:val="24"/>
          <w:szCs w:val="24"/>
        </w:rPr>
        <w:t>备查文件目录</w:t>
      </w:r>
    </w:p>
    <w:p w:rsidR="00384A2D" w:rsidRDefault="00B32EA8">
      <w:pPr>
        <w:spacing w:before="29" w:line="288" w:lineRule="auto"/>
        <w:ind w:firstLineChars="200" w:firstLine="480"/>
        <w:rPr>
          <w:color w:val="000000"/>
          <w:sz w:val="24"/>
          <w:szCs w:val="24"/>
        </w:rPr>
      </w:pPr>
      <w:r>
        <w:rPr>
          <w:color w:val="000000"/>
          <w:sz w:val="24"/>
          <w:szCs w:val="24"/>
        </w:rPr>
        <w:t>1</w:t>
      </w:r>
      <w:r>
        <w:rPr>
          <w:color w:val="000000"/>
          <w:sz w:val="24"/>
          <w:szCs w:val="24"/>
        </w:rPr>
        <w:t>、中国证监会核准交银施罗德阿尔法核心股票型证券投资基金募集的文件；</w:t>
      </w:r>
      <w:r>
        <w:rPr>
          <w:color w:val="000000"/>
          <w:sz w:val="24"/>
          <w:szCs w:val="24"/>
        </w:rPr>
        <w:t xml:space="preserve"> </w:t>
      </w:r>
    </w:p>
    <w:p w:rsidR="00384A2D" w:rsidRDefault="00B32EA8">
      <w:pPr>
        <w:spacing w:before="29" w:line="288" w:lineRule="auto"/>
        <w:ind w:firstLineChars="200" w:firstLine="480"/>
        <w:rPr>
          <w:color w:val="000000"/>
          <w:sz w:val="24"/>
          <w:szCs w:val="24"/>
        </w:rPr>
      </w:pPr>
      <w:r>
        <w:rPr>
          <w:color w:val="000000"/>
          <w:sz w:val="24"/>
          <w:szCs w:val="24"/>
        </w:rPr>
        <w:t>2</w:t>
      </w:r>
      <w:r>
        <w:rPr>
          <w:color w:val="000000"/>
          <w:sz w:val="24"/>
          <w:szCs w:val="24"/>
        </w:rPr>
        <w:t>、《交银施罗德阿尔法核心混合型证券投资基金基金合同》；</w:t>
      </w:r>
      <w:r>
        <w:rPr>
          <w:color w:val="000000"/>
          <w:sz w:val="24"/>
          <w:szCs w:val="24"/>
        </w:rPr>
        <w:t xml:space="preserve"> </w:t>
      </w:r>
    </w:p>
    <w:p w:rsidR="00384A2D" w:rsidRDefault="00B32EA8">
      <w:pPr>
        <w:spacing w:before="29" w:line="288" w:lineRule="auto"/>
        <w:ind w:firstLineChars="200" w:firstLine="480"/>
        <w:rPr>
          <w:color w:val="000000"/>
          <w:sz w:val="24"/>
          <w:szCs w:val="24"/>
        </w:rPr>
      </w:pPr>
      <w:r>
        <w:rPr>
          <w:color w:val="000000"/>
          <w:sz w:val="24"/>
          <w:szCs w:val="24"/>
        </w:rPr>
        <w:lastRenderedPageBreak/>
        <w:t>3</w:t>
      </w:r>
      <w:r>
        <w:rPr>
          <w:color w:val="000000"/>
          <w:sz w:val="24"/>
          <w:szCs w:val="24"/>
        </w:rPr>
        <w:t>、《交银施罗德阿尔法核心混合型证券投资基金招募说明书》；</w:t>
      </w:r>
      <w:r>
        <w:rPr>
          <w:color w:val="000000"/>
          <w:sz w:val="24"/>
          <w:szCs w:val="24"/>
        </w:rPr>
        <w:t xml:space="preserve"> </w:t>
      </w:r>
    </w:p>
    <w:p w:rsidR="00384A2D" w:rsidRDefault="00B32EA8">
      <w:pPr>
        <w:spacing w:before="29" w:line="288" w:lineRule="auto"/>
        <w:ind w:firstLineChars="200" w:firstLine="480"/>
        <w:rPr>
          <w:color w:val="000000"/>
          <w:sz w:val="24"/>
          <w:szCs w:val="24"/>
        </w:rPr>
      </w:pPr>
      <w:r>
        <w:rPr>
          <w:color w:val="000000"/>
          <w:sz w:val="24"/>
          <w:szCs w:val="24"/>
        </w:rPr>
        <w:t>4</w:t>
      </w:r>
      <w:r>
        <w:rPr>
          <w:color w:val="000000"/>
          <w:sz w:val="24"/>
          <w:szCs w:val="24"/>
        </w:rPr>
        <w:t>、《交银施罗德阿尔法核心混合型证券投资基金托管协议》；</w:t>
      </w:r>
    </w:p>
    <w:p w:rsidR="00384A2D" w:rsidRDefault="00B32EA8">
      <w:pPr>
        <w:spacing w:before="29" w:line="288" w:lineRule="auto"/>
        <w:ind w:firstLineChars="200" w:firstLine="480"/>
        <w:rPr>
          <w:color w:val="000000"/>
          <w:sz w:val="24"/>
          <w:szCs w:val="24"/>
        </w:rPr>
      </w:pPr>
      <w:r>
        <w:rPr>
          <w:color w:val="000000"/>
          <w:sz w:val="24"/>
          <w:szCs w:val="24"/>
        </w:rPr>
        <w:t>5</w:t>
      </w:r>
      <w:r>
        <w:rPr>
          <w:color w:val="000000"/>
          <w:sz w:val="24"/>
          <w:szCs w:val="24"/>
        </w:rPr>
        <w:t>、关于募集交银施罗德阿尔法核心股票型证券投资基金之法律意见书；</w:t>
      </w:r>
    </w:p>
    <w:p w:rsidR="00384A2D" w:rsidRDefault="00B32EA8">
      <w:pPr>
        <w:spacing w:before="29" w:line="288" w:lineRule="auto"/>
        <w:ind w:firstLineChars="200" w:firstLine="480"/>
        <w:rPr>
          <w:color w:val="000000"/>
          <w:sz w:val="24"/>
          <w:szCs w:val="24"/>
        </w:rPr>
      </w:pPr>
      <w:r>
        <w:rPr>
          <w:color w:val="000000"/>
          <w:sz w:val="24"/>
          <w:szCs w:val="24"/>
        </w:rPr>
        <w:t>6</w:t>
      </w:r>
      <w:r>
        <w:rPr>
          <w:color w:val="000000"/>
          <w:sz w:val="24"/>
          <w:szCs w:val="24"/>
        </w:rPr>
        <w:t>、基金管理人业务资格批件、营业执照；</w:t>
      </w:r>
    </w:p>
    <w:p w:rsidR="00384A2D" w:rsidRDefault="00B32EA8">
      <w:pPr>
        <w:spacing w:before="29" w:line="288" w:lineRule="auto"/>
        <w:ind w:firstLineChars="200" w:firstLine="480"/>
        <w:rPr>
          <w:color w:val="000000"/>
          <w:sz w:val="24"/>
          <w:szCs w:val="24"/>
        </w:rPr>
      </w:pPr>
      <w:r>
        <w:rPr>
          <w:color w:val="000000"/>
          <w:sz w:val="24"/>
          <w:szCs w:val="24"/>
        </w:rPr>
        <w:t>7</w:t>
      </w:r>
      <w:r>
        <w:rPr>
          <w:color w:val="000000"/>
          <w:sz w:val="24"/>
          <w:szCs w:val="24"/>
        </w:rPr>
        <w:t>、基金托管人业务资格批件、营业执照；</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8</w:t>
      </w:r>
      <w:r w:rsidRPr="00414345">
        <w:rPr>
          <w:color w:val="000000"/>
          <w:sz w:val="24"/>
          <w:szCs w:val="24"/>
        </w:rPr>
        <w:t>、报告期内交银施罗德阿尔法核心混合型证券投资基金在指定报刊上各项公告的原稿。</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2</w:t>
      </w:r>
      <w:r w:rsidR="00E705CC" w:rsidRPr="00414345">
        <w:rPr>
          <w:b/>
          <w:bCs/>
          <w:color w:val="000000"/>
          <w:kern w:val="0"/>
          <w:sz w:val="24"/>
          <w:szCs w:val="24"/>
        </w:rPr>
        <w:t xml:space="preserve"> </w:t>
      </w:r>
      <w:r w:rsidR="004061AC" w:rsidRPr="00414345">
        <w:rPr>
          <w:b/>
          <w:bCs/>
          <w:color w:val="000000"/>
          <w:kern w:val="0"/>
          <w:sz w:val="24"/>
          <w:szCs w:val="24"/>
        </w:rPr>
        <w:t>存放地点</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备查文件存放于基金管理人的办公场所。</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3</w:t>
      </w:r>
      <w:r w:rsidR="00E705CC" w:rsidRPr="00414345">
        <w:rPr>
          <w:b/>
          <w:bCs/>
          <w:color w:val="000000"/>
          <w:kern w:val="0"/>
          <w:sz w:val="24"/>
          <w:szCs w:val="24"/>
        </w:rPr>
        <w:t xml:space="preserve"> </w:t>
      </w:r>
      <w:r w:rsidR="004061AC" w:rsidRPr="00414345">
        <w:rPr>
          <w:b/>
          <w:bCs/>
          <w:color w:val="000000"/>
          <w:kern w:val="0"/>
          <w:sz w:val="24"/>
          <w:szCs w:val="24"/>
        </w:rPr>
        <w:t>查阅方式</w:t>
      </w:r>
    </w:p>
    <w:p w:rsidR="00384A2D" w:rsidRDefault="00B32EA8">
      <w:pPr>
        <w:spacing w:before="29" w:line="288" w:lineRule="auto"/>
        <w:ind w:firstLineChars="200" w:firstLine="480"/>
        <w:rPr>
          <w:color w:val="000000"/>
          <w:sz w:val="24"/>
          <w:szCs w:val="24"/>
        </w:rPr>
      </w:pPr>
      <w:r>
        <w:rPr>
          <w:color w:val="000000"/>
          <w:sz w:val="24"/>
          <w:szCs w:val="24"/>
        </w:rPr>
        <w:t>投资者可在办公时间内至基金管理人的办公场所免费查阅备查文件，或者登录基金管理人的网站</w:t>
      </w:r>
      <w:r>
        <w:rPr>
          <w:color w:val="000000"/>
          <w:sz w:val="24"/>
          <w:szCs w:val="24"/>
        </w:rPr>
        <w:t>(www.fund001.com</w:t>
      </w:r>
      <w:r>
        <w:rPr>
          <w:color w:val="000000"/>
          <w:sz w:val="24"/>
          <w:szCs w:val="24"/>
        </w:rPr>
        <w:t>，</w:t>
      </w:r>
      <w:r>
        <w:rPr>
          <w:color w:val="000000"/>
          <w:sz w:val="24"/>
          <w:szCs w:val="24"/>
        </w:rPr>
        <w:t>www.bocomschroder.com)</w:t>
      </w:r>
      <w:r>
        <w:rPr>
          <w:color w:val="000000"/>
          <w:sz w:val="24"/>
          <w:szCs w:val="24"/>
        </w:rPr>
        <w:t>查阅。在支付工本费后，投资者可在合理时间内取得上述文件的复制件或复印件。</w:t>
      </w:r>
      <w:r>
        <w:rPr>
          <w:color w:val="000000"/>
          <w:sz w:val="24"/>
          <w:szCs w:val="24"/>
        </w:rPr>
        <w:t xml:space="preserve"> </w:t>
      </w:r>
    </w:p>
    <w:p w:rsidR="00A90049" w:rsidRPr="00414345" w:rsidRDefault="006D7FF8" w:rsidP="00C15CAC">
      <w:pPr>
        <w:spacing w:before="29" w:line="288" w:lineRule="auto"/>
        <w:ind w:firstLineChars="200" w:firstLine="480"/>
        <w:rPr>
          <w:color w:val="000000"/>
          <w:sz w:val="24"/>
          <w:szCs w:val="24"/>
        </w:rPr>
      </w:pPr>
      <w:r w:rsidRPr="00414345">
        <w:rPr>
          <w:color w:val="000000"/>
          <w:sz w:val="24"/>
          <w:szCs w:val="24"/>
        </w:rPr>
        <w:t>投资者对本报告书如有疑问，可咨询本基金管理人交银施罗德基金管理有限公司。本公司客户服务中心电话：</w:t>
      </w:r>
      <w:r w:rsidRPr="00414345">
        <w:rPr>
          <w:color w:val="000000"/>
          <w:sz w:val="24"/>
          <w:szCs w:val="24"/>
        </w:rPr>
        <w:t>400-700-5000</w:t>
      </w:r>
      <w:r w:rsidRPr="00414345">
        <w:rPr>
          <w:color w:val="000000"/>
          <w:sz w:val="24"/>
          <w:szCs w:val="24"/>
        </w:rPr>
        <w:t>（免长途话费），</w:t>
      </w:r>
      <w:r w:rsidRPr="00414345">
        <w:rPr>
          <w:color w:val="000000"/>
          <w:sz w:val="24"/>
          <w:szCs w:val="24"/>
        </w:rPr>
        <w:t>021-61055000</w:t>
      </w:r>
      <w:r w:rsidRPr="00414345">
        <w:rPr>
          <w:color w:val="000000"/>
          <w:sz w:val="24"/>
          <w:szCs w:val="24"/>
        </w:rPr>
        <w:t>，电子邮件：</w:t>
      </w:r>
      <w:r w:rsidRPr="00414345">
        <w:rPr>
          <w:color w:val="000000"/>
          <w:sz w:val="24"/>
          <w:szCs w:val="24"/>
        </w:rPr>
        <w:t>services@jysld.com</w:t>
      </w:r>
      <w:r w:rsidRPr="00414345">
        <w:rPr>
          <w:color w:val="000000"/>
          <w:sz w:val="24"/>
          <w:szCs w:val="24"/>
        </w:rPr>
        <w:t>。</w:t>
      </w:r>
    </w:p>
    <w:p w:rsidR="002C3C7A" w:rsidRPr="00414345" w:rsidRDefault="002C3C7A" w:rsidP="00C15CAC">
      <w:pPr>
        <w:spacing w:before="29" w:line="288" w:lineRule="auto"/>
        <w:ind w:firstLineChars="200" w:firstLine="480"/>
        <w:rPr>
          <w:color w:val="000000"/>
          <w:sz w:val="24"/>
          <w:szCs w:val="24"/>
        </w:rPr>
      </w:pPr>
    </w:p>
    <w:sectPr w:rsidR="002C3C7A" w:rsidRPr="00414345" w:rsidSect="00000678">
      <w:pgSz w:w="11906" w:h="16838" w:code="9"/>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2A94" w:rsidRDefault="00E82A94" w:rsidP="00876D65">
      <w:r>
        <w:separator/>
      </w:r>
    </w:p>
  </w:endnote>
  <w:endnote w:type="continuationSeparator" w:id="0">
    <w:p w:rsidR="00E82A94" w:rsidRDefault="00E82A94" w:rsidP="00876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FangSong">
    <w:altName w:val="Arial"/>
    <w:charset w:val="00"/>
    <w:family w:val="auto"/>
    <w:pitch w:val="default"/>
    <w:sig w:usb0="00000003" w:usb1="00000000" w:usb2="00000000" w:usb3="00000000" w:csb0="00000001" w:csb1="00000000"/>
  </w:font>
  <w:font w:name="方正仿宋简体">
    <w:altName w:val="宋体"/>
    <w:charset w:val="86"/>
    <w:family w:val="auto"/>
    <w:pitch w:val="default"/>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2EA8" w:rsidRPr="001D0DB0" w:rsidRDefault="00B32EA8" w:rsidP="004D340C">
    <w:pPr>
      <w:pStyle w:val="a6"/>
      <w:jc w:val="center"/>
    </w:pPr>
    <w:r>
      <w:rPr>
        <w:rFonts w:hint="eastAsia"/>
        <w:kern w:val="0"/>
        <w:szCs w:val="21"/>
      </w:rPr>
      <w:t>第</w:t>
    </w:r>
    <w:r>
      <w:rPr>
        <w:rFonts w:hint="eastAsia"/>
        <w:kern w:val="0"/>
        <w:szCs w:val="21"/>
      </w:rPr>
      <w:t xml:space="preserve"> </w:t>
    </w:r>
    <w:r>
      <w:rPr>
        <w:kern w:val="0"/>
        <w:szCs w:val="21"/>
      </w:rPr>
      <w:fldChar w:fldCharType="begin"/>
    </w:r>
    <w:r>
      <w:rPr>
        <w:kern w:val="0"/>
        <w:szCs w:val="21"/>
      </w:rPr>
      <w:instrText xml:space="preserve"> PAGE </w:instrText>
    </w:r>
    <w:r>
      <w:rPr>
        <w:kern w:val="0"/>
        <w:szCs w:val="21"/>
      </w:rPr>
      <w:fldChar w:fldCharType="separate"/>
    </w:r>
    <w:r w:rsidR="004E6571">
      <w:rPr>
        <w:noProof/>
        <w:kern w:val="0"/>
        <w:szCs w:val="21"/>
      </w:rPr>
      <w:t>1</w:t>
    </w:r>
    <w:r>
      <w:rPr>
        <w:kern w:val="0"/>
        <w:szCs w:val="21"/>
      </w:rPr>
      <w:fldChar w:fldCharType="end"/>
    </w:r>
    <w:r>
      <w:rPr>
        <w:rFonts w:hint="eastAsia"/>
        <w:kern w:val="0"/>
        <w:szCs w:val="21"/>
      </w:rPr>
      <w:t xml:space="preserve"> </w:t>
    </w:r>
    <w:r>
      <w:rPr>
        <w:rFonts w:hint="eastAsia"/>
        <w:kern w:val="0"/>
        <w:szCs w:val="21"/>
      </w:rPr>
      <w:t>页</w:t>
    </w:r>
    <w:r>
      <w:rPr>
        <w:rFonts w:hint="eastAsia"/>
        <w:kern w:val="0"/>
        <w:szCs w:val="21"/>
      </w:rPr>
      <w:t xml:space="preserve"> </w:t>
    </w:r>
    <w:r>
      <w:rPr>
        <w:rFonts w:hint="eastAsia"/>
        <w:kern w:val="0"/>
        <w:szCs w:val="21"/>
      </w:rPr>
      <w:t>共</w:t>
    </w:r>
    <w:r>
      <w:rPr>
        <w:rFonts w:hint="eastAsia"/>
        <w:kern w:val="0"/>
        <w:szCs w:val="21"/>
      </w:rPr>
      <w:t xml:space="preserve"> </w:t>
    </w:r>
    <w:r>
      <w:rPr>
        <w:kern w:val="0"/>
        <w:szCs w:val="21"/>
      </w:rPr>
      <w:fldChar w:fldCharType="begin"/>
    </w:r>
    <w:r>
      <w:rPr>
        <w:kern w:val="0"/>
        <w:szCs w:val="21"/>
      </w:rPr>
      <w:instrText xml:space="preserve"> NUMPAGES </w:instrText>
    </w:r>
    <w:r>
      <w:rPr>
        <w:kern w:val="0"/>
        <w:szCs w:val="21"/>
      </w:rPr>
      <w:fldChar w:fldCharType="separate"/>
    </w:r>
    <w:r w:rsidR="004E6571">
      <w:rPr>
        <w:noProof/>
        <w:kern w:val="0"/>
        <w:szCs w:val="21"/>
      </w:rPr>
      <w:t>12</w:t>
    </w:r>
    <w:r>
      <w:rPr>
        <w:kern w:val="0"/>
        <w:szCs w:val="21"/>
      </w:rPr>
      <w:fldChar w:fldCharType="end"/>
    </w:r>
    <w:r>
      <w:rPr>
        <w:rFonts w:hint="eastAsia"/>
        <w:kern w:val="0"/>
        <w:szCs w:val="21"/>
      </w:rPr>
      <w:t xml:space="preserve"> </w:t>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2A94" w:rsidRDefault="00E82A94" w:rsidP="00876D65">
      <w:r>
        <w:separator/>
      </w:r>
    </w:p>
  </w:footnote>
  <w:footnote w:type="continuationSeparator" w:id="0">
    <w:p w:rsidR="00E82A94" w:rsidRDefault="00E82A94" w:rsidP="00876D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2EA8" w:rsidRPr="00CA574C" w:rsidRDefault="00B32EA8" w:rsidP="00090A26">
    <w:pPr>
      <w:pStyle w:val="a9"/>
      <w:pBdr>
        <w:bottom w:val="single" w:sz="6" w:space="0" w:color="auto"/>
      </w:pBdr>
      <w:jc w:val="right"/>
    </w:pPr>
    <w:r>
      <w:rPr>
        <w:rFonts w:hint="eastAsia"/>
        <w:noProof/>
      </w:rPr>
      <w:drawing>
        <wp:anchor distT="0" distB="0" distL="114300" distR="114300" simplePos="0" relativeHeight="251658240" behindDoc="0" locked="0" layoutInCell="1" allowOverlap="1">
          <wp:simplePos x="0" y="0"/>
          <wp:positionH relativeFrom="column">
            <wp:posOffset>-14605</wp:posOffset>
          </wp:positionH>
          <wp:positionV relativeFrom="paragraph">
            <wp:posOffset>-340360</wp:posOffset>
          </wp:positionV>
          <wp:extent cx="2085975" cy="457200"/>
          <wp:effectExtent l="19050" t="0" r="9525" b="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start w:val="1"/>
      <w:numFmt w:val="bullet"/>
      <w:lvlText w:val=""/>
      <w:lvlJc w:val="left"/>
      <w:pPr>
        <w:tabs>
          <w:tab w:val="num" w:pos="1260"/>
        </w:tabs>
        <w:ind w:left="1260" w:hanging="420"/>
      </w:pPr>
      <w:rPr>
        <w:rFonts w:ascii="Wingdings" w:hAnsi="Wingdings" w:cs="Wingdings" w:hint="default"/>
      </w:rPr>
    </w:lvl>
    <w:lvl w:ilvl="2" w:tplc="04090005">
      <w:start w:val="1"/>
      <w:numFmt w:val="bullet"/>
      <w:lvlText w:val=""/>
      <w:lvlJc w:val="left"/>
      <w:pPr>
        <w:tabs>
          <w:tab w:val="num" w:pos="1680"/>
        </w:tabs>
        <w:ind w:left="1680" w:hanging="420"/>
      </w:pPr>
      <w:rPr>
        <w:rFonts w:ascii="Wingdings" w:hAnsi="Wingdings" w:cs="Wingdings" w:hint="default"/>
      </w:rPr>
    </w:lvl>
    <w:lvl w:ilvl="3" w:tplc="04090001">
      <w:start w:val="1"/>
      <w:numFmt w:val="bullet"/>
      <w:lvlText w:val=""/>
      <w:lvlJc w:val="left"/>
      <w:pPr>
        <w:tabs>
          <w:tab w:val="num" w:pos="2100"/>
        </w:tabs>
        <w:ind w:left="2100" w:hanging="420"/>
      </w:pPr>
      <w:rPr>
        <w:rFonts w:ascii="Wingdings" w:hAnsi="Wingdings" w:cs="Wingdings" w:hint="default"/>
      </w:rPr>
    </w:lvl>
    <w:lvl w:ilvl="4" w:tplc="04090003">
      <w:start w:val="1"/>
      <w:numFmt w:val="bullet"/>
      <w:lvlText w:val=""/>
      <w:lvlJc w:val="left"/>
      <w:pPr>
        <w:tabs>
          <w:tab w:val="num" w:pos="2520"/>
        </w:tabs>
        <w:ind w:left="2520" w:hanging="420"/>
      </w:pPr>
      <w:rPr>
        <w:rFonts w:ascii="Wingdings" w:hAnsi="Wingdings" w:cs="Wingdings" w:hint="default"/>
      </w:rPr>
    </w:lvl>
    <w:lvl w:ilvl="5" w:tplc="04090005">
      <w:start w:val="1"/>
      <w:numFmt w:val="bullet"/>
      <w:lvlText w:val=""/>
      <w:lvlJc w:val="left"/>
      <w:pPr>
        <w:tabs>
          <w:tab w:val="num" w:pos="2940"/>
        </w:tabs>
        <w:ind w:left="2940" w:hanging="420"/>
      </w:pPr>
      <w:rPr>
        <w:rFonts w:ascii="Wingdings" w:hAnsi="Wingdings" w:cs="Wingdings" w:hint="default"/>
      </w:rPr>
    </w:lvl>
    <w:lvl w:ilvl="6" w:tplc="04090001">
      <w:start w:val="1"/>
      <w:numFmt w:val="bullet"/>
      <w:lvlText w:val=""/>
      <w:lvlJc w:val="left"/>
      <w:pPr>
        <w:tabs>
          <w:tab w:val="num" w:pos="3360"/>
        </w:tabs>
        <w:ind w:left="3360" w:hanging="420"/>
      </w:pPr>
      <w:rPr>
        <w:rFonts w:ascii="Wingdings" w:hAnsi="Wingdings" w:cs="Wingdings" w:hint="default"/>
      </w:rPr>
    </w:lvl>
    <w:lvl w:ilvl="7" w:tplc="04090003">
      <w:start w:val="1"/>
      <w:numFmt w:val="bullet"/>
      <w:lvlText w:val=""/>
      <w:lvlJc w:val="left"/>
      <w:pPr>
        <w:tabs>
          <w:tab w:val="num" w:pos="3780"/>
        </w:tabs>
        <w:ind w:left="3780" w:hanging="420"/>
      </w:pPr>
      <w:rPr>
        <w:rFonts w:ascii="Wingdings" w:hAnsi="Wingdings" w:cs="Wingdings" w:hint="default"/>
      </w:rPr>
    </w:lvl>
    <w:lvl w:ilvl="8" w:tplc="04090005">
      <w:start w:val="1"/>
      <w:numFmt w:val="bullet"/>
      <w:lvlText w:val=""/>
      <w:lvlJc w:val="left"/>
      <w:pPr>
        <w:tabs>
          <w:tab w:val="num" w:pos="4200"/>
        </w:tabs>
        <w:ind w:left="4200" w:hanging="420"/>
      </w:pPr>
      <w:rPr>
        <w:rFonts w:ascii="Wingdings" w:hAnsi="Wingdings" w:cs="Wingdings" w:hint="default"/>
      </w:rPr>
    </w:lvl>
  </w:abstractNum>
  <w:abstractNum w:abstractNumId="1"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szCs w:val="24"/>
      </w:rPr>
    </w:lvl>
    <w:lvl w:ilvl="1" w:tplc="04090019">
      <w:start w:val="1"/>
      <w:numFmt w:val="lowerLetter"/>
      <w:lvlText w:val="%2)"/>
      <w:lvlJc w:val="left"/>
      <w:pPr>
        <w:tabs>
          <w:tab w:val="num" w:pos="1320"/>
        </w:tabs>
        <w:ind w:left="1320" w:hanging="420"/>
      </w:pPr>
    </w:lvl>
    <w:lvl w:ilvl="2" w:tplc="0409001B">
      <w:start w:val="1"/>
      <w:numFmt w:val="lowerRoman"/>
      <w:lvlText w:val="%3."/>
      <w:lvlJc w:val="right"/>
      <w:pPr>
        <w:tabs>
          <w:tab w:val="num" w:pos="1740"/>
        </w:tabs>
        <w:ind w:left="1740" w:hanging="420"/>
      </w:pPr>
    </w:lvl>
    <w:lvl w:ilvl="3" w:tplc="0409000F">
      <w:start w:val="1"/>
      <w:numFmt w:val="decimal"/>
      <w:lvlText w:val="%4."/>
      <w:lvlJc w:val="left"/>
      <w:pPr>
        <w:tabs>
          <w:tab w:val="num" w:pos="2160"/>
        </w:tabs>
        <w:ind w:left="2160" w:hanging="420"/>
      </w:pPr>
    </w:lvl>
    <w:lvl w:ilvl="4" w:tplc="04090019">
      <w:start w:val="1"/>
      <w:numFmt w:val="lowerLetter"/>
      <w:lvlText w:val="%5)"/>
      <w:lvlJc w:val="left"/>
      <w:pPr>
        <w:tabs>
          <w:tab w:val="num" w:pos="2580"/>
        </w:tabs>
        <w:ind w:left="2580" w:hanging="420"/>
      </w:pPr>
    </w:lvl>
    <w:lvl w:ilvl="5" w:tplc="0409001B">
      <w:start w:val="1"/>
      <w:numFmt w:val="lowerRoman"/>
      <w:lvlText w:val="%6."/>
      <w:lvlJc w:val="right"/>
      <w:pPr>
        <w:tabs>
          <w:tab w:val="num" w:pos="3000"/>
        </w:tabs>
        <w:ind w:left="3000" w:hanging="420"/>
      </w:pPr>
    </w:lvl>
    <w:lvl w:ilvl="6" w:tplc="0409000F">
      <w:start w:val="1"/>
      <w:numFmt w:val="decimal"/>
      <w:lvlText w:val="%7."/>
      <w:lvlJc w:val="left"/>
      <w:pPr>
        <w:tabs>
          <w:tab w:val="num" w:pos="3420"/>
        </w:tabs>
        <w:ind w:left="3420" w:hanging="420"/>
      </w:pPr>
    </w:lvl>
    <w:lvl w:ilvl="7" w:tplc="04090019">
      <w:start w:val="1"/>
      <w:numFmt w:val="lowerLetter"/>
      <w:lvlText w:val="%8)"/>
      <w:lvlJc w:val="left"/>
      <w:pPr>
        <w:tabs>
          <w:tab w:val="num" w:pos="3840"/>
        </w:tabs>
        <w:ind w:left="3840" w:hanging="420"/>
      </w:pPr>
    </w:lvl>
    <w:lvl w:ilvl="8" w:tplc="0409001B">
      <w:start w:val="1"/>
      <w:numFmt w:val="lowerRoman"/>
      <w:lvlText w:val="%9."/>
      <w:lvlJc w:val="right"/>
      <w:pPr>
        <w:tabs>
          <w:tab w:val="num" w:pos="4260"/>
        </w:tabs>
        <w:ind w:left="4260" w:hanging="420"/>
      </w:pPr>
    </w:lvl>
  </w:abstractNum>
  <w:abstractNum w:abstractNumId="2"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061AC"/>
    <w:rsid w:val="00000678"/>
    <w:rsid w:val="000052E5"/>
    <w:rsid w:val="00014099"/>
    <w:rsid w:val="000160C5"/>
    <w:rsid w:val="000210E7"/>
    <w:rsid w:val="000243BD"/>
    <w:rsid w:val="00024F7F"/>
    <w:rsid w:val="00031EBB"/>
    <w:rsid w:val="00033B8D"/>
    <w:rsid w:val="0004308C"/>
    <w:rsid w:val="00043852"/>
    <w:rsid w:val="000450DD"/>
    <w:rsid w:val="000463DE"/>
    <w:rsid w:val="0006147E"/>
    <w:rsid w:val="000625ED"/>
    <w:rsid w:val="00064D40"/>
    <w:rsid w:val="000815C0"/>
    <w:rsid w:val="000824E7"/>
    <w:rsid w:val="0008313A"/>
    <w:rsid w:val="00085E78"/>
    <w:rsid w:val="0008689B"/>
    <w:rsid w:val="00086D4E"/>
    <w:rsid w:val="000907D2"/>
    <w:rsid w:val="00090A26"/>
    <w:rsid w:val="000A2B53"/>
    <w:rsid w:val="000A2FC0"/>
    <w:rsid w:val="000A4173"/>
    <w:rsid w:val="000B1D21"/>
    <w:rsid w:val="000B1EB7"/>
    <w:rsid w:val="000B5C78"/>
    <w:rsid w:val="000B624F"/>
    <w:rsid w:val="000B73C6"/>
    <w:rsid w:val="000C190B"/>
    <w:rsid w:val="000C1E17"/>
    <w:rsid w:val="000C5216"/>
    <w:rsid w:val="000D0E6C"/>
    <w:rsid w:val="000D11DE"/>
    <w:rsid w:val="000D3ED4"/>
    <w:rsid w:val="000E7E5E"/>
    <w:rsid w:val="000F6CC8"/>
    <w:rsid w:val="00111261"/>
    <w:rsid w:val="00133015"/>
    <w:rsid w:val="00137452"/>
    <w:rsid w:val="00137B31"/>
    <w:rsid w:val="00144F93"/>
    <w:rsid w:val="00147376"/>
    <w:rsid w:val="0015450B"/>
    <w:rsid w:val="00154BE1"/>
    <w:rsid w:val="0015710B"/>
    <w:rsid w:val="00160EDC"/>
    <w:rsid w:val="00162D61"/>
    <w:rsid w:val="001675CD"/>
    <w:rsid w:val="001717D5"/>
    <w:rsid w:val="00171EF0"/>
    <w:rsid w:val="001761D2"/>
    <w:rsid w:val="00176C21"/>
    <w:rsid w:val="001830D7"/>
    <w:rsid w:val="00185A34"/>
    <w:rsid w:val="001934F6"/>
    <w:rsid w:val="00196E6C"/>
    <w:rsid w:val="001A73E8"/>
    <w:rsid w:val="001B0A62"/>
    <w:rsid w:val="001B2F35"/>
    <w:rsid w:val="001B4DD6"/>
    <w:rsid w:val="001C0993"/>
    <w:rsid w:val="001C79F2"/>
    <w:rsid w:val="001D6A4B"/>
    <w:rsid w:val="001E4630"/>
    <w:rsid w:val="001F0964"/>
    <w:rsid w:val="001F30DA"/>
    <w:rsid w:val="001F5DC5"/>
    <w:rsid w:val="00200FAB"/>
    <w:rsid w:val="00213821"/>
    <w:rsid w:val="00213DFB"/>
    <w:rsid w:val="00217B92"/>
    <w:rsid w:val="0022309F"/>
    <w:rsid w:val="00224294"/>
    <w:rsid w:val="002279D3"/>
    <w:rsid w:val="00240248"/>
    <w:rsid w:val="0024363B"/>
    <w:rsid w:val="00246049"/>
    <w:rsid w:val="00247332"/>
    <w:rsid w:val="00253578"/>
    <w:rsid w:val="00261111"/>
    <w:rsid w:val="00264E55"/>
    <w:rsid w:val="00270744"/>
    <w:rsid w:val="002731EC"/>
    <w:rsid w:val="00275745"/>
    <w:rsid w:val="0027688F"/>
    <w:rsid w:val="00276E44"/>
    <w:rsid w:val="00282F09"/>
    <w:rsid w:val="00285DB3"/>
    <w:rsid w:val="00285F38"/>
    <w:rsid w:val="00286BEF"/>
    <w:rsid w:val="00286FA2"/>
    <w:rsid w:val="002902E9"/>
    <w:rsid w:val="002918E3"/>
    <w:rsid w:val="00295CD0"/>
    <w:rsid w:val="002973A9"/>
    <w:rsid w:val="002B1D1A"/>
    <w:rsid w:val="002C2834"/>
    <w:rsid w:val="002C3C7A"/>
    <w:rsid w:val="002C5F95"/>
    <w:rsid w:val="002C657A"/>
    <w:rsid w:val="002D6872"/>
    <w:rsid w:val="002D6FB6"/>
    <w:rsid w:val="002E3B09"/>
    <w:rsid w:val="002E52B3"/>
    <w:rsid w:val="00301559"/>
    <w:rsid w:val="00302816"/>
    <w:rsid w:val="00304A12"/>
    <w:rsid w:val="00305636"/>
    <w:rsid w:val="00311662"/>
    <w:rsid w:val="00312A9F"/>
    <w:rsid w:val="00315D5D"/>
    <w:rsid w:val="00316484"/>
    <w:rsid w:val="00316E01"/>
    <w:rsid w:val="00320300"/>
    <w:rsid w:val="00320E90"/>
    <w:rsid w:val="00324508"/>
    <w:rsid w:val="003259C8"/>
    <w:rsid w:val="003307FE"/>
    <w:rsid w:val="00333AD0"/>
    <w:rsid w:val="00336EAF"/>
    <w:rsid w:val="003470E2"/>
    <w:rsid w:val="0035076C"/>
    <w:rsid w:val="00352719"/>
    <w:rsid w:val="0035383E"/>
    <w:rsid w:val="00355364"/>
    <w:rsid w:val="00364CCB"/>
    <w:rsid w:val="00365798"/>
    <w:rsid w:val="00371793"/>
    <w:rsid w:val="00384A2D"/>
    <w:rsid w:val="0039085F"/>
    <w:rsid w:val="00394069"/>
    <w:rsid w:val="00396809"/>
    <w:rsid w:val="003A6061"/>
    <w:rsid w:val="003B3494"/>
    <w:rsid w:val="003B6FBC"/>
    <w:rsid w:val="003D742E"/>
    <w:rsid w:val="003E62FB"/>
    <w:rsid w:val="003E6867"/>
    <w:rsid w:val="003F09B5"/>
    <w:rsid w:val="003F1ECB"/>
    <w:rsid w:val="003F39DF"/>
    <w:rsid w:val="003F63BE"/>
    <w:rsid w:val="004003F8"/>
    <w:rsid w:val="004033ED"/>
    <w:rsid w:val="004061AC"/>
    <w:rsid w:val="00410630"/>
    <w:rsid w:val="00414345"/>
    <w:rsid w:val="004149AC"/>
    <w:rsid w:val="0042009D"/>
    <w:rsid w:val="004216D2"/>
    <w:rsid w:val="00421CD2"/>
    <w:rsid w:val="0042278D"/>
    <w:rsid w:val="00426096"/>
    <w:rsid w:val="00427F58"/>
    <w:rsid w:val="00433805"/>
    <w:rsid w:val="00443869"/>
    <w:rsid w:val="00443ABF"/>
    <w:rsid w:val="00460575"/>
    <w:rsid w:val="00462EA5"/>
    <w:rsid w:val="00463EC0"/>
    <w:rsid w:val="00464787"/>
    <w:rsid w:val="00471408"/>
    <w:rsid w:val="00480B35"/>
    <w:rsid w:val="004858E0"/>
    <w:rsid w:val="00491C81"/>
    <w:rsid w:val="004934E9"/>
    <w:rsid w:val="004943C2"/>
    <w:rsid w:val="004949F3"/>
    <w:rsid w:val="004A11A7"/>
    <w:rsid w:val="004A459C"/>
    <w:rsid w:val="004A7B1D"/>
    <w:rsid w:val="004C0914"/>
    <w:rsid w:val="004C702F"/>
    <w:rsid w:val="004D340C"/>
    <w:rsid w:val="004D495A"/>
    <w:rsid w:val="004E5975"/>
    <w:rsid w:val="004E6571"/>
    <w:rsid w:val="004E790A"/>
    <w:rsid w:val="004F1A4E"/>
    <w:rsid w:val="004F50FD"/>
    <w:rsid w:val="00500A03"/>
    <w:rsid w:val="00512200"/>
    <w:rsid w:val="005143CD"/>
    <w:rsid w:val="005144F2"/>
    <w:rsid w:val="00516618"/>
    <w:rsid w:val="00517989"/>
    <w:rsid w:val="005242A5"/>
    <w:rsid w:val="005249DD"/>
    <w:rsid w:val="00524D96"/>
    <w:rsid w:val="00530ABE"/>
    <w:rsid w:val="00531BA5"/>
    <w:rsid w:val="00531F10"/>
    <w:rsid w:val="00532E86"/>
    <w:rsid w:val="00536432"/>
    <w:rsid w:val="005401DB"/>
    <w:rsid w:val="00540818"/>
    <w:rsid w:val="00542434"/>
    <w:rsid w:val="00542470"/>
    <w:rsid w:val="00542546"/>
    <w:rsid w:val="005454FB"/>
    <w:rsid w:val="005608EF"/>
    <w:rsid w:val="005659E4"/>
    <w:rsid w:val="00570842"/>
    <w:rsid w:val="00572784"/>
    <w:rsid w:val="00572D9F"/>
    <w:rsid w:val="00573097"/>
    <w:rsid w:val="005761EE"/>
    <w:rsid w:val="00582D99"/>
    <w:rsid w:val="00585263"/>
    <w:rsid w:val="005866D3"/>
    <w:rsid w:val="0059076B"/>
    <w:rsid w:val="005910BF"/>
    <w:rsid w:val="005A0F1F"/>
    <w:rsid w:val="005A6675"/>
    <w:rsid w:val="005B09FA"/>
    <w:rsid w:val="005B2E9C"/>
    <w:rsid w:val="005B3CC0"/>
    <w:rsid w:val="005B4F93"/>
    <w:rsid w:val="005B73D2"/>
    <w:rsid w:val="005D2B36"/>
    <w:rsid w:val="005E475E"/>
    <w:rsid w:val="005F118D"/>
    <w:rsid w:val="005F3996"/>
    <w:rsid w:val="005F6AF6"/>
    <w:rsid w:val="00604E50"/>
    <w:rsid w:val="006054CF"/>
    <w:rsid w:val="006066D2"/>
    <w:rsid w:val="006075E6"/>
    <w:rsid w:val="0061286A"/>
    <w:rsid w:val="00613BB8"/>
    <w:rsid w:val="00614CC4"/>
    <w:rsid w:val="0062025E"/>
    <w:rsid w:val="00625BFC"/>
    <w:rsid w:val="00626998"/>
    <w:rsid w:val="006269FB"/>
    <w:rsid w:val="00627E2D"/>
    <w:rsid w:val="00627EDE"/>
    <w:rsid w:val="00631ED8"/>
    <w:rsid w:val="006326E3"/>
    <w:rsid w:val="00632B0F"/>
    <w:rsid w:val="00636DB7"/>
    <w:rsid w:val="0063783A"/>
    <w:rsid w:val="00641048"/>
    <w:rsid w:val="006423B9"/>
    <w:rsid w:val="00642FA0"/>
    <w:rsid w:val="00653458"/>
    <w:rsid w:val="00654B0D"/>
    <w:rsid w:val="0065599B"/>
    <w:rsid w:val="00655CD8"/>
    <w:rsid w:val="00655E1C"/>
    <w:rsid w:val="006571DC"/>
    <w:rsid w:val="00660D4B"/>
    <w:rsid w:val="00664ECC"/>
    <w:rsid w:val="00670547"/>
    <w:rsid w:val="00670989"/>
    <w:rsid w:val="00672A26"/>
    <w:rsid w:val="006742DC"/>
    <w:rsid w:val="006757DC"/>
    <w:rsid w:val="00676095"/>
    <w:rsid w:val="006823C3"/>
    <w:rsid w:val="006928F1"/>
    <w:rsid w:val="00693843"/>
    <w:rsid w:val="0069426C"/>
    <w:rsid w:val="00694DFB"/>
    <w:rsid w:val="006A0893"/>
    <w:rsid w:val="006A10AB"/>
    <w:rsid w:val="006A1C62"/>
    <w:rsid w:val="006A48FD"/>
    <w:rsid w:val="006A5EA9"/>
    <w:rsid w:val="006A61EE"/>
    <w:rsid w:val="006A67F8"/>
    <w:rsid w:val="006A7AF1"/>
    <w:rsid w:val="006B11BB"/>
    <w:rsid w:val="006B2FF6"/>
    <w:rsid w:val="006B5457"/>
    <w:rsid w:val="006C12B8"/>
    <w:rsid w:val="006C2C1B"/>
    <w:rsid w:val="006C37FC"/>
    <w:rsid w:val="006C7EA3"/>
    <w:rsid w:val="006D2F96"/>
    <w:rsid w:val="006D39E9"/>
    <w:rsid w:val="006D3BE3"/>
    <w:rsid w:val="006D7004"/>
    <w:rsid w:val="006D789D"/>
    <w:rsid w:val="006D7FF8"/>
    <w:rsid w:val="006E042A"/>
    <w:rsid w:val="006E6726"/>
    <w:rsid w:val="006F5E68"/>
    <w:rsid w:val="00706D60"/>
    <w:rsid w:val="007075E3"/>
    <w:rsid w:val="00707F66"/>
    <w:rsid w:val="00710AE0"/>
    <w:rsid w:val="00713A1A"/>
    <w:rsid w:val="00713B5F"/>
    <w:rsid w:val="00720D28"/>
    <w:rsid w:val="00722509"/>
    <w:rsid w:val="00723CB2"/>
    <w:rsid w:val="00727DD8"/>
    <w:rsid w:val="00727FCD"/>
    <w:rsid w:val="007311DB"/>
    <w:rsid w:val="00733DDD"/>
    <w:rsid w:val="00750CDF"/>
    <w:rsid w:val="00752BA5"/>
    <w:rsid w:val="00755D86"/>
    <w:rsid w:val="00756FE0"/>
    <w:rsid w:val="007570FE"/>
    <w:rsid w:val="00767C98"/>
    <w:rsid w:val="00770971"/>
    <w:rsid w:val="00772547"/>
    <w:rsid w:val="00775B61"/>
    <w:rsid w:val="007815D8"/>
    <w:rsid w:val="00794090"/>
    <w:rsid w:val="00796CA8"/>
    <w:rsid w:val="007972F5"/>
    <w:rsid w:val="00797305"/>
    <w:rsid w:val="007A0693"/>
    <w:rsid w:val="007A093F"/>
    <w:rsid w:val="007B035B"/>
    <w:rsid w:val="007B4C04"/>
    <w:rsid w:val="007B5AFB"/>
    <w:rsid w:val="007C395A"/>
    <w:rsid w:val="007C5862"/>
    <w:rsid w:val="007D0922"/>
    <w:rsid w:val="007D100C"/>
    <w:rsid w:val="007D1B71"/>
    <w:rsid w:val="007E2686"/>
    <w:rsid w:val="007E57C0"/>
    <w:rsid w:val="007F29B1"/>
    <w:rsid w:val="007F7F0B"/>
    <w:rsid w:val="008014F9"/>
    <w:rsid w:val="0080358B"/>
    <w:rsid w:val="008059BD"/>
    <w:rsid w:val="0081286B"/>
    <w:rsid w:val="00812D46"/>
    <w:rsid w:val="008148E0"/>
    <w:rsid w:val="00815769"/>
    <w:rsid w:val="00815A38"/>
    <w:rsid w:val="0082103F"/>
    <w:rsid w:val="00821235"/>
    <w:rsid w:val="00824239"/>
    <w:rsid w:val="008279FE"/>
    <w:rsid w:val="00831259"/>
    <w:rsid w:val="0083208A"/>
    <w:rsid w:val="0083218A"/>
    <w:rsid w:val="00832A00"/>
    <w:rsid w:val="00837845"/>
    <w:rsid w:val="008442C4"/>
    <w:rsid w:val="00844DB2"/>
    <w:rsid w:val="00846739"/>
    <w:rsid w:val="00853140"/>
    <w:rsid w:val="00854537"/>
    <w:rsid w:val="00855F31"/>
    <w:rsid w:val="008606B6"/>
    <w:rsid w:val="00861E6D"/>
    <w:rsid w:val="008700EC"/>
    <w:rsid w:val="008749A7"/>
    <w:rsid w:val="00875DAC"/>
    <w:rsid w:val="00876D65"/>
    <w:rsid w:val="008837D3"/>
    <w:rsid w:val="00883B3C"/>
    <w:rsid w:val="00883D7C"/>
    <w:rsid w:val="00891261"/>
    <w:rsid w:val="008A21B2"/>
    <w:rsid w:val="008A3DAA"/>
    <w:rsid w:val="008A5B20"/>
    <w:rsid w:val="008B2FDD"/>
    <w:rsid w:val="008B3C7E"/>
    <w:rsid w:val="008B4A75"/>
    <w:rsid w:val="008C75E7"/>
    <w:rsid w:val="008C7CA8"/>
    <w:rsid w:val="008C7FFA"/>
    <w:rsid w:val="008D09EC"/>
    <w:rsid w:val="008D7CBF"/>
    <w:rsid w:val="008E07EB"/>
    <w:rsid w:val="008E1D74"/>
    <w:rsid w:val="008E2DCB"/>
    <w:rsid w:val="008E326D"/>
    <w:rsid w:val="008E35F0"/>
    <w:rsid w:val="008F3B64"/>
    <w:rsid w:val="008F5F67"/>
    <w:rsid w:val="008F60F2"/>
    <w:rsid w:val="0090217D"/>
    <w:rsid w:val="00905C5E"/>
    <w:rsid w:val="009078DC"/>
    <w:rsid w:val="00921735"/>
    <w:rsid w:val="00921AC7"/>
    <w:rsid w:val="00924582"/>
    <w:rsid w:val="00931291"/>
    <w:rsid w:val="0093367D"/>
    <w:rsid w:val="009431FA"/>
    <w:rsid w:val="00945AF6"/>
    <w:rsid w:val="009550BE"/>
    <w:rsid w:val="00955531"/>
    <w:rsid w:val="00955BE8"/>
    <w:rsid w:val="00957594"/>
    <w:rsid w:val="00963F40"/>
    <w:rsid w:val="009730B8"/>
    <w:rsid w:val="009734BB"/>
    <w:rsid w:val="0097424F"/>
    <w:rsid w:val="0098122D"/>
    <w:rsid w:val="00986596"/>
    <w:rsid w:val="00990685"/>
    <w:rsid w:val="009A0ABE"/>
    <w:rsid w:val="009A4E5D"/>
    <w:rsid w:val="009B2D4B"/>
    <w:rsid w:val="009C5186"/>
    <w:rsid w:val="009C60F7"/>
    <w:rsid w:val="009D0952"/>
    <w:rsid w:val="009E19A9"/>
    <w:rsid w:val="009E31DA"/>
    <w:rsid w:val="009E402C"/>
    <w:rsid w:val="009E7C6A"/>
    <w:rsid w:val="009F3659"/>
    <w:rsid w:val="009F4861"/>
    <w:rsid w:val="009F61BE"/>
    <w:rsid w:val="009F7ED4"/>
    <w:rsid w:val="00A03AAC"/>
    <w:rsid w:val="00A047D1"/>
    <w:rsid w:val="00A21300"/>
    <w:rsid w:val="00A22AD0"/>
    <w:rsid w:val="00A22DA8"/>
    <w:rsid w:val="00A3030E"/>
    <w:rsid w:val="00A31574"/>
    <w:rsid w:val="00A31671"/>
    <w:rsid w:val="00A324F4"/>
    <w:rsid w:val="00A36930"/>
    <w:rsid w:val="00A45320"/>
    <w:rsid w:val="00A504C9"/>
    <w:rsid w:val="00A54C7D"/>
    <w:rsid w:val="00A5612C"/>
    <w:rsid w:val="00A5689C"/>
    <w:rsid w:val="00A57AE4"/>
    <w:rsid w:val="00A63A97"/>
    <w:rsid w:val="00A63F19"/>
    <w:rsid w:val="00A669FC"/>
    <w:rsid w:val="00A66F42"/>
    <w:rsid w:val="00A76625"/>
    <w:rsid w:val="00A81F53"/>
    <w:rsid w:val="00A83500"/>
    <w:rsid w:val="00A8721A"/>
    <w:rsid w:val="00A90049"/>
    <w:rsid w:val="00A917BF"/>
    <w:rsid w:val="00A96A94"/>
    <w:rsid w:val="00AA3A38"/>
    <w:rsid w:val="00AA4F94"/>
    <w:rsid w:val="00AA6513"/>
    <w:rsid w:val="00AB047E"/>
    <w:rsid w:val="00AB4DB6"/>
    <w:rsid w:val="00AC063D"/>
    <w:rsid w:val="00AC592E"/>
    <w:rsid w:val="00AC6C10"/>
    <w:rsid w:val="00AC7BC6"/>
    <w:rsid w:val="00AD24AA"/>
    <w:rsid w:val="00AE7962"/>
    <w:rsid w:val="00AF0A7F"/>
    <w:rsid w:val="00AF3AB2"/>
    <w:rsid w:val="00B11A78"/>
    <w:rsid w:val="00B11BE5"/>
    <w:rsid w:val="00B12B7D"/>
    <w:rsid w:val="00B16985"/>
    <w:rsid w:val="00B22DEE"/>
    <w:rsid w:val="00B27479"/>
    <w:rsid w:val="00B32AA7"/>
    <w:rsid w:val="00B32EA8"/>
    <w:rsid w:val="00B34678"/>
    <w:rsid w:val="00B35024"/>
    <w:rsid w:val="00B371B4"/>
    <w:rsid w:val="00B40F64"/>
    <w:rsid w:val="00B42A76"/>
    <w:rsid w:val="00B47982"/>
    <w:rsid w:val="00B56F53"/>
    <w:rsid w:val="00B64723"/>
    <w:rsid w:val="00B7378D"/>
    <w:rsid w:val="00B7444D"/>
    <w:rsid w:val="00B816A7"/>
    <w:rsid w:val="00B82413"/>
    <w:rsid w:val="00B85352"/>
    <w:rsid w:val="00B86CD8"/>
    <w:rsid w:val="00B87214"/>
    <w:rsid w:val="00B92FF5"/>
    <w:rsid w:val="00B959E6"/>
    <w:rsid w:val="00BA604D"/>
    <w:rsid w:val="00BB5DA7"/>
    <w:rsid w:val="00BB5E0E"/>
    <w:rsid w:val="00BC14B3"/>
    <w:rsid w:val="00BC216C"/>
    <w:rsid w:val="00BC4585"/>
    <w:rsid w:val="00BC50F1"/>
    <w:rsid w:val="00BC73E5"/>
    <w:rsid w:val="00BD0031"/>
    <w:rsid w:val="00BD70E0"/>
    <w:rsid w:val="00BD7473"/>
    <w:rsid w:val="00BD7703"/>
    <w:rsid w:val="00BE14ED"/>
    <w:rsid w:val="00BE420D"/>
    <w:rsid w:val="00BE5388"/>
    <w:rsid w:val="00C012F9"/>
    <w:rsid w:val="00C102E6"/>
    <w:rsid w:val="00C15CAC"/>
    <w:rsid w:val="00C21520"/>
    <w:rsid w:val="00C222B2"/>
    <w:rsid w:val="00C225FB"/>
    <w:rsid w:val="00C23547"/>
    <w:rsid w:val="00C2499B"/>
    <w:rsid w:val="00C451A3"/>
    <w:rsid w:val="00C46B88"/>
    <w:rsid w:val="00C47163"/>
    <w:rsid w:val="00C5218C"/>
    <w:rsid w:val="00C52191"/>
    <w:rsid w:val="00C53472"/>
    <w:rsid w:val="00C53D1B"/>
    <w:rsid w:val="00C5642F"/>
    <w:rsid w:val="00C6002A"/>
    <w:rsid w:val="00C6209F"/>
    <w:rsid w:val="00C629B1"/>
    <w:rsid w:val="00C63554"/>
    <w:rsid w:val="00C678B0"/>
    <w:rsid w:val="00C7047C"/>
    <w:rsid w:val="00C71497"/>
    <w:rsid w:val="00C72F5B"/>
    <w:rsid w:val="00C73BCD"/>
    <w:rsid w:val="00C74E5E"/>
    <w:rsid w:val="00C77AEF"/>
    <w:rsid w:val="00C85A6E"/>
    <w:rsid w:val="00C87129"/>
    <w:rsid w:val="00C91E1B"/>
    <w:rsid w:val="00C9613D"/>
    <w:rsid w:val="00C9690F"/>
    <w:rsid w:val="00CA574C"/>
    <w:rsid w:val="00CA5FD5"/>
    <w:rsid w:val="00CA7703"/>
    <w:rsid w:val="00CB0F92"/>
    <w:rsid w:val="00CB4491"/>
    <w:rsid w:val="00CD4E6D"/>
    <w:rsid w:val="00CD4F19"/>
    <w:rsid w:val="00CD5707"/>
    <w:rsid w:val="00CD7702"/>
    <w:rsid w:val="00CE29EA"/>
    <w:rsid w:val="00CE473F"/>
    <w:rsid w:val="00CF04CF"/>
    <w:rsid w:val="00CF2D3E"/>
    <w:rsid w:val="00CF6572"/>
    <w:rsid w:val="00D01FE6"/>
    <w:rsid w:val="00D02347"/>
    <w:rsid w:val="00D046DB"/>
    <w:rsid w:val="00D04755"/>
    <w:rsid w:val="00D1116B"/>
    <w:rsid w:val="00D13737"/>
    <w:rsid w:val="00D1638E"/>
    <w:rsid w:val="00D2061C"/>
    <w:rsid w:val="00D21FFF"/>
    <w:rsid w:val="00D2206B"/>
    <w:rsid w:val="00D272A5"/>
    <w:rsid w:val="00D346D9"/>
    <w:rsid w:val="00D43AFB"/>
    <w:rsid w:val="00D44EE8"/>
    <w:rsid w:val="00D57B7C"/>
    <w:rsid w:val="00D65B44"/>
    <w:rsid w:val="00D75E69"/>
    <w:rsid w:val="00D8099B"/>
    <w:rsid w:val="00D866A8"/>
    <w:rsid w:val="00D91E06"/>
    <w:rsid w:val="00D94B8D"/>
    <w:rsid w:val="00D96C8D"/>
    <w:rsid w:val="00D974EF"/>
    <w:rsid w:val="00DA0C61"/>
    <w:rsid w:val="00DA14B0"/>
    <w:rsid w:val="00DA2876"/>
    <w:rsid w:val="00DA66D0"/>
    <w:rsid w:val="00DC0B51"/>
    <w:rsid w:val="00DC141F"/>
    <w:rsid w:val="00DC28F1"/>
    <w:rsid w:val="00DC6B55"/>
    <w:rsid w:val="00DE27F7"/>
    <w:rsid w:val="00DE4B43"/>
    <w:rsid w:val="00E02660"/>
    <w:rsid w:val="00E215BA"/>
    <w:rsid w:val="00E36549"/>
    <w:rsid w:val="00E40D31"/>
    <w:rsid w:val="00E41260"/>
    <w:rsid w:val="00E44E18"/>
    <w:rsid w:val="00E52DBC"/>
    <w:rsid w:val="00E54301"/>
    <w:rsid w:val="00E54BF5"/>
    <w:rsid w:val="00E554A1"/>
    <w:rsid w:val="00E55ABD"/>
    <w:rsid w:val="00E60817"/>
    <w:rsid w:val="00E62DE5"/>
    <w:rsid w:val="00E705CC"/>
    <w:rsid w:val="00E82A94"/>
    <w:rsid w:val="00E84C7E"/>
    <w:rsid w:val="00E85E4B"/>
    <w:rsid w:val="00E8670B"/>
    <w:rsid w:val="00EA70F1"/>
    <w:rsid w:val="00EB2516"/>
    <w:rsid w:val="00EB2C07"/>
    <w:rsid w:val="00EB572B"/>
    <w:rsid w:val="00EC14ED"/>
    <w:rsid w:val="00EC1E04"/>
    <w:rsid w:val="00ED0328"/>
    <w:rsid w:val="00ED14D5"/>
    <w:rsid w:val="00ED2620"/>
    <w:rsid w:val="00ED4D47"/>
    <w:rsid w:val="00ED62BE"/>
    <w:rsid w:val="00ED6E80"/>
    <w:rsid w:val="00ED7B83"/>
    <w:rsid w:val="00EE3BC8"/>
    <w:rsid w:val="00EF17AB"/>
    <w:rsid w:val="00EF6FA5"/>
    <w:rsid w:val="00F11104"/>
    <w:rsid w:val="00F11BB5"/>
    <w:rsid w:val="00F16E3F"/>
    <w:rsid w:val="00F2070B"/>
    <w:rsid w:val="00F22499"/>
    <w:rsid w:val="00F22B0F"/>
    <w:rsid w:val="00F24B42"/>
    <w:rsid w:val="00F24F73"/>
    <w:rsid w:val="00F27299"/>
    <w:rsid w:val="00F31B0C"/>
    <w:rsid w:val="00F31F6E"/>
    <w:rsid w:val="00F323FF"/>
    <w:rsid w:val="00F3389C"/>
    <w:rsid w:val="00F375F2"/>
    <w:rsid w:val="00F45C47"/>
    <w:rsid w:val="00F54EAE"/>
    <w:rsid w:val="00F66A51"/>
    <w:rsid w:val="00F71057"/>
    <w:rsid w:val="00F71A4B"/>
    <w:rsid w:val="00F728CF"/>
    <w:rsid w:val="00F74264"/>
    <w:rsid w:val="00F743D4"/>
    <w:rsid w:val="00F80AC3"/>
    <w:rsid w:val="00F81917"/>
    <w:rsid w:val="00F83B17"/>
    <w:rsid w:val="00F87EDA"/>
    <w:rsid w:val="00F970EE"/>
    <w:rsid w:val="00FA775C"/>
    <w:rsid w:val="00FB0BC9"/>
    <w:rsid w:val="00FB41D3"/>
    <w:rsid w:val="00FB4F70"/>
    <w:rsid w:val="00FB5EFC"/>
    <w:rsid w:val="00FB77BB"/>
    <w:rsid w:val="00FC15AA"/>
    <w:rsid w:val="00FC2922"/>
    <w:rsid w:val="00FC7FBA"/>
    <w:rsid w:val="00FD1375"/>
    <w:rsid w:val="00FD359E"/>
    <w:rsid w:val="00FD5F37"/>
    <w:rsid w:val="00FD6B92"/>
    <w:rsid w:val="00FE0A17"/>
    <w:rsid w:val="00FE179F"/>
    <w:rsid w:val="00FE1A3B"/>
    <w:rsid w:val="00FF213A"/>
    <w:rsid w:val="00FF3F27"/>
    <w:rsid w:val="00FF469F"/>
    <w:rsid w:val="00FF5196"/>
    <w:rsid w:val="00FF6E8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1A05EDE-827D-4D02-8212-C71564E833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61AC"/>
    <w:pPr>
      <w:widowControl w:val="0"/>
      <w:jc w:val="both"/>
    </w:pPr>
    <w:rPr>
      <w:rFonts w:ascii="Times New Roman" w:eastAsia="宋体" w:hAnsi="Times New Roman" w:cs="Times New Roman"/>
      <w:szCs w:val="21"/>
    </w:rPr>
  </w:style>
  <w:style w:type="paragraph" w:styleId="1">
    <w:name w:val="heading 1"/>
    <w:basedOn w:val="a"/>
    <w:next w:val="a"/>
    <w:link w:val="1Char"/>
    <w:uiPriority w:val="99"/>
    <w:qFormat/>
    <w:rsid w:val="004061AC"/>
    <w:pPr>
      <w:keepNext/>
      <w:keepLines/>
      <w:spacing w:before="340" w:after="330" w:line="578" w:lineRule="auto"/>
      <w:outlineLvl w:val="0"/>
    </w:pPr>
    <w:rPr>
      <w:b/>
      <w:bCs/>
      <w:kern w:val="44"/>
      <w:sz w:val="44"/>
      <w:szCs w:val="44"/>
    </w:rPr>
  </w:style>
  <w:style w:type="paragraph" w:styleId="2">
    <w:name w:val="heading 2"/>
    <w:basedOn w:val="a"/>
    <w:next w:val="a0"/>
    <w:link w:val="2Char"/>
    <w:uiPriority w:val="99"/>
    <w:qFormat/>
    <w:rsid w:val="004061AC"/>
    <w:pPr>
      <w:keepNext/>
      <w:keepLines/>
      <w:spacing w:before="260" w:after="260" w:line="360" w:lineRule="auto"/>
      <w:outlineLvl w:val="1"/>
    </w:pPr>
    <w:rPr>
      <w:rFonts w:ascii="Arial" w:hAnsi="Arial" w:cs="Arial"/>
      <w:b/>
      <w:bCs/>
      <w:sz w:val="24"/>
      <w:szCs w:val="24"/>
    </w:rPr>
  </w:style>
  <w:style w:type="paragraph" w:styleId="3">
    <w:name w:val="heading 3"/>
    <w:basedOn w:val="a"/>
    <w:next w:val="a"/>
    <w:link w:val="3Char"/>
    <w:uiPriority w:val="99"/>
    <w:qFormat/>
    <w:rsid w:val="004061AC"/>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uiPriority w:val="99"/>
    <w:rsid w:val="004061AC"/>
    <w:rPr>
      <w:rFonts w:ascii="Times New Roman" w:eastAsia="宋体" w:hAnsi="Times New Roman" w:cs="Times New Roman"/>
      <w:b/>
      <w:bCs/>
      <w:kern w:val="44"/>
      <w:sz w:val="44"/>
      <w:szCs w:val="44"/>
    </w:rPr>
  </w:style>
  <w:style w:type="character" w:customStyle="1" w:styleId="2Char">
    <w:name w:val="标题 2 Char"/>
    <w:basedOn w:val="a1"/>
    <w:link w:val="2"/>
    <w:uiPriority w:val="99"/>
    <w:rsid w:val="004061AC"/>
    <w:rPr>
      <w:rFonts w:ascii="Arial" w:eastAsia="宋体" w:hAnsi="Arial" w:cs="Arial"/>
      <w:b/>
      <w:bCs/>
      <w:sz w:val="24"/>
      <w:szCs w:val="24"/>
    </w:rPr>
  </w:style>
  <w:style w:type="character" w:customStyle="1" w:styleId="3Char">
    <w:name w:val="标题 3 Char"/>
    <w:basedOn w:val="a1"/>
    <w:link w:val="3"/>
    <w:uiPriority w:val="99"/>
    <w:rsid w:val="004061AC"/>
    <w:rPr>
      <w:rFonts w:ascii="Times New Roman" w:eastAsia="宋体" w:hAnsi="Times New Roman" w:cs="Times New Roman"/>
      <w:b/>
      <w:bCs/>
      <w:sz w:val="32"/>
      <w:szCs w:val="32"/>
    </w:rPr>
  </w:style>
  <w:style w:type="paragraph" w:styleId="a0">
    <w:name w:val="Normal Indent"/>
    <w:basedOn w:val="a"/>
    <w:uiPriority w:val="99"/>
    <w:rsid w:val="004061AC"/>
    <w:pPr>
      <w:ind w:firstLineChars="200" w:firstLine="420"/>
    </w:pPr>
  </w:style>
  <w:style w:type="paragraph" w:styleId="a4">
    <w:name w:val="Body Text Indent"/>
    <w:basedOn w:val="a"/>
    <w:link w:val="Char"/>
    <w:uiPriority w:val="99"/>
    <w:rsid w:val="004061AC"/>
    <w:pPr>
      <w:widowControl/>
      <w:spacing w:before="100" w:beforeAutospacing="1" w:after="100" w:afterAutospacing="1"/>
      <w:jc w:val="left"/>
    </w:pPr>
    <w:rPr>
      <w:rFonts w:ascii="Arial Unicode MS" w:eastAsia="Arial Unicode MS" w:hAnsi="Arial Unicode MS" w:cs="Arial Unicode MS"/>
      <w:kern w:val="0"/>
      <w:sz w:val="24"/>
      <w:szCs w:val="24"/>
    </w:rPr>
  </w:style>
  <w:style w:type="character" w:customStyle="1" w:styleId="Char">
    <w:name w:val="正文文本缩进 Char"/>
    <w:basedOn w:val="a1"/>
    <w:link w:val="a4"/>
    <w:uiPriority w:val="99"/>
    <w:rsid w:val="004061AC"/>
    <w:rPr>
      <w:rFonts w:ascii="Arial Unicode MS" w:eastAsia="Arial Unicode MS" w:hAnsi="Arial Unicode MS" w:cs="Arial Unicode MS"/>
      <w:kern w:val="0"/>
      <w:sz w:val="24"/>
      <w:szCs w:val="24"/>
    </w:rPr>
  </w:style>
  <w:style w:type="paragraph" w:styleId="a5">
    <w:name w:val="Plain Text"/>
    <w:basedOn w:val="a"/>
    <w:link w:val="Char0"/>
    <w:uiPriority w:val="99"/>
    <w:rsid w:val="004061AC"/>
    <w:rPr>
      <w:rFonts w:ascii="宋体" w:hAnsi="Courier New" w:cs="宋体"/>
    </w:rPr>
  </w:style>
  <w:style w:type="character" w:customStyle="1" w:styleId="Char0">
    <w:name w:val="纯文本 Char"/>
    <w:basedOn w:val="a1"/>
    <w:link w:val="a5"/>
    <w:uiPriority w:val="99"/>
    <w:rsid w:val="004061AC"/>
    <w:rPr>
      <w:rFonts w:ascii="宋体" w:eastAsia="宋体" w:hAnsi="Courier New" w:cs="宋体"/>
      <w:szCs w:val="21"/>
    </w:rPr>
  </w:style>
  <w:style w:type="paragraph" w:styleId="20">
    <w:name w:val="Body Text Indent 2"/>
    <w:basedOn w:val="a"/>
    <w:link w:val="2Char0"/>
    <w:uiPriority w:val="99"/>
    <w:rsid w:val="004061AC"/>
    <w:pPr>
      <w:spacing w:line="560" w:lineRule="exact"/>
      <w:ind w:firstLineChars="200" w:firstLine="480"/>
    </w:pPr>
    <w:rPr>
      <w:rFonts w:ascii="宋体" w:hAnsi="宋体" w:cs="宋体"/>
      <w:color w:val="FF0000"/>
      <w:sz w:val="24"/>
      <w:szCs w:val="24"/>
    </w:rPr>
  </w:style>
  <w:style w:type="character" w:customStyle="1" w:styleId="2Char0">
    <w:name w:val="正文文本缩进 2 Char"/>
    <w:basedOn w:val="a1"/>
    <w:link w:val="20"/>
    <w:uiPriority w:val="99"/>
    <w:rsid w:val="004061AC"/>
    <w:rPr>
      <w:rFonts w:ascii="宋体" w:eastAsia="宋体" w:hAnsi="宋体" w:cs="宋体"/>
      <w:color w:val="FF0000"/>
      <w:sz w:val="24"/>
      <w:szCs w:val="24"/>
    </w:rPr>
  </w:style>
  <w:style w:type="paragraph" w:styleId="a6">
    <w:name w:val="footer"/>
    <w:basedOn w:val="a"/>
    <w:link w:val="Char1"/>
    <w:rsid w:val="004061AC"/>
    <w:pPr>
      <w:tabs>
        <w:tab w:val="center" w:pos="4153"/>
        <w:tab w:val="right" w:pos="8306"/>
      </w:tabs>
      <w:snapToGrid w:val="0"/>
      <w:jc w:val="left"/>
    </w:pPr>
    <w:rPr>
      <w:sz w:val="18"/>
      <w:szCs w:val="18"/>
    </w:rPr>
  </w:style>
  <w:style w:type="character" w:customStyle="1" w:styleId="Char1">
    <w:name w:val="页脚 Char"/>
    <w:basedOn w:val="a1"/>
    <w:link w:val="a6"/>
    <w:uiPriority w:val="99"/>
    <w:rsid w:val="004061AC"/>
    <w:rPr>
      <w:rFonts w:ascii="Times New Roman" w:eastAsia="宋体" w:hAnsi="Times New Roman" w:cs="Times New Roman"/>
      <w:sz w:val="18"/>
      <w:szCs w:val="18"/>
    </w:rPr>
  </w:style>
  <w:style w:type="character" w:styleId="a7">
    <w:name w:val="page number"/>
    <w:basedOn w:val="a1"/>
    <w:uiPriority w:val="99"/>
    <w:rsid w:val="004061AC"/>
  </w:style>
  <w:style w:type="character" w:styleId="a8">
    <w:name w:val="Hyperlink"/>
    <w:basedOn w:val="a1"/>
    <w:uiPriority w:val="99"/>
    <w:rsid w:val="004061AC"/>
    <w:rPr>
      <w:color w:val="0000FF"/>
      <w:u w:val="single"/>
    </w:rPr>
  </w:style>
  <w:style w:type="paragraph" w:styleId="30">
    <w:name w:val="Body Text Indent 3"/>
    <w:basedOn w:val="a"/>
    <w:link w:val="3Char0"/>
    <w:uiPriority w:val="99"/>
    <w:rsid w:val="004061AC"/>
    <w:pPr>
      <w:spacing w:line="560" w:lineRule="exact"/>
      <w:ind w:firstLineChars="200" w:firstLine="420"/>
    </w:pPr>
    <w:rPr>
      <w:rFonts w:ascii="Arial" w:hAnsi="Arial" w:cs="Arial"/>
      <w:color w:val="FF0000"/>
    </w:rPr>
  </w:style>
  <w:style w:type="character" w:customStyle="1" w:styleId="3Char0">
    <w:name w:val="正文文本缩进 3 Char"/>
    <w:basedOn w:val="a1"/>
    <w:link w:val="30"/>
    <w:uiPriority w:val="99"/>
    <w:rsid w:val="004061AC"/>
    <w:rPr>
      <w:rFonts w:ascii="Arial" w:eastAsia="宋体" w:hAnsi="Arial" w:cs="Arial"/>
      <w:color w:val="FF0000"/>
      <w:szCs w:val="21"/>
    </w:rPr>
  </w:style>
  <w:style w:type="paragraph" w:styleId="a9">
    <w:name w:val="header"/>
    <w:basedOn w:val="a"/>
    <w:link w:val="Char2"/>
    <w:uiPriority w:val="99"/>
    <w:rsid w:val="004061AC"/>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1"/>
    <w:link w:val="a9"/>
    <w:uiPriority w:val="99"/>
    <w:rsid w:val="004061AC"/>
    <w:rPr>
      <w:rFonts w:ascii="Times New Roman" w:eastAsia="宋体" w:hAnsi="Times New Roman" w:cs="Times New Roman"/>
      <w:sz w:val="18"/>
      <w:szCs w:val="18"/>
    </w:rPr>
  </w:style>
  <w:style w:type="character" w:styleId="aa">
    <w:name w:val="FollowedHyperlink"/>
    <w:basedOn w:val="a1"/>
    <w:uiPriority w:val="99"/>
    <w:rsid w:val="004061AC"/>
    <w:rPr>
      <w:color w:val="800080"/>
      <w:u w:val="single"/>
    </w:rPr>
  </w:style>
  <w:style w:type="paragraph" w:styleId="ab">
    <w:name w:val="List"/>
    <w:basedOn w:val="ac"/>
    <w:uiPriority w:val="99"/>
    <w:rsid w:val="004061AC"/>
    <w:pPr>
      <w:spacing w:after="220" w:line="220" w:lineRule="atLeast"/>
      <w:ind w:left="1440" w:hanging="360"/>
    </w:pPr>
  </w:style>
  <w:style w:type="paragraph" w:styleId="ac">
    <w:name w:val="Body Text"/>
    <w:basedOn w:val="a"/>
    <w:link w:val="Char3"/>
    <w:uiPriority w:val="99"/>
    <w:rsid w:val="004061AC"/>
    <w:pPr>
      <w:spacing w:after="120"/>
    </w:pPr>
  </w:style>
  <w:style w:type="character" w:customStyle="1" w:styleId="Char3">
    <w:name w:val="正文文本 Char"/>
    <w:basedOn w:val="a1"/>
    <w:link w:val="ac"/>
    <w:uiPriority w:val="99"/>
    <w:rsid w:val="004061AC"/>
    <w:rPr>
      <w:rFonts w:ascii="Times New Roman" w:eastAsia="宋体" w:hAnsi="Times New Roman" w:cs="Times New Roman"/>
      <w:szCs w:val="21"/>
    </w:rPr>
  </w:style>
  <w:style w:type="paragraph" w:styleId="ad">
    <w:name w:val="Date"/>
    <w:basedOn w:val="a"/>
    <w:next w:val="a"/>
    <w:link w:val="Char4"/>
    <w:rsid w:val="004061AC"/>
    <w:rPr>
      <w:sz w:val="24"/>
      <w:szCs w:val="24"/>
    </w:rPr>
  </w:style>
  <w:style w:type="character" w:customStyle="1" w:styleId="Char4">
    <w:name w:val="日期 Char"/>
    <w:basedOn w:val="a1"/>
    <w:link w:val="ad"/>
    <w:rsid w:val="004061AC"/>
    <w:rPr>
      <w:rFonts w:ascii="Times New Roman" w:eastAsia="宋体" w:hAnsi="Times New Roman" w:cs="Times New Roman"/>
      <w:sz w:val="24"/>
      <w:szCs w:val="24"/>
    </w:rPr>
  </w:style>
  <w:style w:type="character" w:customStyle="1" w:styleId="c1">
    <w:name w:val="c1"/>
    <w:basedOn w:val="a1"/>
    <w:uiPriority w:val="99"/>
    <w:rsid w:val="004061AC"/>
    <w:rPr>
      <w:color w:val="000000"/>
      <w:sz w:val="18"/>
      <w:szCs w:val="18"/>
    </w:rPr>
  </w:style>
  <w:style w:type="paragraph" w:styleId="10">
    <w:name w:val="index 1"/>
    <w:basedOn w:val="a"/>
    <w:next w:val="a"/>
    <w:autoRedefine/>
    <w:uiPriority w:val="99"/>
    <w:semiHidden/>
    <w:rsid w:val="004061AC"/>
    <w:pPr>
      <w:jc w:val="right"/>
    </w:pPr>
    <w:rPr>
      <w:color w:val="008000"/>
    </w:rPr>
  </w:style>
  <w:style w:type="paragraph" w:customStyle="1" w:styleId="font5">
    <w:name w:val="font5"/>
    <w:basedOn w:val="a"/>
    <w:uiPriority w:val="99"/>
    <w:rsid w:val="004061AC"/>
    <w:pPr>
      <w:widowControl/>
      <w:spacing w:before="100" w:beforeAutospacing="1" w:after="100" w:afterAutospacing="1"/>
      <w:jc w:val="left"/>
    </w:pPr>
    <w:rPr>
      <w:rFonts w:ascii="宋体" w:hAnsi="宋体" w:cs="宋体"/>
      <w:kern w:val="0"/>
      <w:sz w:val="18"/>
      <w:szCs w:val="18"/>
    </w:rPr>
  </w:style>
  <w:style w:type="paragraph" w:customStyle="1" w:styleId="xl24">
    <w:name w:val="xl24"/>
    <w:basedOn w:val="a"/>
    <w:uiPriority w:val="99"/>
    <w:rsid w:val="004061AC"/>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szCs w:val="24"/>
    </w:rPr>
  </w:style>
  <w:style w:type="paragraph" w:customStyle="1" w:styleId="xl26">
    <w:name w:val="xl2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7">
    <w:name w:val="xl2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9">
    <w:name w:val="xl29"/>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0">
    <w:name w:val="xl30"/>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1">
    <w:name w:val="xl31"/>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link w:val="Char5"/>
    <w:uiPriority w:val="99"/>
    <w:semiHidden/>
    <w:rsid w:val="004061AC"/>
    <w:rPr>
      <w:sz w:val="18"/>
      <w:szCs w:val="18"/>
    </w:rPr>
  </w:style>
  <w:style w:type="character" w:customStyle="1" w:styleId="Char5">
    <w:name w:val="批注框文本 Char"/>
    <w:basedOn w:val="a1"/>
    <w:link w:val="ae"/>
    <w:uiPriority w:val="99"/>
    <w:semiHidden/>
    <w:rsid w:val="004061AC"/>
    <w:rPr>
      <w:rFonts w:ascii="Times New Roman" w:eastAsia="宋体" w:hAnsi="Times New Roman" w:cs="Times New Roman"/>
      <w:sz w:val="18"/>
      <w:szCs w:val="18"/>
    </w:rPr>
  </w:style>
  <w:style w:type="character" w:styleId="af">
    <w:name w:val="annotation reference"/>
    <w:basedOn w:val="a1"/>
    <w:uiPriority w:val="99"/>
    <w:semiHidden/>
    <w:rsid w:val="004061AC"/>
    <w:rPr>
      <w:sz w:val="21"/>
      <w:szCs w:val="21"/>
    </w:rPr>
  </w:style>
  <w:style w:type="paragraph" w:styleId="af0">
    <w:name w:val="annotation text"/>
    <w:basedOn w:val="a"/>
    <w:link w:val="Char6"/>
    <w:uiPriority w:val="99"/>
    <w:semiHidden/>
    <w:rsid w:val="004061AC"/>
    <w:pPr>
      <w:jc w:val="left"/>
    </w:pPr>
  </w:style>
  <w:style w:type="character" w:customStyle="1" w:styleId="Char6">
    <w:name w:val="批注文字 Char"/>
    <w:basedOn w:val="a1"/>
    <w:link w:val="af0"/>
    <w:uiPriority w:val="99"/>
    <w:semiHidden/>
    <w:rsid w:val="004061AC"/>
    <w:rPr>
      <w:rFonts w:ascii="Times New Roman" w:eastAsia="宋体" w:hAnsi="Times New Roman" w:cs="Times New Roman"/>
      <w:szCs w:val="21"/>
    </w:rPr>
  </w:style>
  <w:style w:type="paragraph" w:styleId="af1">
    <w:name w:val="annotation subject"/>
    <w:basedOn w:val="af0"/>
    <w:next w:val="af0"/>
    <w:link w:val="Char7"/>
    <w:uiPriority w:val="99"/>
    <w:semiHidden/>
    <w:rsid w:val="004061AC"/>
    <w:rPr>
      <w:b/>
      <w:bCs/>
    </w:rPr>
  </w:style>
  <w:style w:type="character" w:customStyle="1" w:styleId="Char7">
    <w:name w:val="批注主题 Char"/>
    <w:basedOn w:val="Char6"/>
    <w:link w:val="af1"/>
    <w:uiPriority w:val="99"/>
    <w:semiHidden/>
    <w:rsid w:val="004061AC"/>
    <w:rPr>
      <w:rFonts w:ascii="Times New Roman" w:eastAsia="宋体" w:hAnsi="Times New Roman" w:cs="Times New Roman"/>
      <w:b/>
      <w:bCs/>
      <w:szCs w:val="21"/>
    </w:rPr>
  </w:style>
  <w:style w:type="paragraph" w:customStyle="1" w:styleId="Char8">
    <w:name w:val="Char"/>
    <w:basedOn w:val="a"/>
    <w:uiPriority w:val="99"/>
    <w:rsid w:val="004061AC"/>
  </w:style>
  <w:style w:type="paragraph" w:styleId="af2">
    <w:name w:val="Document Map"/>
    <w:basedOn w:val="a"/>
    <w:link w:val="Char9"/>
    <w:uiPriority w:val="99"/>
    <w:semiHidden/>
    <w:rsid w:val="004061AC"/>
    <w:pPr>
      <w:shd w:val="clear" w:color="auto" w:fill="000080"/>
    </w:pPr>
  </w:style>
  <w:style w:type="character" w:customStyle="1" w:styleId="Char9">
    <w:name w:val="文档结构图 Char"/>
    <w:basedOn w:val="a1"/>
    <w:link w:val="af2"/>
    <w:uiPriority w:val="99"/>
    <w:semiHidden/>
    <w:rsid w:val="004061AC"/>
    <w:rPr>
      <w:rFonts w:ascii="Times New Roman" w:eastAsia="宋体" w:hAnsi="Times New Roman" w:cs="Times New Roman"/>
      <w:szCs w:val="21"/>
      <w:shd w:val="clear" w:color="auto" w:fill="000080"/>
    </w:rPr>
  </w:style>
  <w:style w:type="paragraph" w:customStyle="1" w:styleId="af3">
    <w:name w:val="正文 + (符号) 宋体"/>
    <w:aliases w:val="小四,紧缩量  0.2 磅"/>
    <w:basedOn w:val="a"/>
    <w:uiPriority w:val="99"/>
    <w:rsid w:val="004061AC"/>
    <w:pPr>
      <w:autoSpaceDE w:val="0"/>
      <w:autoSpaceDN w:val="0"/>
      <w:adjustRightInd w:val="0"/>
      <w:ind w:rightChars="671" w:right="1409" w:firstLineChars="512" w:firstLine="1229"/>
      <w:jc w:val="distribute"/>
    </w:pPr>
    <w:rPr>
      <w:sz w:val="24"/>
      <w:szCs w:val="24"/>
    </w:rPr>
  </w:style>
  <w:style w:type="paragraph" w:styleId="af4">
    <w:name w:val="footnote text"/>
    <w:basedOn w:val="a"/>
    <w:link w:val="Chara"/>
    <w:rsid w:val="004061AC"/>
    <w:pPr>
      <w:snapToGrid w:val="0"/>
      <w:jc w:val="left"/>
    </w:pPr>
    <w:rPr>
      <w:sz w:val="18"/>
      <w:szCs w:val="18"/>
    </w:rPr>
  </w:style>
  <w:style w:type="character" w:customStyle="1" w:styleId="Chara">
    <w:name w:val="脚注文本 Char"/>
    <w:basedOn w:val="a1"/>
    <w:link w:val="af4"/>
    <w:rsid w:val="004061AC"/>
    <w:rPr>
      <w:rFonts w:ascii="Times New Roman" w:eastAsia="宋体" w:hAnsi="Times New Roman" w:cs="Times New Roman"/>
      <w:sz w:val="18"/>
      <w:szCs w:val="18"/>
    </w:rPr>
  </w:style>
  <w:style w:type="character" w:styleId="af5">
    <w:name w:val="footnote reference"/>
    <w:basedOn w:val="a1"/>
    <w:rsid w:val="004061AC"/>
    <w:rPr>
      <w:vertAlign w:val="superscript"/>
    </w:rPr>
  </w:style>
  <w:style w:type="paragraph" w:styleId="af6">
    <w:name w:val="Normal (Web)"/>
    <w:basedOn w:val="a"/>
    <w:uiPriority w:val="99"/>
    <w:rsid w:val="004061AC"/>
    <w:pPr>
      <w:widowControl/>
      <w:spacing w:before="100" w:beforeAutospacing="1" w:after="100" w:afterAutospacing="1"/>
      <w:jc w:val="left"/>
    </w:pPr>
    <w:rPr>
      <w:rFonts w:ascii="宋体" w:hAnsi="宋体" w:cs="宋体"/>
      <w:kern w:val="0"/>
      <w:sz w:val="24"/>
      <w:szCs w:val="24"/>
    </w:rPr>
  </w:style>
  <w:style w:type="table" w:styleId="af7">
    <w:name w:val="Table Grid"/>
    <w:basedOn w:val="a2"/>
    <w:uiPriority w:val="99"/>
    <w:rsid w:val="004061AC"/>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4061AC"/>
  </w:style>
  <w:style w:type="paragraph" w:customStyle="1" w:styleId="CharCharCharCharCharChar1CharCharChar">
    <w:name w:val="Char Char Char Char Char Char1 Char Char Char"/>
    <w:basedOn w:val="a"/>
    <w:uiPriority w:val="99"/>
    <w:rsid w:val="004061AC"/>
    <w:pPr>
      <w:autoSpaceDE w:val="0"/>
      <w:autoSpaceDN w:val="0"/>
      <w:adjustRightInd w:val="0"/>
      <w:jc w:val="left"/>
      <w:textAlignment w:val="baseline"/>
    </w:pPr>
    <w:rPr>
      <w:rFonts w:ascii="宋体" w:cs="宋体"/>
      <w:kern w:val="0"/>
      <w:sz w:val="34"/>
      <w:szCs w:val="34"/>
    </w:rPr>
  </w:style>
  <w:style w:type="paragraph" w:customStyle="1" w:styleId="CharCharCharCharCharChar1CharCharChar2">
    <w:name w:val="Char Char Char Char Char Char1 Char Char Char2"/>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8">
    <w:name w:val="Title"/>
    <w:basedOn w:val="a"/>
    <w:next w:val="a"/>
    <w:link w:val="Charb"/>
    <w:uiPriority w:val="99"/>
    <w:qFormat/>
    <w:rsid w:val="004061AC"/>
    <w:pPr>
      <w:spacing w:before="240" w:after="60"/>
      <w:jc w:val="center"/>
      <w:outlineLvl w:val="0"/>
    </w:pPr>
    <w:rPr>
      <w:rFonts w:ascii="Cambria" w:hAnsi="Cambria" w:cs="Cambria"/>
      <w:b/>
      <w:bCs/>
      <w:sz w:val="32"/>
      <w:szCs w:val="32"/>
    </w:rPr>
  </w:style>
  <w:style w:type="character" w:customStyle="1" w:styleId="Charb">
    <w:name w:val="标题 Char"/>
    <w:basedOn w:val="a1"/>
    <w:link w:val="af8"/>
    <w:uiPriority w:val="99"/>
    <w:rsid w:val="004061AC"/>
    <w:rPr>
      <w:rFonts w:ascii="Cambria" w:eastAsia="宋体" w:hAnsi="Cambria" w:cs="Cambria"/>
      <w:b/>
      <w:bCs/>
      <w:sz w:val="32"/>
      <w:szCs w:val="32"/>
    </w:rPr>
  </w:style>
  <w:style w:type="paragraph" w:customStyle="1" w:styleId="CharCharCharCharCharChar1CharCharChar1">
    <w:name w:val="Char Char Char Char Char Char1 Char Char Char1"/>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9">
    <w:name w:val="No Spacing"/>
    <w:link w:val="Charc"/>
    <w:uiPriority w:val="1"/>
    <w:qFormat/>
    <w:rsid w:val="004061AC"/>
    <w:rPr>
      <w:rFonts w:ascii="Calibri" w:eastAsia="宋体" w:hAnsi="Calibri" w:cs="Calibri"/>
      <w:kern w:val="0"/>
      <w:sz w:val="22"/>
    </w:rPr>
  </w:style>
  <w:style w:type="character" w:customStyle="1" w:styleId="Charc">
    <w:name w:val="无间隔 Char"/>
    <w:basedOn w:val="a1"/>
    <w:link w:val="af9"/>
    <w:uiPriority w:val="1"/>
    <w:locked/>
    <w:rsid w:val="004061AC"/>
    <w:rPr>
      <w:rFonts w:ascii="Calibri" w:eastAsia="宋体" w:hAnsi="Calibri" w:cs="Calibri"/>
      <w:kern w:val="0"/>
      <w:sz w:val="22"/>
    </w:rPr>
  </w:style>
  <w:style w:type="character" w:customStyle="1" w:styleId="t1">
    <w:name w:val="t1"/>
    <w:basedOn w:val="a1"/>
    <w:uiPriority w:val="99"/>
    <w:rsid w:val="004061AC"/>
    <w:rPr>
      <w:color w:val="auto"/>
    </w:rPr>
  </w:style>
  <w:style w:type="paragraph" w:styleId="afa">
    <w:name w:val="List Paragraph"/>
    <w:basedOn w:val="a"/>
    <w:uiPriority w:val="34"/>
    <w:qFormat/>
    <w:rsid w:val="00154BE1"/>
    <w:pPr>
      <w:ind w:firstLineChars="200" w:firstLine="420"/>
    </w:pPr>
  </w:style>
  <w:style w:type="paragraph" w:customStyle="1" w:styleId="Default">
    <w:name w:val="Default"/>
    <w:rsid w:val="00275745"/>
    <w:pPr>
      <w:widowControl w:val="0"/>
      <w:autoSpaceDE w:val="0"/>
      <w:autoSpaceDN w:val="0"/>
      <w:adjustRightInd w:val="0"/>
    </w:pPr>
    <w:rPr>
      <w:rFonts w:ascii="FangSong" w:eastAsia="宋体" w:hAnsi="FangSong" w:cs="FangSong"/>
      <w:color w:val="000000"/>
      <w:kern w:val="0"/>
      <w:sz w:val="24"/>
      <w:szCs w:val="24"/>
    </w:rPr>
  </w:style>
  <w:style w:type="character" w:styleId="afb">
    <w:name w:val="Strong"/>
    <w:basedOn w:val="a1"/>
    <w:uiPriority w:val="22"/>
    <w:qFormat/>
    <w:rsid w:val="00E52D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8458076">
      <w:bodyDiv w:val="1"/>
      <w:marLeft w:val="0"/>
      <w:marRight w:val="0"/>
      <w:marTop w:val="0"/>
      <w:marBottom w:val="0"/>
      <w:divBdr>
        <w:top w:val="none" w:sz="0" w:space="0" w:color="auto"/>
        <w:left w:val="none" w:sz="0" w:space="0" w:color="auto"/>
        <w:bottom w:val="none" w:sz="0" w:space="0" w:color="auto"/>
        <w:right w:val="none" w:sz="0" w:space="0" w:color="auto"/>
      </w:divBdr>
    </w:div>
    <w:div w:id="149922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888A54-54EE-4443-ADB3-E20CCC1EA8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1799</TotalTime>
  <Pages>12</Pages>
  <Words>1165</Words>
  <Characters>6645</Characters>
  <Application>Microsoft Office Word</Application>
  <DocSecurity>0</DocSecurity>
  <Lines>55</Lines>
  <Paragraphs>15</Paragraphs>
  <ScaleCrop>false</ScaleCrop>
  <Company/>
  <LinksUpToDate>false</LinksUpToDate>
  <CharactersWithSpaces>7795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荣华</cp:lastModifiedBy>
  <cp:revision>566</cp:revision>
  <dcterms:created xsi:type="dcterms:W3CDTF">2012-10-16T06:07:00Z</dcterms:created>
  <dcterms:modified xsi:type="dcterms:W3CDTF">2015-10-22T07:16:00Z</dcterms:modified>
</cp:coreProperties>
</file>