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交银施罗德丰享收益债券型证券投资基金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年第</w:t>
      </w:r>
      <w:r w:rsidRPr="00087F8A">
        <w:rPr>
          <w:rFonts w:eastAsiaTheme="minorEastAsia"/>
          <w:b/>
          <w:sz w:val="36"/>
          <w:szCs w:val="36"/>
        </w:rPr>
        <w:t>3</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w:t>
      </w:r>
      <w:r w:rsidRPr="00087F8A">
        <w:rPr>
          <w:rFonts w:eastAsiaTheme="minorEastAsia"/>
          <w:b/>
          <w:sz w:val="36"/>
          <w:szCs w:val="36"/>
        </w:rPr>
        <w:t>9</w:t>
      </w:r>
      <w:r w:rsidRPr="00087F8A">
        <w:rPr>
          <w:rFonts w:eastAsiaTheme="minorEastAsia"/>
          <w:b/>
          <w:sz w:val="36"/>
          <w:szCs w:val="36"/>
        </w:rPr>
        <w:t>月</w:t>
      </w:r>
      <w:r w:rsidRPr="00087F8A">
        <w:rPr>
          <w:rFonts w:eastAsiaTheme="minorEastAsia"/>
          <w:b/>
          <w:sz w:val="36"/>
          <w:szCs w:val="36"/>
        </w:rPr>
        <w:t>30</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二〇一五年十月二十七日</w:t>
      </w:r>
    </w:p>
    <w:p w:rsidR="00220542" w:rsidRPr="00405493" w:rsidRDefault="00220542" w:rsidP="005D6807">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E45082" w:rsidRDefault="005D680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p>
    <w:p w:rsidR="00E45082" w:rsidRDefault="005D680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26</w:t>
      </w:r>
      <w:r>
        <w:rPr>
          <w:rFonts w:eastAsiaTheme="minorEastAsia"/>
          <w:color w:val="000000"/>
          <w:sz w:val="24"/>
        </w:rPr>
        <w:t xml:space="preserve">日复核了本报告中的财务指标、净值表现和投资组合报告等内容，保证复核内容不存在虚假记载、误导性陈述或者重大遗漏。　　</w:t>
      </w:r>
    </w:p>
    <w:p w:rsidR="00E45082" w:rsidRDefault="005D680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p>
    <w:p w:rsidR="00E45082" w:rsidRDefault="005D680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p>
    <w:p w:rsidR="00E45082" w:rsidRDefault="005D680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7</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5D6807">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交银丰享收益债券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519748</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519748</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w:t>
            </w:r>
            <w:r w:rsidRPr="00405493">
              <w:rPr>
                <w:rFonts w:eastAsiaTheme="minorEastAsia"/>
                <w:color w:val="000000"/>
                <w:kern w:val="0"/>
                <w:sz w:val="24"/>
              </w:rPr>
              <w:t>月</w:t>
            </w:r>
            <w:r w:rsidRPr="00405493">
              <w:rPr>
                <w:rFonts w:eastAsiaTheme="minorEastAsia"/>
                <w:color w:val="000000"/>
                <w:kern w:val="0"/>
                <w:sz w:val="24"/>
              </w:rPr>
              <w:t>19</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259,386,490.95</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在严格控制风险和追求资产稳健增值的基础上</w:t>
            </w:r>
            <w:r w:rsidRPr="00405493">
              <w:rPr>
                <w:rFonts w:eastAsiaTheme="minorEastAsia"/>
                <w:color w:val="000000"/>
                <w:kern w:val="0"/>
                <w:sz w:val="24"/>
              </w:rPr>
              <w:t>,</w:t>
            </w:r>
            <w:r w:rsidRPr="00405493">
              <w:rPr>
                <w:rFonts w:eastAsiaTheme="minorEastAsia"/>
                <w:color w:val="000000"/>
                <w:kern w:val="0"/>
                <w:sz w:val="24"/>
              </w:rPr>
              <w:t>力求获得高于业绩基准的投资收益。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B869D2" w:rsidRDefault="00B869D2" w:rsidP="00B869D2">
      <w:pPr>
        <w:jc w:val="left"/>
        <w:rPr>
          <w:color w:val="000000" w:themeColor="text1"/>
          <w:kern w:val="0"/>
          <w:sz w:val="24"/>
        </w:rPr>
      </w:pPr>
      <w:r>
        <w:rPr>
          <w:rFonts w:hint="eastAsia"/>
          <w:color w:val="000000" w:themeColor="text1"/>
          <w:kern w:val="0"/>
          <w:sz w:val="24"/>
        </w:rPr>
        <w:t>注：本基金在基金合同生效之日起两年（含两年）的期间内封闭式运作（按照基金合同的约定提前转换基金运作方式的除外）。</w:t>
      </w:r>
      <w:r>
        <w:rPr>
          <w:rFonts w:ascii="宋体" w:hAnsi="宋体" w:hint="eastAsia"/>
          <w:color w:val="000000" w:themeColor="text1"/>
          <w:sz w:val="24"/>
        </w:rPr>
        <w:t>封闭期内，基金投资者不能申购、赎回本基金基金份额，即C类基金份额</w:t>
      </w:r>
      <w:r>
        <w:rPr>
          <w:rFonts w:hint="eastAsia"/>
          <w:color w:val="000000" w:themeColor="text1"/>
          <w:kern w:val="0"/>
          <w:sz w:val="24"/>
        </w:rPr>
        <w:t>。</w:t>
      </w:r>
    </w:p>
    <w:p w:rsidR="00D24178" w:rsidRPr="00B869D2"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5D6807">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5D6807" w:rsidRPr="00405493" w:rsidTr="005D6807">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7</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w:t>
            </w:r>
            <w:r w:rsidRPr="00405493">
              <w:rPr>
                <w:rFonts w:eastAsiaTheme="minorEastAsia"/>
                <w:color w:val="000000"/>
                <w:sz w:val="24"/>
              </w:rPr>
              <w:t>)</w:t>
            </w:r>
          </w:p>
        </w:tc>
      </w:tr>
      <w:tr w:rsidR="005D6807" w:rsidRPr="00405493" w:rsidTr="005D6807">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4,890,623.87</w:t>
            </w:r>
          </w:p>
        </w:tc>
      </w:tr>
      <w:tr w:rsidR="005D6807" w:rsidRPr="00405493" w:rsidTr="005D6807">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11,969,442.52</w:t>
            </w:r>
          </w:p>
        </w:tc>
      </w:tr>
      <w:tr w:rsidR="005D6807" w:rsidRPr="00405493" w:rsidTr="005D6807">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0.0461</w:t>
            </w:r>
          </w:p>
        </w:tc>
      </w:tr>
      <w:tr w:rsidR="005D6807" w:rsidRPr="00405493" w:rsidTr="005D6807">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282,132,095.74</w:t>
            </w:r>
          </w:p>
        </w:tc>
      </w:tr>
      <w:tr w:rsidR="005D6807" w:rsidRPr="00405493" w:rsidTr="005D6807">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1.088</w:t>
            </w:r>
          </w:p>
        </w:tc>
      </w:tr>
    </w:tbl>
    <w:p w:rsidR="00E45082" w:rsidRDefault="005D680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E45082">
        <w:trPr>
          <w:jc w:val="center"/>
        </w:trPr>
        <w:tc>
          <w:tcPr>
            <w:tcW w:w="1448" w:type="dxa"/>
            <w:vAlign w:val="center"/>
          </w:tcPr>
          <w:p w:rsidR="00E45082" w:rsidRDefault="005D6807">
            <w:pPr>
              <w:jc w:val="left"/>
            </w:pPr>
            <w:r>
              <w:rPr>
                <w:rFonts w:eastAsiaTheme="minorEastAsia"/>
                <w:color w:val="000000"/>
                <w:sz w:val="24"/>
              </w:rPr>
              <w:lastRenderedPageBreak/>
              <w:t>过去三个月</w:t>
            </w:r>
          </w:p>
        </w:tc>
        <w:tc>
          <w:tcPr>
            <w:tcW w:w="1134" w:type="dxa"/>
            <w:vAlign w:val="center"/>
          </w:tcPr>
          <w:p w:rsidR="00E45082" w:rsidRDefault="005D6807">
            <w:pPr>
              <w:jc w:val="center"/>
            </w:pPr>
            <w:r>
              <w:rPr>
                <w:rFonts w:eastAsiaTheme="minorEastAsia"/>
                <w:color w:val="000000"/>
                <w:sz w:val="24"/>
              </w:rPr>
              <w:t>4.41%</w:t>
            </w:r>
          </w:p>
        </w:tc>
        <w:tc>
          <w:tcPr>
            <w:tcW w:w="1206" w:type="dxa"/>
            <w:vAlign w:val="center"/>
          </w:tcPr>
          <w:p w:rsidR="00E45082" w:rsidRDefault="005D6807">
            <w:pPr>
              <w:jc w:val="center"/>
            </w:pPr>
            <w:r>
              <w:rPr>
                <w:rFonts w:eastAsiaTheme="minorEastAsia"/>
                <w:color w:val="000000"/>
                <w:sz w:val="24"/>
              </w:rPr>
              <w:t>0.08%</w:t>
            </w:r>
          </w:p>
        </w:tc>
        <w:tc>
          <w:tcPr>
            <w:tcW w:w="1227" w:type="dxa"/>
            <w:vAlign w:val="center"/>
          </w:tcPr>
          <w:p w:rsidR="00E45082" w:rsidRDefault="005D6807">
            <w:pPr>
              <w:jc w:val="center"/>
            </w:pPr>
            <w:r>
              <w:rPr>
                <w:rFonts w:eastAsiaTheme="minorEastAsia"/>
                <w:color w:val="000000"/>
                <w:sz w:val="24"/>
              </w:rPr>
              <w:t>0.64%</w:t>
            </w:r>
          </w:p>
        </w:tc>
        <w:tc>
          <w:tcPr>
            <w:tcW w:w="1234" w:type="dxa"/>
            <w:vAlign w:val="center"/>
          </w:tcPr>
          <w:p w:rsidR="00E45082" w:rsidRDefault="005D6807">
            <w:pPr>
              <w:jc w:val="center"/>
            </w:pPr>
            <w:r>
              <w:rPr>
                <w:rFonts w:eastAsiaTheme="minorEastAsia"/>
                <w:color w:val="000000"/>
                <w:sz w:val="24"/>
              </w:rPr>
              <w:t>0.01%</w:t>
            </w:r>
          </w:p>
        </w:tc>
        <w:tc>
          <w:tcPr>
            <w:tcW w:w="1246" w:type="dxa"/>
            <w:vAlign w:val="center"/>
          </w:tcPr>
          <w:p w:rsidR="00E45082" w:rsidRDefault="005D6807">
            <w:pPr>
              <w:jc w:val="center"/>
            </w:pPr>
            <w:r>
              <w:rPr>
                <w:rFonts w:eastAsiaTheme="minorEastAsia"/>
                <w:color w:val="000000"/>
                <w:sz w:val="24"/>
              </w:rPr>
              <w:t>3.77%</w:t>
            </w:r>
          </w:p>
        </w:tc>
        <w:tc>
          <w:tcPr>
            <w:tcW w:w="1373" w:type="dxa"/>
            <w:vAlign w:val="center"/>
          </w:tcPr>
          <w:p w:rsidR="00E45082" w:rsidRDefault="005D6807">
            <w:pPr>
              <w:jc w:val="center"/>
            </w:pPr>
            <w:r>
              <w:rPr>
                <w:rFonts w:eastAsiaTheme="minorEastAsia"/>
                <w:color w:val="000000"/>
                <w:sz w:val="24"/>
              </w:rPr>
              <w:t>0.07%</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交银施罗德丰享收益债券型证券投资基金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19</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2015</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9</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30</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19</w:t>
      </w:r>
      <w:r w:rsidRPr="00405493">
        <w:rPr>
          <w:rFonts w:eastAsiaTheme="minorEastAsia"/>
          <w:color w:val="000000"/>
          <w:sz w:val="24"/>
        </w:rPr>
        <w:t>日，基金合同生效日至报告期期末，本基金运作时间未满一年。本基金建仓期为自基金合同生效日起的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5D6807">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E45082">
        <w:trPr>
          <w:jc w:val="center"/>
        </w:trPr>
        <w:tc>
          <w:tcPr>
            <w:tcW w:w="846" w:type="dxa"/>
            <w:vAlign w:val="center"/>
          </w:tcPr>
          <w:p w:rsidR="00E45082" w:rsidRDefault="005D6807">
            <w:pPr>
              <w:jc w:val="center"/>
            </w:pPr>
            <w:r>
              <w:rPr>
                <w:rFonts w:eastAsiaTheme="minorEastAsia"/>
                <w:color w:val="000000"/>
                <w:sz w:val="24"/>
              </w:rPr>
              <w:t>孙超</w:t>
            </w:r>
          </w:p>
        </w:tc>
        <w:tc>
          <w:tcPr>
            <w:tcW w:w="845" w:type="dxa"/>
            <w:vAlign w:val="center"/>
          </w:tcPr>
          <w:p w:rsidR="00E45082" w:rsidRDefault="005D6807">
            <w:pPr>
              <w:jc w:val="center"/>
            </w:pPr>
            <w:r>
              <w:rPr>
                <w:rFonts w:eastAsiaTheme="minorEastAsia"/>
                <w:color w:val="000000"/>
                <w:sz w:val="24"/>
              </w:rPr>
              <w:t>交银增利债券、交银纯债债券发起、交银理财</w:t>
            </w:r>
            <w:r>
              <w:rPr>
                <w:rFonts w:eastAsiaTheme="minorEastAsia"/>
                <w:color w:val="000000"/>
                <w:sz w:val="24"/>
              </w:rPr>
              <w:t>60</w:t>
            </w:r>
            <w:r>
              <w:rPr>
                <w:rFonts w:eastAsiaTheme="minorEastAsia"/>
                <w:color w:val="000000"/>
                <w:sz w:val="24"/>
              </w:rPr>
              <w:t>天债券、交银双轮动债券、交银定期支付月月丰债券、交银强化回报债券、交银丰润收益债券、交银丰享收益债券、交银丰泽收益债券的基金经理</w:t>
            </w:r>
          </w:p>
        </w:tc>
        <w:tc>
          <w:tcPr>
            <w:tcW w:w="1549" w:type="dxa"/>
            <w:vAlign w:val="center"/>
          </w:tcPr>
          <w:p w:rsidR="00E45082" w:rsidRDefault="005D6807">
            <w:pPr>
              <w:jc w:val="center"/>
            </w:pPr>
            <w:r>
              <w:rPr>
                <w:rFonts w:eastAsiaTheme="minorEastAsia"/>
                <w:color w:val="000000"/>
                <w:sz w:val="24"/>
              </w:rPr>
              <w:t>2015-01-19</w:t>
            </w:r>
          </w:p>
        </w:tc>
        <w:tc>
          <w:tcPr>
            <w:tcW w:w="1548" w:type="dxa"/>
            <w:vAlign w:val="center"/>
          </w:tcPr>
          <w:p w:rsidR="00E45082" w:rsidRDefault="005D6807">
            <w:pPr>
              <w:jc w:val="center"/>
            </w:pPr>
            <w:r>
              <w:rPr>
                <w:rFonts w:eastAsiaTheme="minorEastAsia"/>
                <w:color w:val="000000"/>
                <w:sz w:val="24"/>
              </w:rPr>
              <w:t>-</w:t>
            </w:r>
          </w:p>
        </w:tc>
        <w:tc>
          <w:tcPr>
            <w:tcW w:w="1407" w:type="dxa"/>
            <w:vAlign w:val="center"/>
          </w:tcPr>
          <w:p w:rsidR="00E45082" w:rsidRDefault="005D6807">
            <w:pPr>
              <w:jc w:val="center"/>
            </w:pPr>
            <w:r>
              <w:rPr>
                <w:rFonts w:eastAsiaTheme="minorEastAsia"/>
                <w:color w:val="000000"/>
                <w:sz w:val="24"/>
              </w:rPr>
              <w:t>4</w:t>
            </w:r>
            <w:r>
              <w:rPr>
                <w:rFonts w:eastAsiaTheme="minorEastAsia"/>
                <w:color w:val="000000"/>
                <w:sz w:val="24"/>
              </w:rPr>
              <w:t>年</w:t>
            </w:r>
          </w:p>
        </w:tc>
        <w:tc>
          <w:tcPr>
            <w:tcW w:w="2673" w:type="dxa"/>
            <w:vAlign w:val="center"/>
          </w:tcPr>
          <w:p w:rsidR="00E45082" w:rsidRDefault="005D6807">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年加入交银施罗德基金管理有限公司，历任基金经理助理。</w:t>
            </w:r>
          </w:p>
        </w:tc>
      </w:tr>
      <w:tr w:rsidR="00E45082">
        <w:trPr>
          <w:jc w:val="center"/>
        </w:trPr>
        <w:tc>
          <w:tcPr>
            <w:tcW w:w="846" w:type="dxa"/>
            <w:vAlign w:val="center"/>
          </w:tcPr>
          <w:p w:rsidR="00E45082" w:rsidRDefault="005D6807">
            <w:pPr>
              <w:jc w:val="center"/>
            </w:pPr>
            <w:r>
              <w:rPr>
                <w:rFonts w:eastAsiaTheme="minorEastAsia"/>
                <w:color w:val="000000"/>
                <w:sz w:val="24"/>
              </w:rPr>
              <w:t>黄莹洁</w:t>
            </w:r>
          </w:p>
        </w:tc>
        <w:tc>
          <w:tcPr>
            <w:tcW w:w="845" w:type="dxa"/>
            <w:vAlign w:val="center"/>
          </w:tcPr>
          <w:p w:rsidR="00E45082" w:rsidRDefault="005D6807">
            <w:pPr>
              <w:jc w:val="center"/>
            </w:pPr>
            <w:r>
              <w:rPr>
                <w:rFonts w:eastAsiaTheme="minorEastAsia"/>
                <w:color w:val="000000"/>
                <w:sz w:val="24"/>
              </w:rPr>
              <w:t>交银货币、交银理财</w:t>
            </w:r>
            <w:r>
              <w:rPr>
                <w:rFonts w:eastAsiaTheme="minorEastAsia"/>
                <w:color w:val="000000"/>
                <w:sz w:val="24"/>
              </w:rPr>
              <w:t>21</w:t>
            </w:r>
            <w:r>
              <w:rPr>
                <w:rFonts w:eastAsiaTheme="minorEastAsia"/>
                <w:color w:val="000000"/>
                <w:sz w:val="24"/>
              </w:rPr>
              <w:t>天债券、交银现金宝货币、交银丰享收益债券、交银丰泽收益债券的基金经理</w:t>
            </w:r>
          </w:p>
        </w:tc>
        <w:tc>
          <w:tcPr>
            <w:tcW w:w="1549" w:type="dxa"/>
            <w:vAlign w:val="center"/>
          </w:tcPr>
          <w:p w:rsidR="00E45082" w:rsidRDefault="005D6807">
            <w:pPr>
              <w:jc w:val="center"/>
            </w:pPr>
            <w:r>
              <w:rPr>
                <w:rFonts w:eastAsiaTheme="minorEastAsia"/>
                <w:color w:val="000000"/>
                <w:sz w:val="24"/>
              </w:rPr>
              <w:t>2015-07-25</w:t>
            </w:r>
          </w:p>
        </w:tc>
        <w:tc>
          <w:tcPr>
            <w:tcW w:w="1548" w:type="dxa"/>
            <w:vAlign w:val="center"/>
          </w:tcPr>
          <w:p w:rsidR="00E45082" w:rsidRDefault="005D6807">
            <w:pPr>
              <w:jc w:val="center"/>
            </w:pPr>
            <w:r>
              <w:rPr>
                <w:rFonts w:eastAsiaTheme="minorEastAsia"/>
                <w:color w:val="000000"/>
                <w:sz w:val="24"/>
              </w:rPr>
              <w:t>-</w:t>
            </w:r>
          </w:p>
        </w:tc>
        <w:tc>
          <w:tcPr>
            <w:tcW w:w="1407" w:type="dxa"/>
            <w:vAlign w:val="center"/>
          </w:tcPr>
          <w:p w:rsidR="00E45082" w:rsidRDefault="005D6807">
            <w:pPr>
              <w:jc w:val="center"/>
            </w:pPr>
            <w:r>
              <w:rPr>
                <w:rFonts w:eastAsiaTheme="minorEastAsia"/>
                <w:color w:val="000000"/>
                <w:sz w:val="24"/>
              </w:rPr>
              <w:t>7</w:t>
            </w:r>
            <w:r>
              <w:rPr>
                <w:rFonts w:eastAsiaTheme="minorEastAsia"/>
                <w:color w:val="000000"/>
                <w:sz w:val="24"/>
              </w:rPr>
              <w:t>年</w:t>
            </w:r>
          </w:p>
        </w:tc>
        <w:tc>
          <w:tcPr>
            <w:tcW w:w="2673" w:type="dxa"/>
            <w:vAlign w:val="center"/>
          </w:tcPr>
          <w:p w:rsidR="00E45082" w:rsidRDefault="005D6807">
            <w:r>
              <w:rPr>
                <w:rFonts w:eastAsiaTheme="minorEastAsia"/>
                <w:color w:val="000000"/>
                <w:sz w:val="24"/>
              </w:rPr>
              <w:t>黄莹洁女士，香港大学工商管理硕士、北京大学经济学、管理学双学士。历任中海基金管理有限公司交易员。</w:t>
            </w:r>
            <w:r>
              <w:rPr>
                <w:rFonts w:eastAsiaTheme="minorEastAsia"/>
                <w:color w:val="000000"/>
                <w:sz w:val="24"/>
              </w:rPr>
              <w:t>2012</w:t>
            </w:r>
            <w:r>
              <w:rPr>
                <w:rFonts w:eastAsiaTheme="minorEastAsia"/>
                <w:color w:val="000000"/>
                <w:sz w:val="24"/>
              </w:rPr>
              <w:t>年加入交银施罗德基金管理有限公司，历任中央交易室交易员。</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E45082" w:rsidRDefault="005D680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45082" w:rsidRDefault="005D680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E45082" w:rsidRDefault="005D680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E45082" w:rsidRDefault="005D680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本报告期内，经济增长低迷，央行继续维持宽松的货币政策，除降准、降息以外，同时使用各类货币政策工具对中短期流动性进行调节。随着权益市场的大幅调整以及</w:t>
      </w:r>
      <w:r>
        <w:rPr>
          <w:rFonts w:eastAsiaTheme="minorEastAsia"/>
          <w:color w:val="000000"/>
          <w:sz w:val="24"/>
        </w:rPr>
        <w:t>IPO</w:t>
      </w:r>
      <w:r>
        <w:rPr>
          <w:rFonts w:eastAsiaTheme="minorEastAsia"/>
          <w:color w:val="000000"/>
          <w:sz w:val="24"/>
        </w:rPr>
        <w:t>暂停的局面，大量配资、两融、打新资金需要重新配置，从而推动债券市场收益率大幅下行。中债总全价（总值）指数上涨</w:t>
      </w:r>
      <w:r>
        <w:rPr>
          <w:rFonts w:eastAsiaTheme="minorEastAsia"/>
          <w:color w:val="000000"/>
          <w:sz w:val="24"/>
        </w:rPr>
        <w:t>1.31%</w:t>
      </w:r>
      <w:r>
        <w:rPr>
          <w:rFonts w:eastAsiaTheme="minorEastAsia"/>
          <w:color w:val="000000"/>
          <w:sz w:val="24"/>
        </w:rPr>
        <w:t>。本基金以与封闭期适度匹配的债券配置进行杠杆操作，报告期内运作稳健。</w:t>
      </w:r>
      <w:r>
        <w:rPr>
          <w:rFonts w:eastAsiaTheme="minorEastAsia"/>
          <w:color w:val="000000"/>
          <w:sz w:val="24"/>
        </w:rPr>
        <w:t xml:space="preserve"> </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四季度，经济基本面依旧疲弱，央行仍将保持宽松货币政策。但需要密切关注政府政策大力刺激下，经济边际改善的可能性以及风险资产回暖对债市的表现抑制。组合管理方面，本基金或将继续维持现有仓位配置，努力为投资者创造稳健的收益回报。</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9</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日，本基金份额净值为</w:t>
      </w:r>
      <w:r w:rsidRPr="00405493">
        <w:rPr>
          <w:rFonts w:eastAsiaTheme="minorEastAsia"/>
          <w:color w:val="000000"/>
          <w:sz w:val="24"/>
        </w:rPr>
        <w:t>1.088</w:t>
      </w:r>
      <w:r w:rsidRPr="00405493">
        <w:rPr>
          <w:rFonts w:eastAsiaTheme="minorEastAsia"/>
          <w:color w:val="000000"/>
          <w:sz w:val="24"/>
        </w:rPr>
        <w:t>元，本报告期份额净值增长率为</w:t>
      </w:r>
      <w:r w:rsidRPr="00405493">
        <w:rPr>
          <w:rFonts w:eastAsiaTheme="minorEastAsia"/>
          <w:color w:val="000000"/>
          <w:sz w:val="24"/>
        </w:rPr>
        <w:t>4.41%</w:t>
      </w:r>
      <w:r w:rsidRPr="00405493">
        <w:rPr>
          <w:rFonts w:eastAsiaTheme="minorEastAsia"/>
          <w:color w:val="000000"/>
          <w:sz w:val="24"/>
        </w:rPr>
        <w:t>，同期业绩比较基准增长率为</w:t>
      </w:r>
      <w:r w:rsidRPr="00405493">
        <w:rPr>
          <w:rFonts w:eastAsiaTheme="minorEastAsia"/>
          <w:color w:val="000000"/>
          <w:sz w:val="24"/>
        </w:rPr>
        <w:t>0.64%</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5D6807">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492,737,470.20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94.16</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442,711,870.20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84.60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50,025,600.00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9.56</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16,956,914.44</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3.24</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13,582,237.73</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2.60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523,276,622.37</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277,737,870.20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98.44</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164,974,000.00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58.47</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442,711,870.20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156.92</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E45082">
        <w:trPr>
          <w:jc w:val="center"/>
        </w:trPr>
        <w:tc>
          <w:tcPr>
            <w:tcW w:w="1302" w:type="dxa"/>
            <w:vAlign w:val="center"/>
          </w:tcPr>
          <w:p w:rsidR="00E45082" w:rsidRDefault="005D6807">
            <w:pPr>
              <w:jc w:val="center"/>
            </w:pPr>
            <w:r>
              <w:rPr>
                <w:rFonts w:eastAsiaTheme="minorEastAsia"/>
                <w:color w:val="000000"/>
                <w:sz w:val="24"/>
              </w:rPr>
              <w:t>1</w:t>
            </w:r>
          </w:p>
        </w:tc>
        <w:tc>
          <w:tcPr>
            <w:tcW w:w="1362" w:type="dxa"/>
            <w:vAlign w:val="center"/>
          </w:tcPr>
          <w:p w:rsidR="00E45082" w:rsidRDefault="005D6807">
            <w:pPr>
              <w:jc w:val="center"/>
            </w:pPr>
            <w:r>
              <w:rPr>
                <w:rFonts w:eastAsiaTheme="minorEastAsia"/>
                <w:color w:val="000000"/>
                <w:sz w:val="24"/>
              </w:rPr>
              <w:t>112043</w:t>
            </w:r>
          </w:p>
        </w:tc>
        <w:tc>
          <w:tcPr>
            <w:tcW w:w="1652" w:type="dxa"/>
            <w:vAlign w:val="center"/>
          </w:tcPr>
          <w:p w:rsidR="00E45082" w:rsidRDefault="005D6807">
            <w:pPr>
              <w:jc w:val="center"/>
            </w:pPr>
            <w:r>
              <w:rPr>
                <w:rFonts w:eastAsiaTheme="minorEastAsia"/>
                <w:color w:val="000000"/>
                <w:sz w:val="24"/>
              </w:rPr>
              <w:t>11</w:t>
            </w:r>
            <w:r>
              <w:rPr>
                <w:rFonts w:eastAsiaTheme="minorEastAsia"/>
                <w:color w:val="000000"/>
                <w:sz w:val="24"/>
              </w:rPr>
              <w:t>东控</w:t>
            </w:r>
            <w:r>
              <w:rPr>
                <w:rFonts w:eastAsiaTheme="minorEastAsia"/>
                <w:color w:val="000000"/>
                <w:sz w:val="24"/>
              </w:rPr>
              <w:t>02</w:t>
            </w:r>
          </w:p>
        </w:tc>
        <w:tc>
          <w:tcPr>
            <w:tcW w:w="1417" w:type="dxa"/>
            <w:vAlign w:val="center"/>
          </w:tcPr>
          <w:p w:rsidR="00E45082" w:rsidRDefault="005D6807">
            <w:pPr>
              <w:jc w:val="right"/>
            </w:pPr>
            <w:r>
              <w:rPr>
                <w:rFonts w:eastAsiaTheme="minorEastAsia"/>
                <w:color w:val="000000"/>
                <w:sz w:val="24"/>
              </w:rPr>
              <w:t>240,000</w:t>
            </w:r>
          </w:p>
        </w:tc>
        <w:tc>
          <w:tcPr>
            <w:tcW w:w="1701" w:type="dxa"/>
            <w:vAlign w:val="center"/>
          </w:tcPr>
          <w:p w:rsidR="00E45082" w:rsidRDefault="005D6807">
            <w:pPr>
              <w:jc w:val="right"/>
            </w:pPr>
            <w:r>
              <w:rPr>
                <w:rFonts w:eastAsiaTheme="minorEastAsia"/>
                <w:color w:val="000000"/>
                <w:sz w:val="24"/>
              </w:rPr>
              <w:t>24,936,000.00</w:t>
            </w:r>
          </w:p>
        </w:tc>
        <w:tc>
          <w:tcPr>
            <w:tcW w:w="1434" w:type="dxa"/>
            <w:vAlign w:val="center"/>
          </w:tcPr>
          <w:p w:rsidR="00E45082" w:rsidRDefault="005D6807">
            <w:pPr>
              <w:jc w:val="right"/>
            </w:pPr>
            <w:r>
              <w:rPr>
                <w:rFonts w:eastAsiaTheme="minorEastAsia"/>
                <w:color w:val="000000"/>
                <w:sz w:val="24"/>
              </w:rPr>
              <w:t>8.84</w:t>
            </w:r>
          </w:p>
        </w:tc>
      </w:tr>
      <w:tr w:rsidR="00E45082">
        <w:trPr>
          <w:jc w:val="center"/>
        </w:trPr>
        <w:tc>
          <w:tcPr>
            <w:tcW w:w="1302" w:type="dxa"/>
            <w:vAlign w:val="center"/>
          </w:tcPr>
          <w:p w:rsidR="00E45082" w:rsidRDefault="005D6807">
            <w:pPr>
              <w:jc w:val="center"/>
            </w:pPr>
            <w:r>
              <w:rPr>
                <w:rFonts w:eastAsiaTheme="minorEastAsia"/>
                <w:color w:val="000000"/>
                <w:sz w:val="24"/>
              </w:rPr>
              <w:t>2</w:t>
            </w:r>
          </w:p>
        </w:tc>
        <w:tc>
          <w:tcPr>
            <w:tcW w:w="1362" w:type="dxa"/>
            <w:vAlign w:val="center"/>
          </w:tcPr>
          <w:p w:rsidR="00E45082" w:rsidRDefault="005D6807">
            <w:pPr>
              <w:jc w:val="center"/>
            </w:pPr>
            <w:r>
              <w:rPr>
                <w:rFonts w:eastAsiaTheme="minorEastAsia"/>
                <w:color w:val="000000"/>
                <w:sz w:val="24"/>
              </w:rPr>
              <w:t>1280135</w:t>
            </w:r>
          </w:p>
        </w:tc>
        <w:tc>
          <w:tcPr>
            <w:tcW w:w="1652" w:type="dxa"/>
            <w:vAlign w:val="center"/>
          </w:tcPr>
          <w:p w:rsidR="00E45082" w:rsidRDefault="005D6807">
            <w:pPr>
              <w:jc w:val="center"/>
            </w:pPr>
            <w:r>
              <w:rPr>
                <w:rFonts w:eastAsiaTheme="minorEastAsia"/>
                <w:color w:val="000000"/>
                <w:sz w:val="24"/>
              </w:rPr>
              <w:t>12</w:t>
            </w:r>
            <w:r>
              <w:rPr>
                <w:rFonts w:eastAsiaTheme="minorEastAsia"/>
                <w:color w:val="000000"/>
                <w:sz w:val="24"/>
              </w:rPr>
              <w:t>昆钢控股债</w:t>
            </w:r>
          </w:p>
        </w:tc>
        <w:tc>
          <w:tcPr>
            <w:tcW w:w="1417" w:type="dxa"/>
            <w:vAlign w:val="center"/>
          </w:tcPr>
          <w:p w:rsidR="00E45082" w:rsidRDefault="005D6807">
            <w:pPr>
              <w:jc w:val="right"/>
            </w:pPr>
            <w:r>
              <w:rPr>
                <w:rFonts w:eastAsiaTheme="minorEastAsia"/>
                <w:color w:val="000000"/>
                <w:sz w:val="24"/>
              </w:rPr>
              <w:t>240,000</w:t>
            </w:r>
          </w:p>
        </w:tc>
        <w:tc>
          <w:tcPr>
            <w:tcW w:w="1701" w:type="dxa"/>
            <w:vAlign w:val="center"/>
          </w:tcPr>
          <w:p w:rsidR="00E45082" w:rsidRDefault="005D6807">
            <w:pPr>
              <w:jc w:val="right"/>
            </w:pPr>
            <w:r>
              <w:rPr>
                <w:rFonts w:eastAsiaTheme="minorEastAsia"/>
                <w:color w:val="000000"/>
                <w:sz w:val="24"/>
              </w:rPr>
              <w:t>24,518,400.00</w:t>
            </w:r>
          </w:p>
        </w:tc>
        <w:tc>
          <w:tcPr>
            <w:tcW w:w="1434" w:type="dxa"/>
            <w:vAlign w:val="center"/>
          </w:tcPr>
          <w:p w:rsidR="00E45082" w:rsidRDefault="005D6807">
            <w:pPr>
              <w:jc w:val="right"/>
            </w:pPr>
            <w:r>
              <w:rPr>
                <w:rFonts w:eastAsiaTheme="minorEastAsia"/>
                <w:color w:val="000000"/>
                <w:sz w:val="24"/>
              </w:rPr>
              <w:t>8.69</w:t>
            </w:r>
          </w:p>
        </w:tc>
      </w:tr>
      <w:tr w:rsidR="00E45082">
        <w:trPr>
          <w:jc w:val="center"/>
        </w:trPr>
        <w:tc>
          <w:tcPr>
            <w:tcW w:w="1302" w:type="dxa"/>
            <w:vAlign w:val="center"/>
          </w:tcPr>
          <w:p w:rsidR="00E45082" w:rsidRDefault="005D6807">
            <w:pPr>
              <w:jc w:val="center"/>
            </w:pPr>
            <w:r>
              <w:rPr>
                <w:rFonts w:eastAsiaTheme="minorEastAsia"/>
                <w:color w:val="000000"/>
                <w:sz w:val="24"/>
              </w:rPr>
              <w:t>3</w:t>
            </w:r>
          </w:p>
        </w:tc>
        <w:tc>
          <w:tcPr>
            <w:tcW w:w="1362" w:type="dxa"/>
            <w:vAlign w:val="center"/>
          </w:tcPr>
          <w:p w:rsidR="00E45082" w:rsidRDefault="005D6807">
            <w:pPr>
              <w:jc w:val="center"/>
            </w:pPr>
            <w:r>
              <w:rPr>
                <w:rFonts w:eastAsiaTheme="minorEastAsia"/>
                <w:color w:val="000000"/>
                <w:sz w:val="24"/>
              </w:rPr>
              <w:t>112233</w:t>
            </w:r>
          </w:p>
        </w:tc>
        <w:tc>
          <w:tcPr>
            <w:tcW w:w="1652" w:type="dxa"/>
            <w:vAlign w:val="center"/>
          </w:tcPr>
          <w:p w:rsidR="00E45082" w:rsidRDefault="005D6807">
            <w:pPr>
              <w:jc w:val="center"/>
            </w:pPr>
            <w:r>
              <w:rPr>
                <w:rFonts w:eastAsiaTheme="minorEastAsia"/>
                <w:color w:val="000000"/>
                <w:sz w:val="24"/>
              </w:rPr>
              <w:t>14</w:t>
            </w:r>
            <w:r>
              <w:rPr>
                <w:rFonts w:eastAsiaTheme="minorEastAsia"/>
                <w:color w:val="000000"/>
                <w:sz w:val="24"/>
              </w:rPr>
              <w:t>漳发债</w:t>
            </w:r>
          </w:p>
        </w:tc>
        <w:tc>
          <w:tcPr>
            <w:tcW w:w="1417" w:type="dxa"/>
            <w:vAlign w:val="center"/>
          </w:tcPr>
          <w:p w:rsidR="00E45082" w:rsidRDefault="005D6807">
            <w:pPr>
              <w:jc w:val="right"/>
            </w:pPr>
            <w:r>
              <w:rPr>
                <w:rFonts w:eastAsiaTheme="minorEastAsia"/>
                <w:color w:val="000000"/>
                <w:sz w:val="24"/>
              </w:rPr>
              <w:t>230,000</w:t>
            </w:r>
          </w:p>
        </w:tc>
        <w:tc>
          <w:tcPr>
            <w:tcW w:w="1701" w:type="dxa"/>
            <w:vAlign w:val="center"/>
          </w:tcPr>
          <w:p w:rsidR="00E45082" w:rsidRDefault="005D6807">
            <w:pPr>
              <w:jc w:val="right"/>
            </w:pPr>
            <w:r>
              <w:rPr>
                <w:rFonts w:eastAsiaTheme="minorEastAsia"/>
                <w:color w:val="000000"/>
                <w:sz w:val="24"/>
              </w:rPr>
              <w:t>24,150,000.00</w:t>
            </w:r>
          </w:p>
        </w:tc>
        <w:tc>
          <w:tcPr>
            <w:tcW w:w="1434" w:type="dxa"/>
            <w:vAlign w:val="center"/>
          </w:tcPr>
          <w:p w:rsidR="00E45082" w:rsidRDefault="005D6807">
            <w:pPr>
              <w:jc w:val="right"/>
            </w:pPr>
            <w:r>
              <w:rPr>
                <w:rFonts w:eastAsiaTheme="minorEastAsia"/>
                <w:color w:val="000000"/>
                <w:sz w:val="24"/>
              </w:rPr>
              <w:t>8.56</w:t>
            </w:r>
          </w:p>
        </w:tc>
      </w:tr>
      <w:tr w:rsidR="00E45082">
        <w:trPr>
          <w:jc w:val="center"/>
        </w:trPr>
        <w:tc>
          <w:tcPr>
            <w:tcW w:w="1302" w:type="dxa"/>
            <w:vAlign w:val="center"/>
          </w:tcPr>
          <w:p w:rsidR="00E45082" w:rsidRDefault="005D6807">
            <w:pPr>
              <w:jc w:val="center"/>
            </w:pPr>
            <w:r>
              <w:rPr>
                <w:rFonts w:eastAsiaTheme="minorEastAsia"/>
                <w:color w:val="000000"/>
                <w:sz w:val="24"/>
              </w:rPr>
              <w:t>4</w:t>
            </w:r>
          </w:p>
        </w:tc>
        <w:tc>
          <w:tcPr>
            <w:tcW w:w="1362" w:type="dxa"/>
            <w:vAlign w:val="center"/>
          </w:tcPr>
          <w:p w:rsidR="00E45082" w:rsidRDefault="005D6807">
            <w:pPr>
              <w:jc w:val="center"/>
            </w:pPr>
            <w:r>
              <w:rPr>
                <w:rFonts w:eastAsiaTheme="minorEastAsia"/>
                <w:color w:val="000000"/>
                <w:sz w:val="24"/>
              </w:rPr>
              <w:t>112197</w:t>
            </w:r>
          </w:p>
        </w:tc>
        <w:tc>
          <w:tcPr>
            <w:tcW w:w="1652" w:type="dxa"/>
            <w:vAlign w:val="center"/>
          </w:tcPr>
          <w:p w:rsidR="00E45082" w:rsidRDefault="005D6807">
            <w:pPr>
              <w:jc w:val="center"/>
            </w:pPr>
            <w:r>
              <w:rPr>
                <w:rFonts w:eastAsiaTheme="minorEastAsia"/>
                <w:color w:val="000000"/>
                <w:sz w:val="24"/>
              </w:rPr>
              <w:t>13</w:t>
            </w:r>
            <w:r>
              <w:rPr>
                <w:rFonts w:eastAsiaTheme="minorEastAsia"/>
                <w:color w:val="000000"/>
                <w:sz w:val="24"/>
              </w:rPr>
              <w:t>山证</w:t>
            </w:r>
            <w:r>
              <w:rPr>
                <w:rFonts w:eastAsiaTheme="minorEastAsia"/>
                <w:color w:val="000000"/>
                <w:sz w:val="24"/>
              </w:rPr>
              <w:t>01</w:t>
            </w:r>
          </w:p>
        </w:tc>
        <w:tc>
          <w:tcPr>
            <w:tcW w:w="1417" w:type="dxa"/>
            <w:vAlign w:val="center"/>
          </w:tcPr>
          <w:p w:rsidR="00E45082" w:rsidRDefault="005D6807">
            <w:pPr>
              <w:jc w:val="right"/>
            </w:pPr>
            <w:r>
              <w:rPr>
                <w:rFonts w:eastAsiaTheme="minorEastAsia"/>
                <w:color w:val="000000"/>
                <w:sz w:val="24"/>
              </w:rPr>
              <w:t>206,870</w:t>
            </w:r>
          </w:p>
        </w:tc>
        <w:tc>
          <w:tcPr>
            <w:tcW w:w="1701" w:type="dxa"/>
            <w:vAlign w:val="center"/>
          </w:tcPr>
          <w:p w:rsidR="00E45082" w:rsidRDefault="005D6807">
            <w:pPr>
              <w:jc w:val="right"/>
            </w:pPr>
            <w:r>
              <w:rPr>
                <w:rFonts w:eastAsiaTheme="minorEastAsia"/>
                <w:color w:val="000000"/>
                <w:sz w:val="24"/>
              </w:rPr>
              <w:t>21,402,770.20</w:t>
            </w:r>
          </w:p>
        </w:tc>
        <w:tc>
          <w:tcPr>
            <w:tcW w:w="1434" w:type="dxa"/>
            <w:vAlign w:val="center"/>
          </w:tcPr>
          <w:p w:rsidR="00E45082" w:rsidRDefault="005D6807">
            <w:pPr>
              <w:jc w:val="right"/>
            </w:pPr>
            <w:r>
              <w:rPr>
                <w:rFonts w:eastAsiaTheme="minorEastAsia"/>
                <w:color w:val="000000"/>
                <w:sz w:val="24"/>
              </w:rPr>
              <w:t>7.59</w:t>
            </w:r>
          </w:p>
        </w:tc>
      </w:tr>
      <w:tr w:rsidR="00E45082">
        <w:trPr>
          <w:jc w:val="center"/>
        </w:trPr>
        <w:tc>
          <w:tcPr>
            <w:tcW w:w="1302" w:type="dxa"/>
            <w:vAlign w:val="center"/>
          </w:tcPr>
          <w:p w:rsidR="00E45082" w:rsidRDefault="005D6807">
            <w:pPr>
              <w:jc w:val="center"/>
            </w:pPr>
            <w:r>
              <w:rPr>
                <w:rFonts w:eastAsiaTheme="minorEastAsia"/>
                <w:color w:val="000000"/>
                <w:sz w:val="24"/>
              </w:rPr>
              <w:t>5</w:t>
            </w:r>
          </w:p>
        </w:tc>
        <w:tc>
          <w:tcPr>
            <w:tcW w:w="1362" w:type="dxa"/>
            <w:vAlign w:val="center"/>
          </w:tcPr>
          <w:p w:rsidR="00E45082" w:rsidRDefault="005D6807">
            <w:pPr>
              <w:jc w:val="center"/>
            </w:pPr>
            <w:r>
              <w:rPr>
                <w:rFonts w:eastAsiaTheme="minorEastAsia"/>
                <w:color w:val="000000"/>
                <w:sz w:val="24"/>
              </w:rPr>
              <w:t>122362</w:t>
            </w:r>
          </w:p>
        </w:tc>
        <w:tc>
          <w:tcPr>
            <w:tcW w:w="1652" w:type="dxa"/>
            <w:vAlign w:val="center"/>
          </w:tcPr>
          <w:p w:rsidR="00E45082" w:rsidRDefault="00A31CF7">
            <w:pPr>
              <w:jc w:val="center"/>
            </w:pPr>
            <w:r w:rsidRPr="00A31CF7">
              <w:rPr>
                <w:rFonts w:eastAsiaTheme="minorEastAsia" w:hint="eastAsia"/>
                <w:color w:val="000000"/>
                <w:sz w:val="24"/>
              </w:rPr>
              <w:t>14</w:t>
            </w:r>
            <w:r w:rsidRPr="00A31CF7">
              <w:rPr>
                <w:rFonts w:eastAsiaTheme="minorEastAsia" w:hint="eastAsia"/>
                <w:color w:val="000000"/>
                <w:sz w:val="24"/>
              </w:rPr>
              <w:t>上实</w:t>
            </w:r>
            <w:r w:rsidRPr="00A31CF7">
              <w:rPr>
                <w:rFonts w:eastAsiaTheme="minorEastAsia" w:hint="eastAsia"/>
                <w:color w:val="000000"/>
                <w:sz w:val="24"/>
              </w:rPr>
              <w:t>01</w:t>
            </w:r>
          </w:p>
        </w:tc>
        <w:tc>
          <w:tcPr>
            <w:tcW w:w="1417" w:type="dxa"/>
            <w:vAlign w:val="center"/>
          </w:tcPr>
          <w:p w:rsidR="00E45082" w:rsidRDefault="005D6807">
            <w:pPr>
              <w:jc w:val="right"/>
            </w:pPr>
            <w:r>
              <w:rPr>
                <w:rFonts w:eastAsiaTheme="minorEastAsia"/>
                <w:color w:val="000000"/>
                <w:sz w:val="24"/>
              </w:rPr>
              <w:t>200,000</w:t>
            </w:r>
          </w:p>
        </w:tc>
        <w:tc>
          <w:tcPr>
            <w:tcW w:w="1701" w:type="dxa"/>
            <w:vAlign w:val="center"/>
          </w:tcPr>
          <w:p w:rsidR="00E45082" w:rsidRDefault="005D6807">
            <w:pPr>
              <w:jc w:val="right"/>
            </w:pPr>
            <w:r>
              <w:rPr>
                <w:rFonts w:eastAsiaTheme="minorEastAsia"/>
                <w:color w:val="000000"/>
                <w:sz w:val="24"/>
              </w:rPr>
              <w:t>21,262,000.00</w:t>
            </w:r>
          </w:p>
        </w:tc>
        <w:tc>
          <w:tcPr>
            <w:tcW w:w="1434" w:type="dxa"/>
            <w:vAlign w:val="center"/>
          </w:tcPr>
          <w:p w:rsidR="00E45082" w:rsidRDefault="005D6807">
            <w:pPr>
              <w:jc w:val="right"/>
            </w:pPr>
            <w:r>
              <w:rPr>
                <w:rFonts w:eastAsiaTheme="minorEastAsia"/>
                <w:color w:val="000000"/>
                <w:sz w:val="24"/>
              </w:rPr>
              <w:t>7.54</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405493" w:rsidTr="007066A0">
        <w:trPr>
          <w:jc w:val="center"/>
        </w:trPr>
        <w:tc>
          <w:tcPr>
            <w:tcW w:w="123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28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证券代码</w:t>
            </w:r>
          </w:p>
        </w:tc>
        <w:tc>
          <w:tcPr>
            <w:tcW w:w="1263"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证券名称</w:t>
            </w:r>
          </w:p>
        </w:tc>
        <w:tc>
          <w:tcPr>
            <w:tcW w:w="151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3C2E0F" w:rsidRPr="00405493">
              <w:rPr>
                <w:color w:val="000000"/>
                <w:sz w:val="24"/>
              </w:rPr>
              <w:t>（份）</w:t>
            </w:r>
          </w:p>
        </w:tc>
        <w:tc>
          <w:tcPr>
            <w:tcW w:w="160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63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D43E3E" w:rsidRPr="00405493">
              <w:rPr>
                <w:color w:val="000000"/>
                <w:sz w:val="24"/>
              </w:rPr>
              <w:t>（％）</w:t>
            </w:r>
          </w:p>
        </w:tc>
      </w:tr>
      <w:tr w:rsidR="00E45082">
        <w:trPr>
          <w:jc w:val="center"/>
        </w:trPr>
        <w:tc>
          <w:tcPr>
            <w:tcW w:w="1286" w:type="dxa"/>
            <w:vAlign w:val="center"/>
          </w:tcPr>
          <w:p w:rsidR="00E45082" w:rsidRDefault="005D6807">
            <w:pPr>
              <w:jc w:val="center"/>
            </w:pPr>
            <w:r>
              <w:rPr>
                <w:rFonts w:eastAsiaTheme="minorEastAsia"/>
                <w:color w:val="000000"/>
                <w:sz w:val="24"/>
              </w:rPr>
              <w:t>1</w:t>
            </w:r>
          </w:p>
        </w:tc>
        <w:tc>
          <w:tcPr>
            <w:tcW w:w="1332" w:type="dxa"/>
            <w:vAlign w:val="center"/>
          </w:tcPr>
          <w:p w:rsidR="00E45082" w:rsidRDefault="005D6807">
            <w:pPr>
              <w:jc w:val="center"/>
            </w:pPr>
            <w:r>
              <w:rPr>
                <w:rFonts w:eastAsiaTheme="minorEastAsia"/>
                <w:color w:val="000000"/>
                <w:sz w:val="24"/>
              </w:rPr>
              <w:t>119122</w:t>
            </w:r>
          </w:p>
        </w:tc>
        <w:tc>
          <w:tcPr>
            <w:tcW w:w="1313" w:type="dxa"/>
            <w:vAlign w:val="center"/>
          </w:tcPr>
          <w:p w:rsidR="00E45082" w:rsidRDefault="005D6807">
            <w:pPr>
              <w:jc w:val="center"/>
            </w:pPr>
            <w:r>
              <w:rPr>
                <w:rFonts w:eastAsiaTheme="minorEastAsia"/>
                <w:color w:val="000000"/>
                <w:sz w:val="24"/>
              </w:rPr>
              <w:t>15</w:t>
            </w:r>
            <w:r>
              <w:rPr>
                <w:rFonts w:eastAsiaTheme="minorEastAsia"/>
                <w:color w:val="000000"/>
                <w:sz w:val="24"/>
              </w:rPr>
              <w:t>金通</w:t>
            </w:r>
            <w:r>
              <w:rPr>
                <w:rFonts w:eastAsiaTheme="minorEastAsia"/>
                <w:color w:val="000000"/>
                <w:sz w:val="24"/>
              </w:rPr>
              <w:t>A2</w:t>
            </w:r>
          </w:p>
        </w:tc>
        <w:tc>
          <w:tcPr>
            <w:tcW w:w="1571" w:type="dxa"/>
            <w:vAlign w:val="center"/>
          </w:tcPr>
          <w:p w:rsidR="00E45082" w:rsidRDefault="005D6807">
            <w:pPr>
              <w:jc w:val="right"/>
            </w:pPr>
            <w:r>
              <w:rPr>
                <w:rFonts w:eastAsiaTheme="minorEastAsia"/>
                <w:color w:val="000000"/>
                <w:sz w:val="24"/>
              </w:rPr>
              <w:t>200,000</w:t>
            </w:r>
          </w:p>
        </w:tc>
        <w:tc>
          <w:tcPr>
            <w:tcW w:w="1670" w:type="dxa"/>
            <w:vAlign w:val="center"/>
          </w:tcPr>
          <w:p w:rsidR="00E45082" w:rsidRDefault="005D6807">
            <w:pPr>
              <w:jc w:val="right"/>
            </w:pPr>
            <w:r>
              <w:rPr>
                <w:rFonts w:eastAsiaTheme="minorEastAsia"/>
                <w:color w:val="000000"/>
                <w:sz w:val="24"/>
              </w:rPr>
              <w:t>20,025,600.00</w:t>
            </w:r>
          </w:p>
        </w:tc>
        <w:tc>
          <w:tcPr>
            <w:tcW w:w="1696" w:type="dxa"/>
            <w:vAlign w:val="center"/>
          </w:tcPr>
          <w:p w:rsidR="00E45082" w:rsidRDefault="005D6807">
            <w:pPr>
              <w:jc w:val="right"/>
            </w:pPr>
            <w:r>
              <w:rPr>
                <w:rFonts w:eastAsiaTheme="minorEastAsia"/>
                <w:color w:val="000000"/>
                <w:sz w:val="24"/>
              </w:rPr>
              <w:t>7.10</w:t>
            </w:r>
          </w:p>
        </w:tc>
      </w:tr>
      <w:tr w:rsidR="00E45082">
        <w:trPr>
          <w:jc w:val="center"/>
        </w:trPr>
        <w:tc>
          <w:tcPr>
            <w:tcW w:w="1286" w:type="dxa"/>
            <w:vAlign w:val="center"/>
          </w:tcPr>
          <w:p w:rsidR="00E45082" w:rsidRDefault="005D6807">
            <w:pPr>
              <w:jc w:val="center"/>
            </w:pPr>
            <w:r>
              <w:rPr>
                <w:rFonts w:eastAsiaTheme="minorEastAsia"/>
                <w:color w:val="000000"/>
                <w:sz w:val="24"/>
              </w:rPr>
              <w:t>2</w:t>
            </w:r>
          </w:p>
        </w:tc>
        <w:tc>
          <w:tcPr>
            <w:tcW w:w="1332" w:type="dxa"/>
            <w:vAlign w:val="center"/>
          </w:tcPr>
          <w:p w:rsidR="00E45082" w:rsidRDefault="005D6807">
            <w:pPr>
              <w:jc w:val="center"/>
            </w:pPr>
            <w:r>
              <w:rPr>
                <w:rFonts w:eastAsiaTheme="minorEastAsia"/>
                <w:color w:val="000000"/>
                <w:sz w:val="24"/>
              </w:rPr>
              <w:t>119146</w:t>
            </w:r>
          </w:p>
        </w:tc>
        <w:tc>
          <w:tcPr>
            <w:tcW w:w="1313" w:type="dxa"/>
            <w:vAlign w:val="center"/>
          </w:tcPr>
          <w:p w:rsidR="00E45082" w:rsidRDefault="005D6807">
            <w:pPr>
              <w:jc w:val="center"/>
            </w:pPr>
            <w:r>
              <w:rPr>
                <w:rFonts w:eastAsiaTheme="minorEastAsia"/>
                <w:color w:val="000000"/>
                <w:sz w:val="24"/>
              </w:rPr>
              <w:t>15</w:t>
            </w:r>
            <w:r>
              <w:rPr>
                <w:rFonts w:eastAsiaTheme="minorEastAsia"/>
                <w:color w:val="000000"/>
                <w:sz w:val="24"/>
              </w:rPr>
              <w:t>蚂蚁</w:t>
            </w:r>
            <w:r>
              <w:rPr>
                <w:rFonts w:eastAsiaTheme="minorEastAsia"/>
                <w:color w:val="000000"/>
                <w:sz w:val="24"/>
              </w:rPr>
              <w:t>1A</w:t>
            </w:r>
          </w:p>
        </w:tc>
        <w:tc>
          <w:tcPr>
            <w:tcW w:w="1571" w:type="dxa"/>
            <w:vAlign w:val="center"/>
          </w:tcPr>
          <w:p w:rsidR="00E45082" w:rsidRDefault="005D6807">
            <w:pPr>
              <w:jc w:val="right"/>
            </w:pPr>
            <w:r>
              <w:rPr>
                <w:rFonts w:eastAsiaTheme="minorEastAsia"/>
                <w:color w:val="000000"/>
                <w:sz w:val="24"/>
              </w:rPr>
              <w:t>200,000</w:t>
            </w:r>
          </w:p>
        </w:tc>
        <w:tc>
          <w:tcPr>
            <w:tcW w:w="1670" w:type="dxa"/>
            <w:vAlign w:val="center"/>
          </w:tcPr>
          <w:p w:rsidR="00E45082" w:rsidRDefault="005D6807">
            <w:pPr>
              <w:jc w:val="right"/>
            </w:pPr>
            <w:r>
              <w:rPr>
                <w:rFonts w:eastAsiaTheme="minorEastAsia"/>
                <w:color w:val="000000"/>
                <w:sz w:val="24"/>
              </w:rPr>
              <w:t>20,000,000.00</w:t>
            </w:r>
          </w:p>
        </w:tc>
        <w:tc>
          <w:tcPr>
            <w:tcW w:w="1696" w:type="dxa"/>
            <w:vAlign w:val="center"/>
          </w:tcPr>
          <w:p w:rsidR="00E45082" w:rsidRDefault="005D6807">
            <w:pPr>
              <w:jc w:val="right"/>
            </w:pPr>
            <w:r>
              <w:rPr>
                <w:rFonts w:eastAsiaTheme="minorEastAsia"/>
                <w:color w:val="000000"/>
                <w:sz w:val="24"/>
              </w:rPr>
              <w:t>7.09</w:t>
            </w:r>
          </w:p>
        </w:tc>
      </w:tr>
      <w:tr w:rsidR="00E45082">
        <w:trPr>
          <w:jc w:val="center"/>
        </w:trPr>
        <w:tc>
          <w:tcPr>
            <w:tcW w:w="1286" w:type="dxa"/>
            <w:vAlign w:val="center"/>
          </w:tcPr>
          <w:p w:rsidR="00E45082" w:rsidRDefault="005D6807">
            <w:pPr>
              <w:jc w:val="center"/>
            </w:pPr>
            <w:r>
              <w:rPr>
                <w:rFonts w:eastAsiaTheme="minorEastAsia"/>
                <w:color w:val="000000"/>
                <w:sz w:val="24"/>
              </w:rPr>
              <w:t>3</w:t>
            </w:r>
          </w:p>
        </w:tc>
        <w:tc>
          <w:tcPr>
            <w:tcW w:w="1332" w:type="dxa"/>
            <w:vAlign w:val="center"/>
          </w:tcPr>
          <w:p w:rsidR="00E45082" w:rsidRDefault="005D6807">
            <w:pPr>
              <w:jc w:val="center"/>
            </w:pPr>
            <w:r>
              <w:rPr>
                <w:rFonts w:eastAsiaTheme="minorEastAsia"/>
                <w:color w:val="000000"/>
                <w:sz w:val="24"/>
              </w:rPr>
              <w:t>119163</w:t>
            </w:r>
          </w:p>
        </w:tc>
        <w:tc>
          <w:tcPr>
            <w:tcW w:w="1313" w:type="dxa"/>
            <w:vAlign w:val="center"/>
          </w:tcPr>
          <w:p w:rsidR="00E45082" w:rsidRDefault="005D6807">
            <w:pPr>
              <w:jc w:val="center"/>
            </w:pPr>
            <w:r>
              <w:rPr>
                <w:rFonts w:eastAsiaTheme="minorEastAsia"/>
                <w:color w:val="000000"/>
                <w:sz w:val="24"/>
              </w:rPr>
              <w:t>15</w:t>
            </w:r>
            <w:r>
              <w:rPr>
                <w:rFonts w:eastAsiaTheme="minorEastAsia"/>
                <w:color w:val="000000"/>
                <w:sz w:val="24"/>
              </w:rPr>
              <w:t>中和</w:t>
            </w:r>
            <w:r>
              <w:rPr>
                <w:rFonts w:eastAsiaTheme="minorEastAsia"/>
                <w:color w:val="000000"/>
                <w:sz w:val="24"/>
              </w:rPr>
              <w:t>1A</w:t>
            </w:r>
          </w:p>
        </w:tc>
        <w:tc>
          <w:tcPr>
            <w:tcW w:w="1571" w:type="dxa"/>
            <w:vAlign w:val="center"/>
          </w:tcPr>
          <w:p w:rsidR="00E45082" w:rsidRDefault="005D6807">
            <w:pPr>
              <w:jc w:val="right"/>
            </w:pPr>
            <w:r>
              <w:rPr>
                <w:rFonts w:eastAsiaTheme="minorEastAsia"/>
                <w:color w:val="000000"/>
                <w:sz w:val="24"/>
              </w:rPr>
              <w:t>100,000</w:t>
            </w:r>
          </w:p>
        </w:tc>
        <w:tc>
          <w:tcPr>
            <w:tcW w:w="1670" w:type="dxa"/>
            <w:vAlign w:val="center"/>
          </w:tcPr>
          <w:p w:rsidR="00E45082" w:rsidRDefault="005D6807">
            <w:pPr>
              <w:jc w:val="right"/>
            </w:pPr>
            <w:r>
              <w:rPr>
                <w:rFonts w:eastAsiaTheme="minorEastAsia"/>
                <w:color w:val="000000"/>
                <w:sz w:val="24"/>
              </w:rPr>
              <w:t>10,000,000.00</w:t>
            </w:r>
          </w:p>
        </w:tc>
        <w:tc>
          <w:tcPr>
            <w:tcW w:w="1696" w:type="dxa"/>
            <w:vAlign w:val="center"/>
          </w:tcPr>
          <w:p w:rsidR="00E45082" w:rsidRDefault="005D6807">
            <w:pPr>
              <w:jc w:val="right"/>
            </w:pPr>
            <w:r>
              <w:rPr>
                <w:rFonts w:eastAsiaTheme="minorEastAsia"/>
                <w:color w:val="000000"/>
                <w:sz w:val="24"/>
              </w:rPr>
              <w:t>3.54</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349,473.14</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13,222,106.01</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10,658.58</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13,582,237.73</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本基金本报告期末前十名股票中不存在流通受限情况。</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5D6807">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5D6807" w:rsidRPr="00405493" w:rsidRDefault="005D6807"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5D6807">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E45082" w:rsidRDefault="005D680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E45082" w:rsidRDefault="005D680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E45082" w:rsidRDefault="005D680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E45082" w:rsidRDefault="005D680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E45082" w:rsidRDefault="005D680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E45082" w:rsidRDefault="005D680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E45082" w:rsidRDefault="005D680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、报告期内交银施罗德丰享收益债券型证券投资基金在指定报刊上各项公告的原稿。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E45082" w:rsidRDefault="005D6807">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3DC" w:rsidRDefault="003513DC">
      <w:r>
        <w:separator/>
      </w:r>
    </w:p>
  </w:endnote>
  <w:endnote w:type="continuationSeparator" w:id="0">
    <w:p w:rsidR="003513DC" w:rsidRDefault="0035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E45082">
      <w:rPr>
        <w:kern w:val="0"/>
        <w:szCs w:val="21"/>
      </w:rPr>
      <w:fldChar w:fldCharType="begin"/>
    </w:r>
    <w:r>
      <w:rPr>
        <w:kern w:val="0"/>
        <w:szCs w:val="21"/>
      </w:rPr>
      <w:instrText xml:space="preserve"> PAGE </w:instrText>
    </w:r>
    <w:r w:rsidR="00E45082">
      <w:rPr>
        <w:kern w:val="0"/>
        <w:szCs w:val="21"/>
      </w:rPr>
      <w:fldChar w:fldCharType="separate"/>
    </w:r>
    <w:r w:rsidR="0039614F">
      <w:rPr>
        <w:noProof/>
        <w:kern w:val="0"/>
        <w:szCs w:val="21"/>
      </w:rPr>
      <w:t>1</w:t>
    </w:r>
    <w:r w:rsidR="00E45082">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E45082">
      <w:rPr>
        <w:kern w:val="0"/>
        <w:szCs w:val="21"/>
      </w:rPr>
      <w:fldChar w:fldCharType="begin"/>
    </w:r>
    <w:r>
      <w:rPr>
        <w:kern w:val="0"/>
        <w:szCs w:val="21"/>
      </w:rPr>
      <w:instrText xml:space="preserve"> NUMPAGES </w:instrText>
    </w:r>
    <w:r w:rsidR="00E45082">
      <w:rPr>
        <w:kern w:val="0"/>
        <w:szCs w:val="21"/>
      </w:rPr>
      <w:fldChar w:fldCharType="separate"/>
    </w:r>
    <w:r w:rsidR="0039614F">
      <w:rPr>
        <w:noProof/>
        <w:kern w:val="0"/>
        <w:szCs w:val="21"/>
      </w:rPr>
      <w:t>11</w:t>
    </w:r>
    <w:r w:rsidR="00E45082">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E45082">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3DC" w:rsidRDefault="003513DC">
      <w:r>
        <w:separator/>
      </w:r>
    </w:p>
  </w:footnote>
  <w:footnote w:type="continuationSeparator" w:id="0">
    <w:p w:rsidR="003513DC" w:rsidRDefault="00351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3D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614F"/>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452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6807"/>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C53"/>
    <w:rsid w:val="00905907"/>
    <w:rsid w:val="00907821"/>
    <w:rsid w:val="009136D8"/>
    <w:rsid w:val="00914EAB"/>
    <w:rsid w:val="009161D5"/>
    <w:rsid w:val="00916329"/>
    <w:rsid w:val="009179C1"/>
    <w:rsid w:val="009215BE"/>
    <w:rsid w:val="00922D49"/>
    <w:rsid w:val="00923EA4"/>
    <w:rsid w:val="00925E37"/>
    <w:rsid w:val="00925EDD"/>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1CF7"/>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869D2"/>
    <w:rsid w:val="00B90780"/>
    <w:rsid w:val="00B9240D"/>
    <w:rsid w:val="00B9406B"/>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45082"/>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208B1EEF-E01C-4869-B03E-0EB2D19E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11</Pages>
  <Words>880</Words>
  <Characters>5022</Characters>
  <Application>Microsoft Office Word</Application>
  <DocSecurity>0</DocSecurity>
  <Lines>41</Lines>
  <Paragraphs>11</Paragraphs>
  <ScaleCrop>false</ScaleCrop>
  <Company>TRT. Ltd. Co.</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394</cp:revision>
  <cp:lastPrinted>2007-07-19T00:46:00Z</cp:lastPrinted>
  <dcterms:created xsi:type="dcterms:W3CDTF">2014-01-20T05:40:00Z</dcterms:created>
  <dcterms:modified xsi:type="dcterms:W3CDTF">2015-10-22T06:53:00Z</dcterms:modified>
</cp:coreProperties>
</file>