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交银施罗德策略回报灵活配置混合型证券投资基金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二〇一五年十月二十七日</w:t>
      </w:r>
    </w:p>
    <w:p w:rsidR="004061AC" w:rsidRPr="00414345" w:rsidRDefault="004061AC" w:rsidP="0084139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D726A" w:rsidRDefault="00342D2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D726A" w:rsidRDefault="00342D2F">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26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D726A" w:rsidRDefault="00342D2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D726A" w:rsidRDefault="00342D2F">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3D726A" w:rsidRDefault="00342D2F">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84139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交银策略回报灵活配置混合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519710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200,059,416.77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本基金根据对宏观经济周期和市场环境的分析研究，自上而下配置资产，并通过对类属资产灵活运用多种投资策略，力争实现基金资产的长期稳定增值。</w:t>
            </w:r>
          </w:p>
        </w:tc>
      </w:tr>
      <w:tr w:rsidR="0014215E" w:rsidRPr="00414345" w:rsidTr="006E6726">
        <w:trPr>
          <w:jc w:val="center"/>
        </w:trPr>
        <w:tc>
          <w:tcPr>
            <w:tcW w:w="3023" w:type="dxa"/>
            <w:vAlign w:val="center"/>
          </w:tcPr>
          <w:p w:rsidR="0014215E" w:rsidRPr="00414345" w:rsidRDefault="0014215E" w:rsidP="0014215E">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4215E" w:rsidRPr="00414345" w:rsidRDefault="0014215E" w:rsidP="00527154">
            <w:pPr>
              <w:snapToGrid w:val="0"/>
              <w:spacing w:line="360" w:lineRule="auto"/>
              <w:rPr>
                <w:color w:val="000000"/>
                <w:sz w:val="24"/>
                <w:szCs w:val="24"/>
              </w:rPr>
            </w:pPr>
            <w:r w:rsidRPr="00645511">
              <w:rPr>
                <w:rFonts w:ascii="宋体" w:hAnsi="宋体" w:hint="eastAsia"/>
                <w:sz w:val="24"/>
                <w:szCs w:val="24"/>
              </w:rPr>
              <w:t>本基金将通过“自上而下”的定性分析和定量分析相结合以实现大类资产的灵活配置。</w:t>
            </w:r>
            <w:r>
              <w:rPr>
                <w:rFonts w:ascii="宋体" w:hAnsi="宋体" w:hint="eastAsia"/>
                <w:sz w:val="24"/>
                <w:szCs w:val="24"/>
              </w:rPr>
              <w:t>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4215E" w:rsidRPr="00414345" w:rsidTr="006E6726">
        <w:trPr>
          <w:jc w:val="center"/>
        </w:trPr>
        <w:tc>
          <w:tcPr>
            <w:tcW w:w="3023" w:type="dxa"/>
            <w:vAlign w:val="center"/>
          </w:tcPr>
          <w:p w:rsidR="0014215E" w:rsidRPr="00414345" w:rsidRDefault="0014215E" w:rsidP="0014215E">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4215E" w:rsidRPr="00414345" w:rsidRDefault="0014215E" w:rsidP="0014215E">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中信标普全债指数收益率</w:t>
            </w:r>
          </w:p>
        </w:tc>
      </w:tr>
      <w:tr w:rsidR="0014215E" w:rsidRPr="00414345" w:rsidTr="006E6726">
        <w:trPr>
          <w:jc w:val="center"/>
        </w:trPr>
        <w:tc>
          <w:tcPr>
            <w:tcW w:w="3023" w:type="dxa"/>
            <w:vAlign w:val="center"/>
          </w:tcPr>
          <w:p w:rsidR="0014215E" w:rsidRPr="00414345" w:rsidRDefault="0014215E" w:rsidP="0014215E">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4215E" w:rsidRPr="00414345" w:rsidRDefault="0014215E" w:rsidP="0014215E">
            <w:pPr>
              <w:adjustRightInd w:val="0"/>
              <w:spacing w:before="29" w:line="288" w:lineRule="auto"/>
              <w:ind w:left="17"/>
              <w:jc w:val="left"/>
              <w:rPr>
                <w:color w:val="000000"/>
                <w:sz w:val="24"/>
                <w:szCs w:val="24"/>
              </w:rPr>
            </w:pPr>
            <w:r w:rsidRPr="00414345">
              <w:rPr>
                <w:color w:val="000000"/>
                <w:kern w:val="0"/>
                <w:sz w:val="24"/>
                <w:szCs w:val="24"/>
              </w:rPr>
              <w:t>本基金为混合型证券投资基金，其预期收益和风险高于货币市场基金、债券型基金，而低于股票型基金，属于证券投资基金中的中高风险品种。</w:t>
            </w:r>
          </w:p>
        </w:tc>
      </w:tr>
      <w:tr w:rsidR="0014215E" w:rsidRPr="00414345" w:rsidTr="006E6726">
        <w:trPr>
          <w:jc w:val="center"/>
        </w:trPr>
        <w:tc>
          <w:tcPr>
            <w:tcW w:w="3023" w:type="dxa"/>
            <w:vAlign w:val="center"/>
          </w:tcPr>
          <w:p w:rsidR="0014215E" w:rsidRPr="00414345" w:rsidRDefault="0014215E" w:rsidP="0014215E">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4215E" w:rsidRPr="00414345" w:rsidRDefault="0014215E" w:rsidP="0014215E">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4215E" w:rsidRPr="00414345" w:rsidTr="006E6726">
        <w:trPr>
          <w:jc w:val="center"/>
        </w:trPr>
        <w:tc>
          <w:tcPr>
            <w:tcW w:w="3023" w:type="dxa"/>
            <w:vAlign w:val="center"/>
          </w:tcPr>
          <w:p w:rsidR="0014215E" w:rsidRPr="00414345" w:rsidRDefault="0014215E" w:rsidP="0014215E">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4215E" w:rsidRPr="00414345" w:rsidRDefault="0014215E" w:rsidP="0014215E">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注：本基金于</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27</w:t>
      </w:r>
      <w:r w:rsidRPr="00414345">
        <w:rPr>
          <w:color w:val="000000"/>
          <w:sz w:val="24"/>
          <w:szCs w:val="24"/>
        </w:rPr>
        <w:t>日由交银施罗德荣安保本混合型证券投资基金转型为交银施罗德策略回报灵活配置混合型证券投资基金，新基金合同及托管协议即日起生效。</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84139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4139E" w:rsidRPr="00414345" w:rsidTr="005D6D9C">
        <w:trPr>
          <w:jc w:val="center"/>
        </w:trPr>
        <w:tc>
          <w:tcPr>
            <w:tcW w:w="3607"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5261"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84139E" w:rsidRPr="00414345" w:rsidTr="005D6D9C">
        <w:trPr>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-84,444,977.93</w:t>
            </w:r>
          </w:p>
        </w:tc>
      </w:tr>
      <w:tr w:rsidR="0084139E" w:rsidRPr="00414345" w:rsidTr="005D6D9C">
        <w:trPr>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-85,608,434.78</w:t>
            </w:r>
          </w:p>
        </w:tc>
      </w:tr>
      <w:tr w:rsidR="0084139E" w:rsidRPr="00414345" w:rsidTr="005D6D9C">
        <w:trPr>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-0.3895</w:t>
            </w:r>
          </w:p>
        </w:tc>
      </w:tr>
      <w:tr w:rsidR="0084139E" w:rsidRPr="00414345" w:rsidTr="005D6D9C">
        <w:trPr>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174,002,763.34</w:t>
            </w:r>
          </w:p>
        </w:tc>
      </w:tr>
      <w:tr w:rsidR="0084139E" w:rsidRPr="00414345" w:rsidTr="005D6D9C">
        <w:trPr>
          <w:trHeight w:val="158"/>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0.870</w:t>
            </w:r>
          </w:p>
        </w:tc>
      </w:tr>
    </w:tbl>
    <w:p w:rsidR="005D6D9C" w:rsidRPr="00527154" w:rsidRDefault="005D6D9C" w:rsidP="00527154">
      <w:pPr>
        <w:autoSpaceDE w:val="0"/>
        <w:autoSpaceDN w:val="0"/>
        <w:adjustRightInd w:val="0"/>
        <w:spacing w:before="29" w:line="288" w:lineRule="auto"/>
        <w:jc w:val="left"/>
        <w:rPr>
          <w:color w:val="000000"/>
          <w:sz w:val="24"/>
          <w:szCs w:val="24"/>
        </w:rPr>
      </w:pPr>
      <w:r w:rsidRPr="00527154">
        <w:rPr>
          <w:rFonts w:hint="eastAsia"/>
          <w:color w:val="000000"/>
          <w:sz w:val="24"/>
          <w:szCs w:val="24"/>
        </w:rPr>
        <w:t>注：</w:t>
      </w:r>
      <w:r w:rsidRPr="00527154">
        <w:rPr>
          <w:color w:val="000000"/>
          <w:sz w:val="24"/>
          <w:szCs w:val="24"/>
        </w:rPr>
        <w:t>1</w:t>
      </w:r>
      <w:r w:rsidRPr="00527154">
        <w:rPr>
          <w:rFonts w:hint="eastAsia"/>
          <w:color w:val="000000"/>
          <w:sz w:val="24"/>
          <w:szCs w:val="24"/>
        </w:rPr>
        <w:t>、上述基金业绩指标不包括持有人认购或交易基金的各项费用，计入费用后的实际收益水平要低于所列数字；</w:t>
      </w:r>
      <w:r w:rsidRPr="00527154">
        <w:rPr>
          <w:color w:val="000000"/>
          <w:sz w:val="24"/>
          <w:szCs w:val="24"/>
        </w:rPr>
        <w:t xml:space="preserve"> </w:t>
      </w:r>
    </w:p>
    <w:p w:rsidR="005D6D9C" w:rsidRPr="00527154" w:rsidRDefault="005D6D9C" w:rsidP="00527154">
      <w:pPr>
        <w:autoSpaceDE w:val="0"/>
        <w:autoSpaceDN w:val="0"/>
        <w:adjustRightInd w:val="0"/>
        <w:spacing w:before="29" w:line="288" w:lineRule="auto"/>
        <w:jc w:val="left"/>
        <w:rPr>
          <w:color w:val="000000"/>
          <w:sz w:val="24"/>
          <w:szCs w:val="24"/>
        </w:rPr>
      </w:pPr>
      <w:r w:rsidRPr="00527154">
        <w:rPr>
          <w:rFonts w:hint="eastAsia"/>
          <w:color w:val="000000"/>
          <w:sz w:val="24"/>
          <w:szCs w:val="24"/>
        </w:rPr>
        <w:t>    </w:t>
      </w:r>
      <w:r>
        <w:rPr>
          <w:color w:val="000000"/>
          <w:sz w:val="24"/>
          <w:szCs w:val="24"/>
        </w:rPr>
        <w:t xml:space="preserve">  </w:t>
      </w:r>
      <w:r w:rsidRPr="00527154">
        <w:rPr>
          <w:color w:val="000000"/>
          <w:sz w:val="24"/>
          <w:szCs w:val="24"/>
        </w:rPr>
        <w:t>2</w:t>
      </w:r>
      <w:r w:rsidRPr="00527154">
        <w:rPr>
          <w:rFonts w:hint="eastAsia"/>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5D6D9C"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D726A">
        <w:trPr>
          <w:jc w:val="center"/>
        </w:trPr>
        <w:tc>
          <w:tcPr>
            <w:tcW w:w="1701" w:type="dxa"/>
            <w:vAlign w:val="center"/>
          </w:tcPr>
          <w:p w:rsidR="003D726A" w:rsidRDefault="00342D2F">
            <w:pPr>
              <w:jc w:val="left"/>
            </w:pPr>
            <w:r>
              <w:rPr>
                <w:color w:val="000000"/>
                <w:sz w:val="24"/>
                <w:szCs w:val="24"/>
              </w:rPr>
              <w:t>过去三个月</w:t>
            </w:r>
          </w:p>
        </w:tc>
        <w:tc>
          <w:tcPr>
            <w:tcW w:w="1045" w:type="dxa"/>
            <w:vAlign w:val="center"/>
          </w:tcPr>
          <w:p w:rsidR="003D726A" w:rsidRDefault="00342D2F">
            <w:pPr>
              <w:jc w:val="center"/>
            </w:pPr>
            <w:r>
              <w:rPr>
                <w:color w:val="000000"/>
                <w:sz w:val="24"/>
                <w:szCs w:val="24"/>
              </w:rPr>
              <w:t>-28.51%</w:t>
            </w:r>
          </w:p>
        </w:tc>
        <w:tc>
          <w:tcPr>
            <w:tcW w:w="1344" w:type="dxa"/>
            <w:vAlign w:val="center"/>
          </w:tcPr>
          <w:p w:rsidR="003D726A" w:rsidRDefault="00342D2F">
            <w:pPr>
              <w:jc w:val="center"/>
            </w:pPr>
            <w:r>
              <w:rPr>
                <w:color w:val="000000"/>
                <w:sz w:val="24"/>
                <w:szCs w:val="24"/>
              </w:rPr>
              <w:t>3.19%</w:t>
            </w:r>
          </w:p>
        </w:tc>
        <w:tc>
          <w:tcPr>
            <w:tcW w:w="1194" w:type="dxa"/>
            <w:vAlign w:val="center"/>
          </w:tcPr>
          <w:p w:rsidR="003D726A" w:rsidRPr="00FF2762" w:rsidRDefault="00FF2762">
            <w:pPr>
              <w:jc w:val="center"/>
            </w:pPr>
            <w:r w:rsidRPr="00FF2762">
              <w:rPr>
                <w:color w:val="000000"/>
                <w:sz w:val="24"/>
                <w:szCs w:val="24"/>
              </w:rPr>
              <w:t>-16.84%</w:t>
            </w:r>
          </w:p>
        </w:tc>
        <w:tc>
          <w:tcPr>
            <w:tcW w:w="1492" w:type="dxa"/>
            <w:vAlign w:val="center"/>
          </w:tcPr>
          <w:p w:rsidR="003D726A" w:rsidRPr="00FF2762" w:rsidRDefault="00342D2F">
            <w:pPr>
              <w:jc w:val="center"/>
            </w:pPr>
            <w:r w:rsidRPr="00FF2762">
              <w:rPr>
                <w:color w:val="000000"/>
                <w:sz w:val="24"/>
                <w:szCs w:val="24"/>
              </w:rPr>
              <w:t>2.01%</w:t>
            </w:r>
          </w:p>
        </w:tc>
        <w:tc>
          <w:tcPr>
            <w:tcW w:w="1194" w:type="dxa"/>
            <w:vAlign w:val="center"/>
          </w:tcPr>
          <w:p w:rsidR="003D726A" w:rsidRPr="00FF2762" w:rsidRDefault="00FF2762">
            <w:pPr>
              <w:jc w:val="center"/>
            </w:pPr>
            <w:r w:rsidRPr="00FF2762">
              <w:rPr>
                <w:color w:val="000000"/>
                <w:sz w:val="24"/>
                <w:szCs w:val="24"/>
              </w:rPr>
              <w:t>-11.67%</w:t>
            </w:r>
          </w:p>
        </w:tc>
        <w:tc>
          <w:tcPr>
            <w:tcW w:w="898" w:type="dxa"/>
            <w:vAlign w:val="center"/>
          </w:tcPr>
          <w:p w:rsidR="003D726A" w:rsidRDefault="00342D2F">
            <w:pPr>
              <w:jc w:val="center"/>
            </w:pPr>
            <w:r>
              <w:rPr>
                <w:color w:val="000000"/>
                <w:sz w:val="24"/>
                <w:szCs w:val="24"/>
              </w:rPr>
              <w:t>1.18%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交银施罗德策略回报灵活配置混合型证券投资基金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注：本基金由交银施罗德荣安保本混合型证券投资基金转型而来。基金转型日为</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27</w:t>
      </w:r>
      <w:r w:rsidRPr="00414345">
        <w:rPr>
          <w:color w:val="000000"/>
          <w:sz w:val="24"/>
          <w:szCs w:val="24"/>
        </w:rPr>
        <w:t>日，基金转型日至报告期期末，本基金转型时间未满一年。本基金的投资转型期为交银施罗德荣安保本混合型证券投资基金保本周期到期选择期截止日次日（即</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27</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84139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D726A">
        <w:trPr>
          <w:jc w:val="center"/>
        </w:trPr>
        <w:tc>
          <w:tcPr>
            <w:tcW w:w="846" w:type="dxa"/>
            <w:vAlign w:val="center"/>
          </w:tcPr>
          <w:p w:rsidR="003D726A" w:rsidRDefault="00342D2F">
            <w:pPr>
              <w:jc w:val="center"/>
            </w:pPr>
            <w:r>
              <w:rPr>
                <w:color w:val="000000"/>
                <w:sz w:val="24"/>
                <w:szCs w:val="24"/>
              </w:rPr>
              <w:t>项廷锋</w:t>
            </w:r>
          </w:p>
        </w:tc>
        <w:tc>
          <w:tcPr>
            <w:tcW w:w="845" w:type="dxa"/>
            <w:vAlign w:val="center"/>
          </w:tcPr>
          <w:p w:rsidR="003D726A" w:rsidRDefault="00342D2F">
            <w:pPr>
              <w:jc w:val="center"/>
            </w:pPr>
            <w:r>
              <w:rPr>
                <w:color w:val="000000"/>
                <w:sz w:val="24"/>
                <w:szCs w:val="24"/>
              </w:rPr>
              <w:t>交银双利债券、交银策略回报灵活配置混合、交银荣祥保本混合、交银荣泰保本混合、交银周期回报灵活配置混合、交银新回报灵活配置混合、交银荣和保本混合、交银多策略回报灵活配置混合的基金经理，公司投资总监</w:t>
            </w:r>
          </w:p>
        </w:tc>
        <w:tc>
          <w:tcPr>
            <w:tcW w:w="1549" w:type="dxa"/>
            <w:vAlign w:val="center"/>
          </w:tcPr>
          <w:p w:rsidR="003D726A" w:rsidRDefault="00342D2F">
            <w:pPr>
              <w:jc w:val="center"/>
            </w:pPr>
            <w:r>
              <w:rPr>
                <w:color w:val="000000"/>
                <w:sz w:val="24"/>
                <w:szCs w:val="24"/>
              </w:rPr>
              <w:t>2015-06-27</w:t>
            </w:r>
          </w:p>
        </w:tc>
        <w:tc>
          <w:tcPr>
            <w:tcW w:w="1548" w:type="dxa"/>
            <w:vAlign w:val="center"/>
          </w:tcPr>
          <w:p w:rsidR="003D726A" w:rsidRDefault="00342D2F">
            <w:pPr>
              <w:jc w:val="center"/>
            </w:pPr>
            <w:r>
              <w:rPr>
                <w:color w:val="000000"/>
                <w:sz w:val="24"/>
                <w:szCs w:val="24"/>
              </w:rPr>
              <w:t>-</w:t>
            </w:r>
          </w:p>
        </w:tc>
        <w:tc>
          <w:tcPr>
            <w:tcW w:w="1407" w:type="dxa"/>
            <w:vAlign w:val="center"/>
          </w:tcPr>
          <w:p w:rsidR="003D726A" w:rsidRDefault="00342D2F">
            <w:pPr>
              <w:jc w:val="center"/>
            </w:pPr>
            <w:r>
              <w:rPr>
                <w:color w:val="000000"/>
                <w:sz w:val="24"/>
                <w:szCs w:val="24"/>
              </w:rPr>
              <w:t>16</w:t>
            </w:r>
            <w:r>
              <w:rPr>
                <w:color w:val="000000"/>
                <w:sz w:val="24"/>
                <w:szCs w:val="24"/>
              </w:rPr>
              <w:t>年</w:t>
            </w:r>
          </w:p>
        </w:tc>
        <w:tc>
          <w:tcPr>
            <w:tcW w:w="2673" w:type="dxa"/>
            <w:vAlign w:val="center"/>
          </w:tcPr>
          <w:p w:rsidR="003D726A" w:rsidRDefault="00342D2F">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月担任华安现金富利投资基金基金经理。</w:t>
            </w:r>
            <w:r>
              <w:rPr>
                <w:color w:val="000000"/>
                <w:sz w:val="24"/>
                <w:szCs w:val="24"/>
              </w:rPr>
              <w:t>2007</w:t>
            </w:r>
            <w:r>
              <w:rPr>
                <w:color w:val="000000"/>
                <w:sz w:val="24"/>
                <w:szCs w:val="24"/>
              </w:rPr>
              <w:t>年加入交银施罗德基金管理有限公司，历任固定收益部总经理，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4</w:t>
            </w:r>
            <w:r>
              <w:rPr>
                <w:color w:val="000000"/>
                <w:sz w:val="24"/>
                <w:szCs w:val="24"/>
              </w:rPr>
              <w:t>日至</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18</w:t>
            </w:r>
            <w:r>
              <w:rPr>
                <w:color w:val="000000"/>
                <w:sz w:val="24"/>
                <w:szCs w:val="24"/>
              </w:rPr>
              <w:t>日担任交银施罗德定期支付双息平衡混合型证券投资基金基金经理。</w:t>
            </w:r>
          </w:p>
        </w:tc>
      </w:tr>
    </w:tbl>
    <w:p w:rsidR="003D726A" w:rsidRDefault="00342D2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、本基金基金经理项廷锋先生于</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日因病去世，经本公司研究决定，其基金经理相关职责由本公司基金经理李娜女士代为履行。</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D726A" w:rsidRDefault="00342D2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D726A" w:rsidRDefault="00342D2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D726A" w:rsidRDefault="00342D2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D726A" w:rsidRDefault="00342D2F">
      <w:pPr>
        <w:spacing w:before="29" w:line="288" w:lineRule="auto"/>
        <w:ind w:firstLineChars="200" w:firstLine="480"/>
        <w:rPr>
          <w:color w:val="000000"/>
          <w:sz w:val="24"/>
          <w:szCs w:val="24"/>
        </w:rPr>
      </w:pPr>
      <w:r>
        <w:rPr>
          <w:color w:val="000000"/>
          <w:sz w:val="24"/>
          <w:szCs w:val="24"/>
        </w:rPr>
        <w:t>三季度工业增加值处于</w:t>
      </w:r>
      <w:r>
        <w:rPr>
          <w:color w:val="000000"/>
          <w:sz w:val="24"/>
          <w:szCs w:val="24"/>
        </w:rPr>
        <w:t>6%</w:t>
      </w:r>
      <w:r>
        <w:rPr>
          <w:color w:val="000000"/>
          <w:sz w:val="24"/>
          <w:szCs w:val="24"/>
        </w:rPr>
        <w:t>附近区间，经济增长整体乏力，</w:t>
      </w:r>
      <w:r>
        <w:rPr>
          <w:color w:val="000000"/>
          <w:sz w:val="24"/>
          <w:szCs w:val="24"/>
        </w:rPr>
        <w:t>CPI</w:t>
      </w:r>
      <w:r>
        <w:rPr>
          <w:color w:val="000000"/>
          <w:sz w:val="24"/>
          <w:szCs w:val="24"/>
        </w:rPr>
        <w:t>在</w:t>
      </w:r>
      <w:r>
        <w:rPr>
          <w:color w:val="000000"/>
          <w:sz w:val="24"/>
          <w:szCs w:val="24"/>
        </w:rPr>
        <w:t>2%</w:t>
      </w:r>
      <w:r>
        <w:rPr>
          <w:color w:val="000000"/>
          <w:sz w:val="24"/>
          <w:szCs w:val="24"/>
        </w:rPr>
        <w:t>之下持续低位运行，基本面运行没有脱离</w:t>
      </w:r>
      <w:r>
        <w:rPr>
          <w:color w:val="000000"/>
          <w:sz w:val="24"/>
          <w:szCs w:val="24"/>
        </w:rPr>
        <w:t>“</w:t>
      </w:r>
      <w:r>
        <w:rPr>
          <w:color w:val="000000"/>
          <w:sz w:val="24"/>
          <w:szCs w:val="24"/>
        </w:rPr>
        <w:t>新常态</w:t>
      </w:r>
      <w:r>
        <w:rPr>
          <w:color w:val="000000"/>
          <w:sz w:val="24"/>
          <w:szCs w:val="24"/>
        </w:rPr>
        <w:t>”</w:t>
      </w:r>
      <w:r>
        <w:rPr>
          <w:color w:val="000000"/>
          <w:sz w:val="24"/>
          <w:szCs w:val="24"/>
        </w:rPr>
        <w:t>的范畴；与此相对应，政策层面基调维持</w:t>
      </w:r>
      <w:r>
        <w:rPr>
          <w:color w:val="000000"/>
          <w:sz w:val="24"/>
          <w:szCs w:val="24"/>
        </w:rPr>
        <w:t>“</w:t>
      </w:r>
      <w:r>
        <w:rPr>
          <w:color w:val="000000"/>
          <w:sz w:val="24"/>
          <w:szCs w:val="24"/>
        </w:rPr>
        <w:t>稳增长</w:t>
      </w:r>
      <w:r>
        <w:rPr>
          <w:color w:val="000000"/>
          <w:sz w:val="24"/>
          <w:szCs w:val="24"/>
        </w:rPr>
        <w:t>”</w:t>
      </w:r>
      <w:r>
        <w:rPr>
          <w:color w:val="000000"/>
          <w:sz w:val="24"/>
          <w:szCs w:val="24"/>
        </w:rPr>
        <w:t>与</w:t>
      </w:r>
      <w:r>
        <w:rPr>
          <w:color w:val="000000"/>
          <w:sz w:val="24"/>
          <w:szCs w:val="24"/>
        </w:rPr>
        <w:t>“</w:t>
      </w:r>
      <w:r>
        <w:rPr>
          <w:color w:val="000000"/>
          <w:sz w:val="24"/>
          <w:szCs w:val="24"/>
        </w:rPr>
        <w:t>促转型</w:t>
      </w:r>
      <w:r>
        <w:rPr>
          <w:color w:val="000000"/>
          <w:sz w:val="24"/>
          <w:szCs w:val="24"/>
        </w:rPr>
        <w:t>”</w:t>
      </w:r>
      <w:r>
        <w:rPr>
          <w:color w:val="000000"/>
          <w:sz w:val="24"/>
          <w:szCs w:val="24"/>
        </w:rPr>
        <w:t>并重，货币政策和财政政策依然</w:t>
      </w:r>
      <w:r>
        <w:rPr>
          <w:color w:val="000000"/>
          <w:sz w:val="24"/>
          <w:szCs w:val="24"/>
        </w:rPr>
        <w:t>“</w:t>
      </w:r>
      <w:r>
        <w:rPr>
          <w:color w:val="000000"/>
          <w:sz w:val="24"/>
          <w:szCs w:val="24"/>
        </w:rPr>
        <w:t>双宽</w:t>
      </w:r>
      <w:r>
        <w:rPr>
          <w:color w:val="000000"/>
          <w:sz w:val="24"/>
          <w:szCs w:val="24"/>
        </w:rPr>
        <w:t>”</w:t>
      </w:r>
      <w:r>
        <w:rPr>
          <w:color w:val="000000"/>
          <w:sz w:val="24"/>
          <w:szCs w:val="24"/>
        </w:rPr>
        <w:t>。</w:t>
      </w:r>
    </w:p>
    <w:p w:rsidR="003D726A" w:rsidRDefault="00342D2F">
      <w:pPr>
        <w:spacing w:before="29" w:line="288" w:lineRule="auto"/>
        <w:ind w:firstLineChars="200" w:firstLine="480"/>
        <w:rPr>
          <w:color w:val="000000"/>
          <w:sz w:val="24"/>
          <w:szCs w:val="24"/>
        </w:rPr>
      </w:pPr>
      <w:r>
        <w:rPr>
          <w:color w:val="000000"/>
          <w:sz w:val="24"/>
          <w:szCs w:val="24"/>
        </w:rPr>
        <w:t>股票市场方面，在配资清理范围扩大以及人民币贬值等因素影响下，投资者悲观情绪持续宣泄，市场在</w:t>
      </w:r>
      <w:r>
        <w:rPr>
          <w:color w:val="000000"/>
          <w:sz w:val="24"/>
          <w:szCs w:val="24"/>
        </w:rPr>
        <w:t>8</w:t>
      </w:r>
      <w:r>
        <w:rPr>
          <w:color w:val="000000"/>
          <w:sz w:val="24"/>
          <w:szCs w:val="24"/>
        </w:rPr>
        <w:t>月下旬再次出现剧烈震荡。债券市场方面，在高收益资产稀缺的格局下，资金持续流入债券市场，推动了收益率的不断下行。</w:t>
      </w:r>
    </w:p>
    <w:p w:rsidR="003D726A" w:rsidRDefault="00342D2F">
      <w:pPr>
        <w:spacing w:before="29" w:line="288" w:lineRule="auto"/>
        <w:ind w:firstLineChars="200" w:firstLine="480"/>
        <w:rPr>
          <w:color w:val="000000"/>
          <w:sz w:val="24"/>
          <w:szCs w:val="24"/>
        </w:rPr>
      </w:pPr>
      <w:r>
        <w:rPr>
          <w:color w:val="000000"/>
          <w:sz w:val="24"/>
          <w:szCs w:val="24"/>
        </w:rPr>
        <w:t>策略层面，本基金在前半季度市场反弹中净值表现基本符合管理预期，但在</w:t>
      </w:r>
      <w:r>
        <w:rPr>
          <w:color w:val="000000"/>
          <w:sz w:val="24"/>
          <w:szCs w:val="24"/>
        </w:rPr>
        <w:t>8</w:t>
      </w:r>
      <w:r>
        <w:rPr>
          <w:color w:val="000000"/>
          <w:sz w:val="24"/>
          <w:szCs w:val="24"/>
        </w:rPr>
        <w:t>月下旬遭遇市场剧烈震荡致使净值受到了影响。债券操作方面则是拉长久期，加大了利率债配置力度。</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展望四季度，经济企稳回升仍需政策持续配合推动，</w:t>
      </w:r>
      <w:r w:rsidRPr="00414345">
        <w:rPr>
          <w:color w:val="000000"/>
          <w:sz w:val="24"/>
          <w:szCs w:val="24"/>
        </w:rPr>
        <w:t>CPI</w:t>
      </w:r>
      <w:r w:rsidRPr="00414345">
        <w:rPr>
          <w:color w:val="000000"/>
          <w:sz w:val="24"/>
          <w:szCs w:val="24"/>
        </w:rPr>
        <w:t>超预期加速上行的概率仍不大，基本面维持新常态。股票方面，估值迎来合理回归，杠杆的去化已进入后半程，市场悲观情绪逐步缓和后，有可能出现结构性行情，重点关注政经改革进展与稳增长政策的路径，投资应对需保持谨慎、灵活；债券市场预计仍处于慢牛格局之中，由于信用利差继续收窄的空间已不大，重点关注利率债投资机会，同时特别警惕信用风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008941AA">
        <w:rPr>
          <w:rFonts w:hint="eastAsia"/>
          <w:color w:val="000000"/>
          <w:sz w:val="24"/>
          <w:szCs w:val="24"/>
        </w:rPr>
        <w:t>本基金</w:t>
      </w:r>
      <w:r w:rsidRPr="00414345">
        <w:rPr>
          <w:color w:val="000000"/>
          <w:sz w:val="24"/>
          <w:szCs w:val="24"/>
        </w:rPr>
        <w:t>基金份额净值为</w:t>
      </w:r>
      <w:r w:rsidRPr="00414345">
        <w:rPr>
          <w:color w:val="000000"/>
          <w:sz w:val="24"/>
          <w:szCs w:val="24"/>
        </w:rPr>
        <w:t>0.870</w:t>
      </w:r>
      <w:r w:rsidRPr="00414345">
        <w:rPr>
          <w:color w:val="000000"/>
          <w:sz w:val="24"/>
          <w:szCs w:val="24"/>
        </w:rPr>
        <w:t>元，</w:t>
      </w:r>
      <w:r w:rsidR="008941AA">
        <w:rPr>
          <w:rFonts w:hint="eastAsia"/>
          <w:color w:val="000000"/>
          <w:sz w:val="24"/>
          <w:szCs w:val="24"/>
        </w:rPr>
        <w:t>本报告期</w:t>
      </w:r>
      <w:r w:rsidRPr="00414345">
        <w:rPr>
          <w:color w:val="000000"/>
          <w:sz w:val="24"/>
          <w:szCs w:val="24"/>
        </w:rPr>
        <w:t>份额净值增长率为</w:t>
      </w:r>
      <w:r w:rsidRPr="00414345">
        <w:rPr>
          <w:color w:val="000000"/>
          <w:sz w:val="24"/>
          <w:szCs w:val="24"/>
        </w:rPr>
        <w:t>-28.51%</w:t>
      </w:r>
      <w:r w:rsidRPr="00414345">
        <w:rPr>
          <w:color w:val="000000"/>
          <w:sz w:val="24"/>
          <w:szCs w:val="24"/>
        </w:rPr>
        <w:t>，同期业绩比较基准增长率为</w:t>
      </w:r>
      <w:bookmarkStart w:id="0" w:name="_GoBack"/>
      <w:bookmarkEnd w:id="0"/>
      <w:r w:rsidR="00FF2762" w:rsidRPr="00FF2762">
        <w:rPr>
          <w:color w:val="000000"/>
          <w:sz w:val="24"/>
          <w:szCs w:val="24"/>
        </w:rPr>
        <w:t>-16.84%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84139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118,796,442.60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58.14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118,796,442.60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58.14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78,127,300.00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38.24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78,127,300.00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38.24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6,007,699.69</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2.94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1,384,869.13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0.68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204,316,311.42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2,088,000.00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72,375,195.00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4,212,000.00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1,365,000.00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3,277,600.00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2,004,000.00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20,427,547.60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1,521,000.00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6,593,200.00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1,218,000.00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2,212,500.00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1,502,400.00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118,796,442.60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68.27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D726A">
        <w:trPr>
          <w:jc w:val="center"/>
        </w:trPr>
        <w:tc>
          <w:tcPr>
            <w:tcW w:w="855" w:type="dxa"/>
            <w:vAlign w:val="center"/>
          </w:tcPr>
          <w:p w:rsidR="003D726A" w:rsidRDefault="00342D2F">
            <w:pPr>
              <w:jc w:val="center"/>
            </w:pPr>
            <w:r>
              <w:rPr>
                <w:color w:val="000000"/>
                <w:sz w:val="24"/>
                <w:szCs w:val="24"/>
              </w:rPr>
              <w:t>1</w:t>
            </w:r>
          </w:p>
        </w:tc>
        <w:tc>
          <w:tcPr>
            <w:tcW w:w="1334" w:type="dxa"/>
            <w:vAlign w:val="center"/>
          </w:tcPr>
          <w:p w:rsidR="003D726A" w:rsidRDefault="00342D2F">
            <w:pPr>
              <w:jc w:val="center"/>
            </w:pPr>
            <w:r>
              <w:rPr>
                <w:color w:val="000000"/>
                <w:sz w:val="24"/>
                <w:szCs w:val="24"/>
              </w:rPr>
              <w:t>600565</w:t>
            </w:r>
          </w:p>
        </w:tc>
        <w:tc>
          <w:tcPr>
            <w:tcW w:w="1777" w:type="dxa"/>
            <w:vAlign w:val="center"/>
          </w:tcPr>
          <w:p w:rsidR="003D726A" w:rsidRDefault="00342D2F">
            <w:pPr>
              <w:jc w:val="center"/>
            </w:pPr>
            <w:r>
              <w:rPr>
                <w:color w:val="000000"/>
                <w:sz w:val="24"/>
                <w:szCs w:val="24"/>
              </w:rPr>
              <w:t>迪马股份</w:t>
            </w:r>
          </w:p>
        </w:tc>
        <w:tc>
          <w:tcPr>
            <w:tcW w:w="1334" w:type="dxa"/>
            <w:vAlign w:val="center"/>
          </w:tcPr>
          <w:p w:rsidR="003D726A" w:rsidRDefault="00342D2F">
            <w:pPr>
              <w:jc w:val="right"/>
            </w:pPr>
            <w:r>
              <w:rPr>
                <w:color w:val="000000"/>
                <w:sz w:val="24"/>
                <w:szCs w:val="24"/>
              </w:rPr>
              <w:t>600,000</w:t>
            </w:r>
          </w:p>
        </w:tc>
        <w:tc>
          <w:tcPr>
            <w:tcW w:w="1924" w:type="dxa"/>
            <w:vAlign w:val="center"/>
          </w:tcPr>
          <w:p w:rsidR="003D726A" w:rsidRDefault="00342D2F">
            <w:pPr>
              <w:jc w:val="right"/>
            </w:pPr>
            <w:r>
              <w:rPr>
                <w:color w:val="000000"/>
                <w:sz w:val="24"/>
                <w:szCs w:val="24"/>
              </w:rPr>
              <w:t>5,742,000.00</w:t>
            </w:r>
          </w:p>
        </w:tc>
        <w:tc>
          <w:tcPr>
            <w:tcW w:w="1644" w:type="dxa"/>
            <w:vAlign w:val="center"/>
          </w:tcPr>
          <w:p w:rsidR="003D726A" w:rsidRDefault="00342D2F">
            <w:pPr>
              <w:jc w:val="right"/>
            </w:pPr>
            <w:r>
              <w:rPr>
                <w:color w:val="000000"/>
                <w:sz w:val="24"/>
                <w:szCs w:val="24"/>
              </w:rPr>
              <w:t>3.30</w:t>
            </w:r>
          </w:p>
        </w:tc>
      </w:tr>
      <w:tr w:rsidR="003D726A">
        <w:trPr>
          <w:jc w:val="center"/>
        </w:trPr>
        <w:tc>
          <w:tcPr>
            <w:tcW w:w="855" w:type="dxa"/>
            <w:vAlign w:val="center"/>
          </w:tcPr>
          <w:p w:rsidR="003D726A" w:rsidRDefault="00342D2F">
            <w:pPr>
              <w:jc w:val="center"/>
            </w:pPr>
            <w:r>
              <w:rPr>
                <w:color w:val="000000"/>
                <w:sz w:val="24"/>
                <w:szCs w:val="24"/>
              </w:rPr>
              <w:t>2</w:t>
            </w:r>
          </w:p>
        </w:tc>
        <w:tc>
          <w:tcPr>
            <w:tcW w:w="1334" w:type="dxa"/>
            <w:vAlign w:val="center"/>
          </w:tcPr>
          <w:p w:rsidR="003D726A" w:rsidRDefault="00342D2F">
            <w:pPr>
              <w:jc w:val="center"/>
            </w:pPr>
            <w:r>
              <w:rPr>
                <w:color w:val="000000"/>
                <w:sz w:val="24"/>
                <w:szCs w:val="24"/>
              </w:rPr>
              <w:t>300159</w:t>
            </w:r>
          </w:p>
        </w:tc>
        <w:tc>
          <w:tcPr>
            <w:tcW w:w="1777" w:type="dxa"/>
            <w:vAlign w:val="center"/>
          </w:tcPr>
          <w:p w:rsidR="003D726A" w:rsidRDefault="00342D2F">
            <w:pPr>
              <w:jc w:val="center"/>
            </w:pPr>
            <w:r>
              <w:rPr>
                <w:color w:val="000000"/>
                <w:sz w:val="24"/>
                <w:szCs w:val="24"/>
              </w:rPr>
              <w:t>新研股份</w:t>
            </w:r>
          </w:p>
        </w:tc>
        <w:tc>
          <w:tcPr>
            <w:tcW w:w="1334" w:type="dxa"/>
            <w:vAlign w:val="center"/>
          </w:tcPr>
          <w:p w:rsidR="003D726A" w:rsidRDefault="00342D2F">
            <w:pPr>
              <w:jc w:val="right"/>
            </w:pPr>
            <w:r>
              <w:rPr>
                <w:color w:val="000000"/>
                <w:sz w:val="24"/>
                <w:szCs w:val="24"/>
              </w:rPr>
              <w:t>360,000</w:t>
            </w:r>
          </w:p>
        </w:tc>
        <w:tc>
          <w:tcPr>
            <w:tcW w:w="1924" w:type="dxa"/>
            <w:vAlign w:val="center"/>
          </w:tcPr>
          <w:p w:rsidR="003D726A" w:rsidRDefault="00342D2F">
            <w:pPr>
              <w:jc w:val="right"/>
            </w:pPr>
            <w:r>
              <w:rPr>
                <w:color w:val="000000"/>
                <w:sz w:val="24"/>
                <w:szCs w:val="24"/>
              </w:rPr>
              <w:t>5,331,600.00</w:t>
            </w:r>
          </w:p>
        </w:tc>
        <w:tc>
          <w:tcPr>
            <w:tcW w:w="1644" w:type="dxa"/>
            <w:vAlign w:val="center"/>
          </w:tcPr>
          <w:p w:rsidR="003D726A" w:rsidRDefault="00342D2F">
            <w:pPr>
              <w:jc w:val="right"/>
            </w:pPr>
            <w:r>
              <w:rPr>
                <w:color w:val="000000"/>
                <w:sz w:val="24"/>
                <w:szCs w:val="24"/>
              </w:rPr>
              <w:t>3.06</w:t>
            </w:r>
          </w:p>
        </w:tc>
      </w:tr>
      <w:tr w:rsidR="003D726A">
        <w:trPr>
          <w:jc w:val="center"/>
        </w:trPr>
        <w:tc>
          <w:tcPr>
            <w:tcW w:w="855" w:type="dxa"/>
            <w:vAlign w:val="center"/>
          </w:tcPr>
          <w:p w:rsidR="003D726A" w:rsidRDefault="00342D2F">
            <w:pPr>
              <w:jc w:val="center"/>
            </w:pPr>
            <w:r>
              <w:rPr>
                <w:color w:val="000000"/>
                <w:sz w:val="24"/>
                <w:szCs w:val="24"/>
              </w:rPr>
              <w:t>3</w:t>
            </w:r>
          </w:p>
        </w:tc>
        <w:tc>
          <w:tcPr>
            <w:tcW w:w="1334" w:type="dxa"/>
            <w:vAlign w:val="center"/>
          </w:tcPr>
          <w:p w:rsidR="003D726A" w:rsidRDefault="00342D2F">
            <w:pPr>
              <w:jc w:val="center"/>
            </w:pPr>
            <w:r>
              <w:rPr>
                <w:color w:val="000000"/>
                <w:sz w:val="24"/>
                <w:szCs w:val="24"/>
              </w:rPr>
              <w:t>600584</w:t>
            </w:r>
          </w:p>
        </w:tc>
        <w:tc>
          <w:tcPr>
            <w:tcW w:w="1777" w:type="dxa"/>
            <w:vAlign w:val="center"/>
          </w:tcPr>
          <w:p w:rsidR="003D726A" w:rsidRDefault="00342D2F">
            <w:pPr>
              <w:jc w:val="center"/>
            </w:pPr>
            <w:r>
              <w:rPr>
                <w:color w:val="000000"/>
                <w:sz w:val="24"/>
                <w:szCs w:val="24"/>
              </w:rPr>
              <w:t>长电科技</w:t>
            </w:r>
          </w:p>
        </w:tc>
        <w:tc>
          <w:tcPr>
            <w:tcW w:w="1334" w:type="dxa"/>
            <w:vAlign w:val="center"/>
          </w:tcPr>
          <w:p w:rsidR="003D726A" w:rsidRDefault="00342D2F">
            <w:pPr>
              <w:jc w:val="right"/>
            </w:pPr>
            <w:r>
              <w:rPr>
                <w:color w:val="000000"/>
                <w:sz w:val="24"/>
                <w:szCs w:val="24"/>
              </w:rPr>
              <w:t>368,300</w:t>
            </w:r>
          </w:p>
        </w:tc>
        <w:tc>
          <w:tcPr>
            <w:tcW w:w="1924" w:type="dxa"/>
            <w:vAlign w:val="center"/>
          </w:tcPr>
          <w:p w:rsidR="003D726A" w:rsidRDefault="00342D2F">
            <w:pPr>
              <w:jc w:val="right"/>
            </w:pPr>
            <w:r>
              <w:rPr>
                <w:color w:val="000000"/>
                <w:sz w:val="24"/>
                <w:szCs w:val="24"/>
              </w:rPr>
              <w:t>4,843,145.00</w:t>
            </w:r>
          </w:p>
        </w:tc>
        <w:tc>
          <w:tcPr>
            <w:tcW w:w="1644" w:type="dxa"/>
            <w:vAlign w:val="center"/>
          </w:tcPr>
          <w:p w:rsidR="003D726A" w:rsidRDefault="00342D2F">
            <w:pPr>
              <w:jc w:val="right"/>
            </w:pPr>
            <w:r>
              <w:rPr>
                <w:color w:val="000000"/>
                <w:sz w:val="24"/>
                <w:szCs w:val="24"/>
              </w:rPr>
              <w:t>2.78</w:t>
            </w:r>
          </w:p>
        </w:tc>
      </w:tr>
      <w:tr w:rsidR="003D726A">
        <w:trPr>
          <w:jc w:val="center"/>
        </w:trPr>
        <w:tc>
          <w:tcPr>
            <w:tcW w:w="855" w:type="dxa"/>
            <w:vAlign w:val="center"/>
          </w:tcPr>
          <w:p w:rsidR="003D726A" w:rsidRDefault="00342D2F">
            <w:pPr>
              <w:jc w:val="center"/>
            </w:pPr>
            <w:r>
              <w:rPr>
                <w:color w:val="000000"/>
                <w:sz w:val="24"/>
                <w:szCs w:val="24"/>
              </w:rPr>
              <w:t>4</w:t>
            </w:r>
          </w:p>
        </w:tc>
        <w:tc>
          <w:tcPr>
            <w:tcW w:w="1334" w:type="dxa"/>
            <w:vAlign w:val="center"/>
          </w:tcPr>
          <w:p w:rsidR="003D726A" w:rsidRDefault="00342D2F">
            <w:pPr>
              <w:jc w:val="center"/>
            </w:pPr>
            <w:r>
              <w:rPr>
                <w:color w:val="000000"/>
                <w:sz w:val="24"/>
                <w:szCs w:val="24"/>
              </w:rPr>
              <w:t>600399</w:t>
            </w:r>
          </w:p>
        </w:tc>
        <w:tc>
          <w:tcPr>
            <w:tcW w:w="1777" w:type="dxa"/>
            <w:vAlign w:val="center"/>
          </w:tcPr>
          <w:p w:rsidR="003D726A" w:rsidRDefault="00342D2F">
            <w:pPr>
              <w:jc w:val="center"/>
            </w:pPr>
            <w:r>
              <w:rPr>
                <w:color w:val="000000"/>
                <w:sz w:val="24"/>
                <w:szCs w:val="24"/>
              </w:rPr>
              <w:t>抚顺特钢</w:t>
            </w:r>
          </w:p>
        </w:tc>
        <w:tc>
          <w:tcPr>
            <w:tcW w:w="1334" w:type="dxa"/>
            <w:vAlign w:val="center"/>
          </w:tcPr>
          <w:p w:rsidR="003D726A" w:rsidRDefault="00342D2F">
            <w:pPr>
              <w:jc w:val="right"/>
            </w:pPr>
            <w:r>
              <w:rPr>
                <w:color w:val="000000"/>
                <w:sz w:val="24"/>
                <w:szCs w:val="24"/>
              </w:rPr>
              <w:t>500,000</w:t>
            </w:r>
          </w:p>
        </w:tc>
        <w:tc>
          <w:tcPr>
            <w:tcW w:w="1924" w:type="dxa"/>
            <w:vAlign w:val="center"/>
          </w:tcPr>
          <w:p w:rsidR="003D726A" w:rsidRDefault="00342D2F">
            <w:pPr>
              <w:jc w:val="right"/>
            </w:pPr>
            <w:r>
              <w:rPr>
                <w:color w:val="000000"/>
                <w:sz w:val="24"/>
                <w:szCs w:val="24"/>
              </w:rPr>
              <w:t>4,225,000.00</w:t>
            </w:r>
          </w:p>
        </w:tc>
        <w:tc>
          <w:tcPr>
            <w:tcW w:w="1644" w:type="dxa"/>
            <w:vAlign w:val="center"/>
          </w:tcPr>
          <w:p w:rsidR="003D726A" w:rsidRDefault="00342D2F">
            <w:pPr>
              <w:jc w:val="right"/>
            </w:pPr>
            <w:r>
              <w:rPr>
                <w:color w:val="000000"/>
                <w:sz w:val="24"/>
                <w:szCs w:val="24"/>
              </w:rPr>
              <w:t>2.43</w:t>
            </w:r>
          </w:p>
        </w:tc>
      </w:tr>
      <w:tr w:rsidR="003D726A">
        <w:trPr>
          <w:jc w:val="center"/>
        </w:trPr>
        <w:tc>
          <w:tcPr>
            <w:tcW w:w="855" w:type="dxa"/>
            <w:vAlign w:val="center"/>
          </w:tcPr>
          <w:p w:rsidR="003D726A" w:rsidRDefault="00342D2F">
            <w:pPr>
              <w:jc w:val="center"/>
            </w:pPr>
            <w:r>
              <w:rPr>
                <w:color w:val="000000"/>
                <w:sz w:val="24"/>
                <w:szCs w:val="24"/>
              </w:rPr>
              <w:t>5</w:t>
            </w:r>
          </w:p>
        </w:tc>
        <w:tc>
          <w:tcPr>
            <w:tcW w:w="1334" w:type="dxa"/>
            <w:vAlign w:val="center"/>
          </w:tcPr>
          <w:p w:rsidR="003D726A" w:rsidRDefault="00342D2F">
            <w:pPr>
              <w:jc w:val="center"/>
            </w:pPr>
            <w:r>
              <w:rPr>
                <w:color w:val="000000"/>
                <w:sz w:val="24"/>
                <w:szCs w:val="24"/>
              </w:rPr>
              <w:t>600963</w:t>
            </w:r>
          </w:p>
        </w:tc>
        <w:tc>
          <w:tcPr>
            <w:tcW w:w="1777" w:type="dxa"/>
            <w:vAlign w:val="center"/>
          </w:tcPr>
          <w:p w:rsidR="003D726A" w:rsidRDefault="00342D2F">
            <w:pPr>
              <w:jc w:val="center"/>
            </w:pPr>
            <w:r>
              <w:rPr>
                <w:color w:val="000000"/>
                <w:sz w:val="24"/>
                <w:szCs w:val="24"/>
              </w:rPr>
              <w:t>岳阳林纸</w:t>
            </w:r>
          </w:p>
        </w:tc>
        <w:tc>
          <w:tcPr>
            <w:tcW w:w="1334" w:type="dxa"/>
            <w:vAlign w:val="center"/>
          </w:tcPr>
          <w:p w:rsidR="003D726A" w:rsidRDefault="00342D2F">
            <w:pPr>
              <w:jc w:val="right"/>
            </w:pPr>
            <w:r>
              <w:rPr>
                <w:color w:val="000000"/>
                <w:sz w:val="24"/>
                <w:szCs w:val="24"/>
              </w:rPr>
              <w:t>603,600</w:t>
            </w:r>
          </w:p>
        </w:tc>
        <w:tc>
          <w:tcPr>
            <w:tcW w:w="1924" w:type="dxa"/>
            <w:vAlign w:val="center"/>
          </w:tcPr>
          <w:p w:rsidR="003D726A" w:rsidRDefault="00342D2F">
            <w:pPr>
              <w:jc w:val="right"/>
            </w:pPr>
            <w:r>
              <w:rPr>
                <w:color w:val="000000"/>
                <w:sz w:val="24"/>
                <w:szCs w:val="24"/>
              </w:rPr>
              <w:t>4,050,156.00</w:t>
            </w:r>
          </w:p>
        </w:tc>
        <w:tc>
          <w:tcPr>
            <w:tcW w:w="1644" w:type="dxa"/>
            <w:vAlign w:val="center"/>
          </w:tcPr>
          <w:p w:rsidR="003D726A" w:rsidRDefault="00342D2F">
            <w:pPr>
              <w:jc w:val="right"/>
            </w:pPr>
            <w:r>
              <w:rPr>
                <w:color w:val="000000"/>
                <w:sz w:val="24"/>
                <w:szCs w:val="24"/>
              </w:rPr>
              <w:t>2.33</w:t>
            </w:r>
          </w:p>
        </w:tc>
      </w:tr>
      <w:tr w:rsidR="003D726A">
        <w:trPr>
          <w:jc w:val="center"/>
        </w:trPr>
        <w:tc>
          <w:tcPr>
            <w:tcW w:w="855" w:type="dxa"/>
            <w:vAlign w:val="center"/>
          </w:tcPr>
          <w:p w:rsidR="003D726A" w:rsidRDefault="00342D2F">
            <w:pPr>
              <w:jc w:val="center"/>
            </w:pPr>
            <w:r>
              <w:rPr>
                <w:color w:val="000000"/>
                <w:sz w:val="24"/>
                <w:szCs w:val="24"/>
              </w:rPr>
              <w:t>6</w:t>
            </w:r>
          </w:p>
        </w:tc>
        <w:tc>
          <w:tcPr>
            <w:tcW w:w="1334" w:type="dxa"/>
            <w:vAlign w:val="center"/>
          </w:tcPr>
          <w:p w:rsidR="003D726A" w:rsidRDefault="00342D2F">
            <w:pPr>
              <w:jc w:val="center"/>
            </w:pPr>
            <w:r>
              <w:rPr>
                <w:color w:val="000000"/>
                <w:sz w:val="24"/>
                <w:szCs w:val="24"/>
              </w:rPr>
              <w:t>300047</w:t>
            </w:r>
          </w:p>
        </w:tc>
        <w:tc>
          <w:tcPr>
            <w:tcW w:w="1777" w:type="dxa"/>
            <w:vAlign w:val="center"/>
          </w:tcPr>
          <w:p w:rsidR="003D726A" w:rsidRDefault="00342D2F">
            <w:pPr>
              <w:jc w:val="center"/>
            </w:pPr>
            <w:r>
              <w:rPr>
                <w:color w:val="000000"/>
                <w:sz w:val="24"/>
                <w:szCs w:val="24"/>
              </w:rPr>
              <w:t>天源迪科</w:t>
            </w:r>
          </w:p>
        </w:tc>
        <w:tc>
          <w:tcPr>
            <w:tcW w:w="1334" w:type="dxa"/>
            <w:vAlign w:val="center"/>
          </w:tcPr>
          <w:p w:rsidR="003D726A" w:rsidRDefault="00342D2F">
            <w:pPr>
              <w:jc w:val="right"/>
            </w:pPr>
            <w:r>
              <w:rPr>
                <w:color w:val="000000"/>
                <w:sz w:val="24"/>
                <w:szCs w:val="24"/>
              </w:rPr>
              <w:t>299,992</w:t>
            </w:r>
          </w:p>
        </w:tc>
        <w:tc>
          <w:tcPr>
            <w:tcW w:w="1924" w:type="dxa"/>
            <w:vAlign w:val="center"/>
          </w:tcPr>
          <w:p w:rsidR="003D726A" w:rsidRDefault="00342D2F">
            <w:pPr>
              <w:jc w:val="right"/>
            </w:pPr>
            <w:r>
              <w:rPr>
                <w:color w:val="000000"/>
                <w:sz w:val="24"/>
                <w:szCs w:val="24"/>
              </w:rPr>
              <w:t>3,839,897.60</w:t>
            </w:r>
          </w:p>
        </w:tc>
        <w:tc>
          <w:tcPr>
            <w:tcW w:w="1644" w:type="dxa"/>
            <w:vAlign w:val="center"/>
          </w:tcPr>
          <w:p w:rsidR="003D726A" w:rsidRDefault="00342D2F">
            <w:pPr>
              <w:jc w:val="right"/>
            </w:pPr>
            <w:r>
              <w:rPr>
                <w:color w:val="000000"/>
                <w:sz w:val="24"/>
                <w:szCs w:val="24"/>
              </w:rPr>
              <w:t>2.21</w:t>
            </w:r>
          </w:p>
        </w:tc>
      </w:tr>
      <w:tr w:rsidR="003D726A">
        <w:trPr>
          <w:jc w:val="center"/>
        </w:trPr>
        <w:tc>
          <w:tcPr>
            <w:tcW w:w="855" w:type="dxa"/>
            <w:vAlign w:val="center"/>
          </w:tcPr>
          <w:p w:rsidR="003D726A" w:rsidRDefault="00342D2F">
            <w:pPr>
              <w:jc w:val="center"/>
            </w:pPr>
            <w:r>
              <w:rPr>
                <w:color w:val="000000"/>
                <w:sz w:val="24"/>
                <w:szCs w:val="24"/>
              </w:rPr>
              <w:t>7</w:t>
            </w:r>
          </w:p>
        </w:tc>
        <w:tc>
          <w:tcPr>
            <w:tcW w:w="1334" w:type="dxa"/>
            <w:vAlign w:val="center"/>
          </w:tcPr>
          <w:p w:rsidR="003D726A" w:rsidRDefault="00342D2F">
            <w:pPr>
              <w:jc w:val="center"/>
            </w:pPr>
            <w:r>
              <w:rPr>
                <w:color w:val="000000"/>
                <w:sz w:val="24"/>
                <w:szCs w:val="24"/>
              </w:rPr>
              <w:t>002053</w:t>
            </w:r>
          </w:p>
        </w:tc>
        <w:tc>
          <w:tcPr>
            <w:tcW w:w="1777" w:type="dxa"/>
            <w:vAlign w:val="center"/>
          </w:tcPr>
          <w:p w:rsidR="003D726A" w:rsidRDefault="00342D2F">
            <w:pPr>
              <w:jc w:val="center"/>
            </w:pPr>
            <w:r>
              <w:rPr>
                <w:color w:val="000000"/>
                <w:sz w:val="24"/>
                <w:szCs w:val="24"/>
              </w:rPr>
              <w:t>云南盐化</w:t>
            </w:r>
          </w:p>
        </w:tc>
        <w:tc>
          <w:tcPr>
            <w:tcW w:w="1334" w:type="dxa"/>
            <w:vAlign w:val="center"/>
          </w:tcPr>
          <w:p w:rsidR="003D726A" w:rsidRDefault="00342D2F">
            <w:pPr>
              <w:jc w:val="right"/>
            </w:pPr>
            <w:r>
              <w:rPr>
                <w:color w:val="000000"/>
                <w:sz w:val="24"/>
                <w:szCs w:val="24"/>
              </w:rPr>
              <w:t>200,000</w:t>
            </w:r>
          </w:p>
        </w:tc>
        <w:tc>
          <w:tcPr>
            <w:tcW w:w="1924" w:type="dxa"/>
            <w:vAlign w:val="center"/>
          </w:tcPr>
          <w:p w:rsidR="003D726A" w:rsidRDefault="00342D2F">
            <w:pPr>
              <w:jc w:val="right"/>
            </w:pPr>
            <w:r>
              <w:rPr>
                <w:color w:val="000000"/>
                <w:sz w:val="24"/>
                <w:szCs w:val="24"/>
              </w:rPr>
              <w:t>3,774,000.00</w:t>
            </w:r>
          </w:p>
        </w:tc>
        <w:tc>
          <w:tcPr>
            <w:tcW w:w="1644" w:type="dxa"/>
            <w:vAlign w:val="center"/>
          </w:tcPr>
          <w:p w:rsidR="003D726A" w:rsidRDefault="00342D2F">
            <w:pPr>
              <w:jc w:val="right"/>
            </w:pPr>
            <w:r>
              <w:rPr>
                <w:color w:val="000000"/>
                <w:sz w:val="24"/>
                <w:szCs w:val="24"/>
              </w:rPr>
              <w:t>2.17</w:t>
            </w:r>
          </w:p>
        </w:tc>
      </w:tr>
      <w:tr w:rsidR="003D726A">
        <w:trPr>
          <w:jc w:val="center"/>
        </w:trPr>
        <w:tc>
          <w:tcPr>
            <w:tcW w:w="855" w:type="dxa"/>
            <w:vAlign w:val="center"/>
          </w:tcPr>
          <w:p w:rsidR="003D726A" w:rsidRDefault="00342D2F">
            <w:pPr>
              <w:jc w:val="center"/>
            </w:pPr>
            <w:r>
              <w:rPr>
                <w:color w:val="000000"/>
                <w:sz w:val="24"/>
                <w:szCs w:val="24"/>
              </w:rPr>
              <w:t>8</w:t>
            </w:r>
          </w:p>
        </w:tc>
        <w:tc>
          <w:tcPr>
            <w:tcW w:w="1334" w:type="dxa"/>
            <w:vAlign w:val="center"/>
          </w:tcPr>
          <w:p w:rsidR="003D726A" w:rsidRDefault="00342D2F">
            <w:pPr>
              <w:jc w:val="center"/>
            </w:pPr>
            <w:r>
              <w:rPr>
                <w:color w:val="000000"/>
                <w:sz w:val="24"/>
                <w:szCs w:val="24"/>
              </w:rPr>
              <w:t>000733</w:t>
            </w:r>
          </w:p>
        </w:tc>
        <w:tc>
          <w:tcPr>
            <w:tcW w:w="1777" w:type="dxa"/>
            <w:vAlign w:val="center"/>
          </w:tcPr>
          <w:p w:rsidR="003D726A" w:rsidRDefault="00342D2F">
            <w:pPr>
              <w:jc w:val="center"/>
            </w:pPr>
            <w:r>
              <w:rPr>
                <w:color w:val="000000"/>
                <w:sz w:val="24"/>
                <w:szCs w:val="24"/>
              </w:rPr>
              <w:t>振华科技</w:t>
            </w:r>
          </w:p>
        </w:tc>
        <w:tc>
          <w:tcPr>
            <w:tcW w:w="1334" w:type="dxa"/>
            <w:vAlign w:val="center"/>
          </w:tcPr>
          <w:p w:rsidR="003D726A" w:rsidRDefault="00342D2F">
            <w:pPr>
              <w:jc w:val="right"/>
            </w:pPr>
            <w:r>
              <w:rPr>
                <w:color w:val="000000"/>
                <w:sz w:val="24"/>
                <w:szCs w:val="24"/>
              </w:rPr>
              <w:t>200,000</w:t>
            </w:r>
          </w:p>
        </w:tc>
        <w:tc>
          <w:tcPr>
            <w:tcW w:w="1924" w:type="dxa"/>
            <w:vAlign w:val="center"/>
          </w:tcPr>
          <w:p w:rsidR="003D726A" w:rsidRDefault="00342D2F">
            <w:pPr>
              <w:jc w:val="right"/>
            </w:pPr>
            <w:r>
              <w:rPr>
                <w:color w:val="000000"/>
                <w:sz w:val="24"/>
                <w:szCs w:val="24"/>
              </w:rPr>
              <w:t>3,494,000.00</w:t>
            </w:r>
          </w:p>
        </w:tc>
        <w:tc>
          <w:tcPr>
            <w:tcW w:w="1644" w:type="dxa"/>
            <w:vAlign w:val="center"/>
          </w:tcPr>
          <w:p w:rsidR="003D726A" w:rsidRDefault="00342D2F">
            <w:pPr>
              <w:jc w:val="right"/>
            </w:pPr>
            <w:r>
              <w:rPr>
                <w:color w:val="000000"/>
                <w:sz w:val="24"/>
                <w:szCs w:val="24"/>
              </w:rPr>
              <w:t>2.01</w:t>
            </w:r>
          </w:p>
        </w:tc>
      </w:tr>
      <w:tr w:rsidR="003D726A">
        <w:trPr>
          <w:jc w:val="center"/>
        </w:trPr>
        <w:tc>
          <w:tcPr>
            <w:tcW w:w="855" w:type="dxa"/>
            <w:vAlign w:val="center"/>
          </w:tcPr>
          <w:p w:rsidR="003D726A" w:rsidRDefault="00342D2F">
            <w:pPr>
              <w:jc w:val="center"/>
            </w:pPr>
            <w:r>
              <w:rPr>
                <w:color w:val="000000"/>
                <w:sz w:val="24"/>
                <w:szCs w:val="24"/>
              </w:rPr>
              <w:t>9</w:t>
            </w:r>
          </w:p>
        </w:tc>
        <w:tc>
          <w:tcPr>
            <w:tcW w:w="1334" w:type="dxa"/>
            <w:vAlign w:val="center"/>
          </w:tcPr>
          <w:p w:rsidR="003D726A" w:rsidRDefault="00342D2F">
            <w:pPr>
              <w:jc w:val="center"/>
            </w:pPr>
            <w:r>
              <w:rPr>
                <w:color w:val="000000"/>
                <w:sz w:val="24"/>
                <w:szCs w:val="24"/>
              </w:rPr>
              <w:t>000938</w:t>
            </w:r>
          </w:p>
        </w:tc>
        <w:tc>
          <w:tcPr>
            <w:tcW w:w="1777" w:type="dxa"/>
            <w:vAlign w:val="center"/>
          </w:tcPr>
          <w:p w:rsidR="003D726A" w:rsidRDefault="00342D2F">
            <w:pPr>
              <w:jc w:val="center"/>
            </w:pPr>
            <w:r>
              <w:rPr>
                <w:color w:val="000000"/>
                <w:sz w:val="24"/>
                <w:szCs w:val="24"/>
              </w:rPr>
              <w:t>紫光股份</w:t>
            </w:r>
          </w:p>
        </w:tc>
        <w:tc>
          <w:tcPr>
            <w:tcW w:w="1334" w:type="dxa"/>
            <w:vAlign w:val="center"/>
          </w:tcPr>
          <w:p w:rsidR="003D726A" w:rsidRDefault="00342D2F">
            <w:pPr>
              <w:jc w:val="right"/>
            </w:pPr>
            <w:r>
              <w:rPr>
                <w:color w:val="000000"/>
                <w:sz w:val="24"/>
                <w:szCs w:val="24"/>
              </w:rPr>
              <w:t>50,000</w:t>
            </w:r>
          </w:p>
        </w:tc>
        <w:tc>
          <w:tcPr>
            <w:tcW w:w="1924" w:type="dxa"/>
            <w:vAlign w:val="center"/>
          </w:tcPr>
          <w:p w:rsidR="003D726A" w:rsidRDefault="00342D2F">
            <w:pPr>
              <w:jc w:val="right"/>
            </w:pPr>
            <w:r>
              <w:rPr>
                <w:color w:val="000000"/>
                <w:sz w:val="24"/>
                <w:szCs w:val="24"/>
              </w:rPr>
              <w:t>3,488,500.00</w:t>
            </w:r>
          </w:p>
        </w:tc>
        <w:tc>
          <w:tcPr>
            <w:tcW w:w="1644" w:type="dxa"/>
            <w:vAlign w:val="center"/>
          </w:tcPr>
          <w:p w:rsidR="003D726A" w:rsidRDefault="00342D2F">
            <w:pPr>
              <w:jc w:val="right"/>
            </w:pPr>
            <w:r>
              <w:rPr>
                <w:color w:val="000000"/>
                <w:sz w:val="24"/>
                <w:szCs w:val="24"/>
              </w:rPr>
              <w:t>2.00</w:t>
            </w:r>
          </w:p>
        </w:tc>
      </w:tr>
      <w:tr w:rsidR="003D726A">
        <w:trPr>
          <w:jc w:val="center"/>
        </w:trPr>
        <w:tc>
          <w:tcPr>
            <w:tcW w:w="855" w:type="dxa"/>
            <w:vAlign w:val="center"/>
          </w:tcPr>
          <w:p w:rsidR="003D726A" w:rsidRDefault="00342D2F">
            <w:pPr>
              <w:jc w:val="center"/>
            </w:pPr>
            <w:r>
              <w:rPr>
                <w:color w:val="000000"/>
                <w:sz w:val="24"/>
                <w:szCs w:val="24"/>
              </w:rPr>
              <w:t>10</w:t>
            </w:r>
          </w:p>
        </w:tc>
        <w:tc>
          <w:tcPr>
            <w:tcW w:w="1334" w:type="dxa"/>
            <w:vAlign w:val="center"/>
          </w:tcPr>
          <w:p w:rsidR="003D726A" w:rsidRDefault="00342D2F">
            <w:pPr>
              <w:jc w:val="center"/>
            </w:pPr>
            <w:r>
              <w:rPr>
                <w:color w:val="000000"/>
                <w:sz w:val="24"/>
                <w:szCs w:val="24"/>
              </w:rPr>
              <w:t>002368</w:t>
            </w:r>
          </w:p>
        </w:tc>
        <w:tc>
          <w:tcPr>
            <w:tcW w:w="1777" w:type="dxa"/>
            <w:vAlign w:val="center"/>
          </w:tcPr>
          <w:p w:rsidR="003D726A" w:rsidRDefault="00342D2F">
            <w:pPr>
              <w:jc w:val="center"/>
            </w:pPr>
            <w:r>
              <w:rPr>
                <w:color w:val="000000"/>
                <w:sz w:val="24"/>
                <w:szCs w:val="24"/>
              </w:rPr>
              <w:t>太极股份</w:t>
            </w:r>
          </w:p>
        </w:tc>
        <w:tc>
          <w:tcPr>
            <w:tcW w:w="1334" w:type="dxa"/>
            <w:vAlign w:val="center"/>
          </w:tcPr>
          <w:p w:rsidR="003D726A" w:rsidRDefault="00342D2F">
            <w:pPr>
              <w:jc w:val="right"/>
            </w:pPr>
            <w:r>
              <w:rPr>
                <w:color w:val="000000"/>
                <w:sz w:val="24"/>
                <w:szCs w:val="24"/>
              </w:rPr>
              <w:t>105,000</w:t>
            </w:r>
          </w:p>
        </w:tc>
        <w:tc>
          <w:tcPr>
            <w:tcW w:w="1924" w:type="dxa"/>
            <w:vAlign w:val="center"/>
          </w:tcPr>
          <w:p w:rsidR="003D726A" w:rsidRDefault="00342D2F">
            <w:pPr>
              <w:jc w:val="right"/>
            </w:pPr>
            <w:r>
              <w:rPr>
                <w:color w:val="000000"/>
                <w:sz w:val="24"/>
                <w:szCs w:val="24"/>
              </w:rPr>
              <w:t>3,476,550.00</w:t>
            </w:r>
          </w:p>
        </w:tc>
        <w:tc>
          <w:tcPr>
            <w:tcW w:w="1644" w:type="dxa"/>
            <w:vAlign w:val="center"/>
          </w:tcPr>
          <w:p w:rsidR="003D726A" w:rsidRDefault="00342D2F">
            <w:pPr>
              <w:jc w:val="right"/>
            </w:pPr>
            <w:r>
              <w:rPr>
                <w:color w:val="000000"/>
                <w:sz w:val="24"/>
                <w:szCs w:val="24"/>
              </w:rPr>
              <w:t>2.00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51,274,000.00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29.47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51,274,000.00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29.47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26,853,300.00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15.43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78,127,300.00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44.90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3D726A">
        <w:trPr>
          <w:jc w:val="center"/>
        </w:trPr>
        <w:tc>
          <w:tcPr>
            <w:tcW w:w="850" w:type="dxa"/>
            <w:vAlign w:val="center"/>
          </w:tcPr>
          <w:p w:rsidR="003D726A" w:rsidRDefault="00342D2F">
            <w:pPr>
              <w:jc w:val="center"/>
            </w:pPr>
            <w:r>
              <w:rPr>
                <w:color w:val="000000"/>
                <w:sz w:val="24"/>
                <w:szCs w:val="24"/>
              </w:rPr>
              <w:t>1</w:t>
            </w:r>
          </w:p>
        </w:tc>
        <w:tc>
          <w:tcPr>
            <w:tcW w:w="1475" w:type="dxa"/>
            <w:vAlign w:val="center"/>
          </w:tcPr>
          <w:p w:rsidR="003D726A" w:rsidRDefault="00342D2F">
            <w:pPr>
              <w:jc w:val="center"/>
            </w:pPr>
            <w:r>
              <w:rPr>
                <w:color w:val="000000"/>
                <w:sz w:val="24"/>
                <w:szCs w:val="24"/>
              </w:rPr>
              <w:t>150210</w:t>
            </w:r>
          </w:p>
        </w:tc>
        <w:tc>
          <w:tcPr>
            <w:tcW w:w="1769" w:type="dxa"/>
            <w:vAlign w:val="center"/>
          </w:tcPr>
          <w:p w:rsidR="003D726A" w:rsidRDefault="00342D2F">
            <w:pPr>
              <w:jc w:val="center"/>
            </w:pPr>
            <w:r>
              <w:rPr>
                <w:color w:val="000000"/>
                <w:sz w:val="24"/>
                <w:szCs w:val="24"/>
              </w:rPr>
              <w:t>15</w:t>
            </w:r>
            <w:r>
              <w:rPr>
                <w:color w:val="000000"/>
                <w:sz w:val="24"/>
                <w:szCs w:val="24"/>
              </w:rPr>
              <w:t>国开</w:t>
            </w:r>
            <w:r>
              <w:rPr>
                <w:color w:val="000000"/>
                <w:sz w:val="24"/>
                <w:szCs w:val="24"/>
              </w:rPr>
              <w:t>10</w:t>
            </w:r>
          </w:p>
        </w:tc>
        <w:tc>
          <w:tcPr>
            <w:tcW w:w="1387" w:type="dxa"/>
            <w:vAlign w:val="center"/>
          </w:tcPr>
          <w:p w:rsidR="003D726A" w:rsidRDefault="00342D2F">
            <w:pPr>
              <w:jc w:val="right"/>
            </w:pPr>
            <w:r>
              <w:rPr>
                <w:color w:val="000000"/>
                <w:sz w:val="24"/>
                <w:szCs w:val="24"/>
              </w:rPr>
              <w:t>300,000</w:t>
            </w:r>
          </w:p>
        </w:tc>
        <w:tc>
          <w:tcPr>
            <w:tcW w:w="2150" w:type="dxa"/>
            <w:vAlign w:val="center"/>
          </w:tcPr>
          <w:p w:rsidR="003D726A" w:rsidRDefault="00342D2F">
            <w:pPr>
              <w:jc w:val="right"/>
            </w:pPr>
            <w:r>
              <w:rPr>
                <w:color w:val="000000"/>
                <w:sz w:val="24"/>
                <w:szCs w:val="24"/>
              </w:rPr>
              <w:t>31,212,000.00</w:t>
            </w:r>
          </w:p>
        </w:tc>
        <w:tc>
          <w:tcPr>
            <w:tcW w:w="1237" w:type="dxa"/>
            <w:vAlign w:val="center"/>
          </w:tcPr>
          <w:p w:rsidR="003D726A" w:rsidRDefault="00342D2F">
            <w:pPr>
              <w:jc w:val="right"/>
            </w:pPr>
            <w:r>
              <w:rPr>
                <w:color w:val="000000"/>
                <w:sz w:val="24"/>
                <w:szCs w:val="24"/>
              </w:rPr>
              <w:t>17.94</w:t>
            </w:r>
          </w:p>
        </w:tc>
      </w:tr>
      <w:tr w:rsidR="003D726A">
        <w:trPr>
          <w:jc w:val="center"/>
        </w:trPr>
        <w:tc>
          <w:tcPr>
            <w:tcW w:w="850" w:type="dxa"/>
            <w:vAlign w:val="center"/>
          </w:tcPr>
          <w:p w:rsidR="003D726A" w:rsidRDefault="00342D2F">
            <w:pPr>
              <w:jc w:val="center"/>
            </w:pPr>
            <w:r>
              <w:rPr>
                <w:color w:val="000000"/>
                <w:sz w:val="24"/>
                <w:szCs w:val="24"/>
              </w:rPr>
              <w:t>2</w:t>
            </w:r>
          </w:p>
        </w:tc>
        <w:tc>
          <w:tcPr>
            <w:tcW w:w="1475" w:type="dxa"/>
            <w:vAlign w:val="center"/>
          </w:tcPr>
          <w:p w:rsidR="003D726A" w:rsidRDefault="00342D2F">
            <w:pPr>
              <w:jc w:val="center"/>
            </w:pPr>
            <w:r>
              <w:rPr>
                <w:color w:val="000000"/>
                <w:sz w:val="24"/>
                <w:szCs w:val="24"/>
              </w:rPr>
              <w:t>150211</w:t>
            </w:r>
          </w:p>
        </w:tc>
        <w:tc>
          <w:tcPr>
            <w:tcW w:w="1769" w:type="dxa"/>
            <w:vAlign w:val="center"/>
          </w:tcPr>
          <w:p w:rsidR="003D726A" w:rsidRDefault="00342D2F">
            <w:pPr>
              <w:jc w:val="center"/>
            </w:pPr>
            <w:r>
              <w:rPr>
                <w:color w:val="000000"/>
                <w:sz w:val="24"/>
                <w:szCs w:val="24"/>
              </w:rPr>
              <w:t>15</w:t>
            </w:r>
            <w:r>
              <w:rPr>
                <w:color w:val="000000"/>
                <w:sz w:val="24"/>
                <w:szCs w:val="24"/>
              </w:rPr>
              <w:t>国开</w:t>
            </w:r>
            <w:r>
              <w:rPr>
                <w:color w:val="000000"/>
                <w:sz w:val="24"/>
                <w:szCs w:val="24"/>
              </w:rPr>
              <w:t>11</w:t>
            </w:r>
          </w:p>
        </w:tc>
        <w:tc>
          <w:tcPr>
            <w:tcW w:w="1387" w:type="dxa"/>
            <w:vAlign w:val="center"/>
          </w:tcPr>
          <w:p w:rsidR="003D726A" w:rsidRDefault="00342D2F">
            <w:pPr>
              <w:jc w:val="right"/>
            </w:pPr>
            <w:r>
              <w:rPr>
                <w:color w:val="000000"/>
                <w:sz w:val="24"/>
                <w:szCs w:val="24"/>
              </w:rPr>
              <w:t>200,000</w:t>
            </w:r>
          </w:p>
        </w:tc>
        <w:tc>
          <w:tcPr>
            <w:tcW w:w="2150" w:type="dxa"/>
            <w:vAlign w:val="center"/>
          </w:tcPr>
          <w:p w:rsidR="003D726A" w:rsidRDefault="00342D2F">
            <w:pPr>
              <w:jc w:val="right"/>
            </w:pPr>
            <w:r>
              <w:rPr>
                <w:color w:val="000000"/>
                <w:sz w:val="24"/>
                <w:szCs w:val="24"/>
              </w:rPr>
              <w:t>20,062,000.00</w:t>
            </w:r>
          </w:p>
        </w:tc>
        <w:tc>
          <w:tcPr>
            <w:tcW w:w="1237" w:type="dxa"/>
            <w:vAlign w:val="center"/>
          </w:tcPr>
          <w:p w:rsidR="003D726A" w:rsidRDefault="00342D2F">
            <w:pPr>
              <w:jc w:val="right"/>
            </w:pPr>
            <w:r>
              <w:rPr>
                <w:color w:val="000000"/>
                <w:sz w:val="24"/>
                <w:szCs w:val="24"/>
              </w:rPr>
              <w:t>11.53</w:t>
            </w:r>
          </w:p>
        </w:tc>
      </w:tr>
      <w:tr w:rsidR="003D726A">
        <w:trPr>
          <w:jc w:val="center"/>
        </w:trPr>
        <w:tc>
          <w:tcPr>
            <w:tcW w:w="850" w:type="dxa"/>
            <w:vAlign w:val="center"/>
          </w:tcPr>
          <w:p w:rsidR="003D726A" w:rsidRDefault="00342D2F">
            <w:pPr>
              <w:jc w:val="center"/>
            </w:pPr>
            <w:r>
              <w:rPr>
                <w:color w:val="000000"/>
                <w:sz w:val="24"/>
                <w:szCs w:val="24"/>
              </w:rPr>
              <w:t>3</w:t>
            </w:r>
          </w:p>
        </w:tc>
        <w:tc>
          <w:tcPr>
            <w:tcW w:w="1475" w:type="dxa"/>
            <w:vAlign w:val="center"/>
          </w:tcPr>
          <w:p w:rsidR="003D726A" w:rsidRDefault="00342D2F">
            <w:pPr>
              <w:jc w:val="center"/>
            </w:pPr>
            <w:r>
              <w:rPr>
                <w:color w:val="000000"/>
                <w:sz w:val="24"/>
                <w:szCs w:val="24"/>
              </w:rPr>
              <w:t>122266</w:t>
            </w:r>
          </w:p>
        </w:tc>
        <w:tc>
          <w:tcPr>
            <w:tcW w:w="1769" w:type="dxa"/>
            <w:vAlign w:val="center"/>
          </w:tcPr>
          <w:p w:rsidR="003D726A" w:rsidRDefault="00342D2F">
            <w:pPr>
              <w:jc w:val="center"/>
            </w:pPr>
            <w:r>
              <w:rPr>
                <w:color w:val="000000"/>
                <w:sz w:val="24"/>
                <w:szCs w:val="24"/>
              </w:rPr>
              <w:t>13</w:t>
            </w:r>
            <w:r>
              <w:rPr>
                <w:color w:val="000000"/>
                <w:sz w:val="24"/>
                <w:szCs w:val="24"/>
              </w:rPr>
              <w:t>中信</w:t>
            </w:r>
            <w:r>
              <w:rPr>
                <w:color w:val="000000"/>
                <w:sz w:val="24"/>
                <w:szCs w:val="24"/>
              </w:rPr>
              <w:t>03</w:t>
            </w:r>
          </w:p>
        </w:tc>
        <w:tc>
          <w:tcPr>
            <w:tcW w:w="1387" w:type="dxa"/>
            <w:vAlign w:val="center"/>
          </w:tcPr>
          <w:p w:rsidR="003D726A" w:rsidRDefault="00342D2F">
            <w:pPr>
              <w:jc w:val="right"/>
            </w:pPr>
            <w:r>
              <w:rPr>
                <w:color w:val="000000"/>
                <w:sz w:val="24"/>
                <w:szCs w:val="24"/>
              </w:rPr>
              <w:t>165,000</w:t>
            </w:r>
          </w:p>
        </w:tc>
        <w:tc>
          <w:tcPr>
            <w:tcW w:w="2150" w:type="dxa"/>
            <w:vAlign w:val="center"/>
          </w:tcPr>
          <w:p w:rsidR="003D726A" w:rsidRDefault="00342D2F">
            <w:pPr>
              <w:jc w:val="right"/>
            </w:pPr>
            <w:r>
              <w:rPr>
                <w:color w:val="000000"/>
                <w:sz w:val="24"/>
                <w:szCs w:val="24"/>
              </w:rPr>
              <w:t>16,833,300.00</w:t>
            </w:r>
          </w:p>
        </w:tc>
        <w:tc>
          <w:tcPr>
            <w:tcW w:w="1237" w:type="dxa"/>
            <w:vAlign w:val="center"/>
          </w:tcPr>
          <w:p w:rsidR="003D726A" w:rsidRDefault="00342D2F">
            <w:pPr>
              <w:jc w:val="right"/>
            </w:pPr>
            <w:r>
              <w:rPr>
                <w:color w:val="000000"/>
                <w:sz w:val="24"/>
                <w:szCs w:val="24"/>
              </w:rPr>
              <w:t>9.67</w:t>
            </w:r>
          </w:p>
        </w:tc>
      </w:tr>
      <w:tr w:rsidR="003D726A">
        <w:trPr>
          <w:jc w:val="center"/>
        </w:trPr>
        <w:tc>
          <w:tcPr>
            <w:tcW w:w="850" w:type="dxa"/>
            <w:vAlign w:val="center"/>
          </w:tcPr>
          <w:p w:rsidR="003D726A" w:rsidRDefault="00342D2F">
            <w:pPr>
              <w:jc w:val="center"/>
            </w:pPr>
            <w:r>
              <w:rPr>
                <w:color w:val="000000"/>
                <w:sz w:val="24"/>
                <w:szCs w:val="24"/>
              </w:rPr>
              <w:t>4</w:t>
            </w:r>
          </w:p>
        </w:tc>
        <w:tc>
          <w:tcPr>
            <w:tcW w:w="1475" w:type="dxa"/>
            <w:vAlign w:val="center"/>
          </w:tcPr>
          <w:p w:rsidR="003D726A" w:rsidRDefault="00342D2F">
            <w:pPr>
              <w:jc w:val="center"/>
            </w:pPr>
            <w:r>
              <w:rPr>
                <w:color w:val="000000"/>
                <w:sz w:val="24"/>
                <w:szCs w:val="24"/>
              </w:rPr>
              <w:t>122399</w:t>
            </w:r>
          </w:p>
        </w:tc>
        <w:tc>
          <w:tcPr>
            <w:tcW w:w="1769" w:type="dxa"/>
            <w:vAlign w:val="center"/>
          </w:tcPr>
          <w:p w:rsidR="003D726A" w:rsidRDefault="00342D2F">
            <w:pPr>
              <w:jc w:val="center"/>
            </w:pPr>
            <w:r>
              <w:rPr>
                <w:color w:val="000000"/>
                <w:sz w:val="24"/>
                <w:szCs w:val="24"/>
              </w:rPr>
              <w:t>15</w:t>
            </w:r>
            <w:r>
              <w:rPr>
                <w:color w:val="000000"/>
                <w:sz w:val="24"/>
                <w:szCs w:val="24"/>
              </w:rPr>
              <w:t>中投</w:t>
            </w:r>
            <w:r>
              <w:rPr>
                <w:color w:val="000000"/>
                <w:sz w:val="24"/>
                <w:szCs w:val="24"/>
              </w:rPr>
              <w:t>G1</w:t>
            </w:r>
          </w:p>
        </w:tc>
        <w:tc>
          <w:tcPr>
            <w:tcW w:w="1387" w:type="dxa"/>
            <w:vAlign w:val="center"/>
          </w:tcPr>
          <w:p w:rsidR="003D726A" w:rsidRDefault="00342D2F">
            <w:pPr>
              <w:jc w:val="right"/>
            </w:pPr>
            <w:r>
              <w:rPr>
                <w:color w:val="000000"/>
                <w:sz w:val="24"/>
                <w:szCs w:val="24"/>
              </w:rPr>
              <w:t>100,000</w:t>
            </w:r>
          </w:p>
        </w:tc>
        <w:tc>
          <w:tcPr>
            <w:tcW w:w="2150" w:type="dxa"/>
            <w:vAlign w:val="center"/>
          </w:tcPr>
          <w:p w:rsidR="003D726A" w:rsidRDefault="00342D2F">
            <w:pPr>
              <w:jc w:val="right"/>
            </w:pPr>
            <w:r>
              <w:rPr>
                <w:color w:val="000000"/>
                <w:sz w:val="24"/>
                <w:szCs w:val="24"/>
              </w:rPr>
              <w:t>10,020,000.00</w:t>
            </w:r>
          </w:p>
        </w:tc>
        <w:tc>
          <w:tcPr>
            <w:tcW w:w="1237" w:type="dxa"/>
            <w:vAlign w:val="center"/>
          </w:tcPr>
          <w:p w:rsidR="003D726A" w:rsidRDefault="00342D2F">
            <w:pPr>
              <w:jc w:val="right"/>
            </w:pPr>
            <w:r>
              <w:rPr>
                <w:color w:val="000000"/>
                <w:sz w:val="24"/>
                <w:szCs w:val="24"/>
              </w:rPr>
              <w:t>5.76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Default="00A54C7D" w:rsidP="00C15CAC">
      <w:pPr>
        <w:autoSpaceDE w:val="0"/>
        <w:autoSpaceDN w:val="0"/>
        <w:adjustRightInd w:val="0"/>
        <w:spacing w:before="29" w:line="288" w:lineRule="auto"/>
        <w:jc w:val="left"/>
        <w:rPr>
          <w:rFonts w:hAnsi="宋体"/>
          <w:b/>
          <w:bCs/>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84139E" w:rsidRDefault="0084139E"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w:t>
      </w:r>
      <w:r w:rsidRPr="00527154">
        <w:rPr>
          <w:color w:val="000000"/>
          <w:sz w:val="24"/>
          <w:szCs w:val="24"/>
        </w:rPr>
        <w:t>贵金属</w:t>
      </w:r>
      <w:r w:rsidR="00342D2F">
        <w:rPr>
          <w:rFonts w:hint="eastAsia"/>
          <w:color w:val="000000"/>
          <w:sz w:val="24"/>
          <w:szCs w:val="24"/>
        </w:rPr>
        <w:t>。</w:t>
      </w:r>
    </w:p>
    <w:p w:rsidR="0084139E" w:rsidRPr="00527154" w:rsidRDefault="0084139E" w:rsidP="00C15CAC">
      <w:pPr>
        <w:autoSpaceDE w:val="0"/>
        <w:autoSpaceDN w:val="0"/>
        <w:adjustRightInd w:val="0"/>
        <w:spacing w:before="29" w:line="288" w:lineRule="auto"/>
        <w:jc w:val="left"/>
        <w:rPr>
          <w:color w:val="00000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w:t>
      </w:r>
      <w:r w:rsidRPr="00BE5388">
        <w:rPr>
          <w:bCs/>
          <w:color w:val="000000"/>
          <w:kern w:val="0"/>
          <w:sz w:val="24"/>
          <w:szCs w:val="24"/>
        </w:rPr>
        <w:t>13</w:t>
      </w:r>
      <w:r w:rsidRPr="00BE5388">
        <w:rPr>
          <w:bCs/>
          <w:color w:val="000000"/>
          <w:kern w:val="0"/>
          <w:sz w:val="24"/>
          <w:szCs w:val="24"/>
        </w:rPr>
        <w:t>中信</w:t>
      </w:r>
      <w:r w:rsidRPr="00BE5388">
        <w:rPr>
          <w:bCs/>
          <w:color w:val="000000"/>
          <w:kern w:val="0"/>
          <w:sz w:val="24"/>
          <w:szCs w:val="24"/>
        </w:rPr>
        <w:t>03</w:t>
      </w:r>
      <w:r w:rsidRPr="00BE5388">
        <w:rPr>
          <w:bCs/>
          <w:color w:val="000000"/>
          <w:kern w:val="0"/>
          <w:sz w:val="24"/>
          <w:szCs w:val="24"/>
        </w:rPr>
        <w:t>（证券代码：</w:t>
      </w:r>
      <w:r w:rsidRPr="00BE5388">
        <w:rPr>
          <w:bCs/>
          <w:color w:val="000000"/>
          <w:kern w:val="0"/>
          <w:sz w:val="24"/>
          <w:szCs w:val="24"/>
        </w:rPr>
        <w:t>122266</w:t>
      </w:r>
      <w:r w:rsidRPr="00BE5388">
        <w:rPr>
          <w:bCs/>
          <w:color w:val="000000"/>
          <w:kern w:val="0"/>
          <w:sz w:val="24"/>
          <w:szCs w:val="24"/>
        </w:rPr>
        <w:t>）外，未出现被监管部门立案调查，或在报告编制日前一年内受到公开谴责、处罚的情形。</w:t>
      </w:r>
    </w:p>
    <w:p w:rsidR="003D726A" w:rsidRDefault="00342D2F">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w:t>
      </w:r>
      <w:r>
        <w:rPr>
          <w:bCs/>
          <w:color w:val="000000"/>
          <w:kern w:val="0"/>
          <w:sz w:val="24"/>
          <w:szCs w:val="24"/>
        </w:rPr>
        <w:t>13</w:t>
      </w:r>
      <w:r>
        <w:rPr>
          <w:bCs/>
          <w:color w:val="000000"/>
          <w:kern w:val="0"/>
          <w:sz w:val="24"/>
          <w:szCs w:val="24"/>
        </w:rPr>
        <w:t>中信</w:t>
      </w:r>
      <w:r>
        <w:rPr>
          <w:bCs/>
          <w:color w:val="000000"/>
          <w:kern w:val="0"/>
          <w:sz w:val="24"/>
          <w:szCs w:val="24"/>
        </w:rPr>
        <w:t>03</w:t>
      </w:r>
      <w:r>
        <w:rPr>
          <w:bCs/>
          <w:color w:val="000000"/>
          <w:kern w:val="0"/>
          <w:sz w:val="24"/>
          <w:szCs w:val="24"/>
        </w:rPr>
        <w:t>（证券代码：</w:t>
      </w:r>
      <w:r>
        <w:rPr>
          <w:bCs/>
          <w:color w:val="000000"/>
          <w:kern w:val="0"/>
          <w:sz w:val="24"/>
          <w:szCs w:val="24"/>
        </w:rPr>
        <w:t>122266</w:t>
      </w:r>
      <w:r>
        <w:rPr>
          <w:bCs/>
          <w:color w:val="000000"/>
          <w:kern w:val="0"/>
          <w:sz w:val="24"/>
          <w:szCs w:val="24"/>
        </w:rPr>
        <w:t>）的发行主体中信证券于</w:t>
      </w:r>
      <w:r>
        <w:rPr>
          <w:bCs/>
          <w:color w:val="000000"/>
          <w:kern w:val="0"/>
          <w:sz w:val="24"/>
          <w:szCs w:val="24"/>
        </w:rPr>
        <w:t>2015</w:t>
      </w:r>
      <w:r>
        <w:rPr>
          <w:bCs/>
          <w:color w:val="000000"/>
          <w:kern w:val="0"/>
          <w:sz w:val="24"/>
          <w:szCs w:val="24"/>
        </w:rPr>
        <w:t>年</w:t>
      </w:r>
      <w:r>
        <w:rPr>
          <w:bCs/>
          <w:color w:val="000000"/>
          <w:kern w:val="0"/>
          <w:sz w:val="24"/>
          <w:szCs w:val="24"/>
        </w:rPr>
        <w:t>1</w:t>
      </w:r>
      <w:r>
        <w:rPr>
          <w:bCs/>
          <w:color w:val="000000"/>
          <w:kern w:val="0"/>
          <w:sz w:val="24"/>
          <w:szCs w:val="24"/>
        </w:rPr>
        <w:t>月</w:t>
      </w:r>
      <w:r>
        <w:rPr>
          <w:bCs/>
          <w:color w:val="000000"/>
          <w:kern w:val="0"/>
          <w:sz w:val="24"/>
          <w:szCs w:val="24"/>
        </w:rPr>
        <w:t>18</w:t>
      </w:r>
      <w:r>
        <w:rPr>
          <w:bCs/>
          <w:color w:val="000000"/>
          <w:kern w:val="0"/>
          <w:sz w:val="24"/>
          <w:szCs w:val="24"/>
        </w:rPr>
        <w:t>日公告称，公司因存在为到期融资融券合约展期的问题，被中国证监会采取暂停新开融资融券客户信用账户</w:t>
      </w:r>
      <w:r>
        <w:rPr>
          <w:bCs/>
          <w:color w:val="000000"/>
          <w:kern w:val="0"/>
          <w:sz w:val="24"/>
          <w:szCs w:val="24"/>
        </w:rPr>
        <w:t>3</w:t>
      </w:r>
      <w:r>
        <w:rPr>
          <w:bCs/>
          <w:color w:val="000000"/>
          <w:kern w:val="0"/>
          <w:sz w:val="24"/>
          <w:szCs w:val="24"/>
        </w:rPr>
        <w:t>个月的行政监管措施。</w:t>
      </w:r>
    </w:p>
    <w:p w:rsidR="003D726A" w:rsidRDefault="00342D2F">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385,979.57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998,593.12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296.44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1,384,869.13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3D726A">
        <w:trPr>
          <w:jc w:val="center"/>
        </w:trPr>
        <w:tc>
          <w:tcPr>
            <w:tcW w:w="1129" w:type="dxa"/>
            <w:vAlign w:val="center"/>
          </w:tcPr>
          <w:p w:rsidR="003D726A" w:rsidRDefault="00342D2F">
            <w:pPr>
              <w:jc w:val="center"/>
            </w:pPr>
            <w:r>
              <w:rPr>
                <w:color w:val="000000"/>
                <w:sz w:val="24"/>
                <w:szCs w:val="24"/>
              </w:rPr>
              <w:t>1</w:t>
            </w:r>
          </w:p>
        </w:tc>
        <w:tc>
          <w:tcPr>
            <w:tcW w:w="1356" w:type="dxa"/>
            <w:vAlign w:val="center"/>
          </w:tcPr>
          <w:p w:rsidR="003D726A" w:rsidRDefault="00342D2F">
            <w:pPr>
              <w:jc w:val="center"/>
            </w:pPr>
            <w:r>
              <w:rPr>
                <w:color w:val="000000"/>
                <w:sz w:val="24"/>
                <w:szCs w:val="24"/>
              </w:rPr>
              <w:t>600565</w:t>
            </w:r>
          </w:p>
        </w:tc>
        <w:tc>
          <w:tcPr>
            <w:tcW w:w="1355" w:type="dxa"/>
            <w:vAlign w:val="center"/>
          </w:tcPr>
          <w:p w:rsidR="003D726A" w:rsidRDefault="00342D2F">
            <w:pPr>
              <w:jc w:val="center"/>
            </w:pPr>
            <w:r>
              <w:rPr>
                <w:color w:val="000000"/>
                <w:sz w:val="24"/>
                <w:szCs w:val="24"/>
              </w:rPr>
              <w:t>迪马股份</w:t>
            </w:r>
          </w:p>
        </w:tc>
        <w:tc>
          <w:tcPr>
            <w:tcW w:w="1880" w:type="dxa"/>
            <w:vAlign w:val="center"/>
          </w:tcPr>
          <w:p w:rsidR="003D726A" w:rsidRDefault="00342D2F">
            <w:pPr>
              <w:jc w:val="right"/>
            </w:pPr>
            <w:r>
              <w:rPr>
                <w:color w:val="000000"/>
                <w:sz w:val="24"/>
                <w:szCs w:val="24"/>
              </w:rPr>
              <w:t>5,742,000.00</w:t>
            </w:r>
          </w:p>
        </w:tc>
        <w:tc>
          <w:tcPr>
            <w:tcW w:w="1724" w:type="dxa"/>
            <w:vAlign w:val="center"/>
          </w:tcPr>
          <w:p w:rsidR="003D726A" w:rsidRDefault="00342D2F">
            <w:pPr>
              <w:jc w:val="right"/>
            </w:pPr>
            <w:r>
              <w:rPr>
                <w:color w:val="000000"/>
                <w:sz w:val="24"/>
                <w:szCs w:val="24"/>
              </w:rPr>
              <w:t>3.30</w:t>
            </w:r>
          </w:p>
        </w:tc>
        <w:tc>
          <w:tcPr>
            <w:tcW w:w="1424" w:type="dxa"/>
            <w:vAlign w:val="center"/>
          </w:tcPr>
          <w:p w:rsidR="003D726A" w:rsidRDefault="00342D2F">
            <w:pPr>
              <w:jc w:val="right"/>
            </w:pPr>
            <w:r>
              <w:rPr>
                <w:color w:val="000000"/>
                <w:sz w:val="24"/>
                <w:szCs w:val="24"/>
              </w:rPr>
              <w:t>重大事项</w:t>
            </w:r>
          </w:p>
        </w:tc>
      </w:tr>
      <w:tr w:rsidR="003D726A">
        <w:trPr>
          <w:jc w:val="center"/>
        </w:trPr>
        <w:tc>
          <w:tcPr>
            <w:tcW w:w="1129" w:type="dxa"/>
            <w:vAlign w:val="center"/>
          </w:tcPr>
          <w:p w:rsidR="003D726A" w:rsidRDefault="00342D2F">
            <w:pPr>
              <w:jc w:val="center"/>
            </w:pPr>
            <w:r>
              <w:rPr>
                <w:color w:val="000000"/>
                <w:sz w:val="24"/>
                <w:szCs w:val="24"/>
              </w:rPr>
              <w:t>2</w:t>
            </w:r>
          </w:p>
        </w:tc>
        <w:tc>
          <w:tcPr>
            <w:tcW w:w="1356" w:type="dxa"/>
            <w:vAlign w:val="center"/>
          </w:tcPr>
          <w:p w:rsidR="003D726A" w:rsidRDefault="00342D2F">
            <w:pPr>
              <w:jc w:val="center"/>
            </w:pPr>
            <w:r>
              <w:rPr>
                <w:color w:val="000000"/>
                <w:sz w:val="24"/>
                <w:szCs w:val="24"/>
              </w:rPr>
              <w:t>000938</w:t>
            </w:r>
          </w:p>
        </w:tc>
        <w:tc>
          <w:tcPr>
            <w:tcW w:w="1355" w:type="dxa"/>
            <w:vAlign w:val="center"/>
          </w:tcPr>
          <w:p w:rsidR="003D726A" w:rsidRDefault="00342D2F">
            <w:pPr>
              <w:jc w:val="center"/>
            </w:pPr>
            <w:r>
              <w:rPr>
                <w:color w:val="000000"/>
                <w:sz w:val="24"/>
                <w:szCs w:val="24"/>
              </w:rPr>
              <w:t>紫光股份</w:t>
            </w:r>
          </w:p>
        </w:tc>
        <w:tc>
          <w:tcPr>
            <w:tcW w:w="1880" w:type="dxa"/>
            <w:vAlign w:val="center"/>
          </w:tcPr>
          <w:p w:rsidR="003D726A" w:rsidRDefault="00342D2F">
            <w:pPr>
              <w:jc w:val="right"/>
            </w:pPr>
            <w:r>
              <w:rPr>
                <w:color w:val="000000"/>
                <w:sz w:val="24"/>
                <w:szCs w:val="24"/>
              </w:rPr>
              <w:t>3,488,500.00</w:t>
            </w:r>
          </w:p>
        </w:tc>
        <w:tc>
          <w:tcPr>
            <w:tcW w:w="1724" w:type="dxa"/>
            <w:vAlign w:val="center"/>
          </w:tcPr>
          <w:p w:rsidR="003D726A" w:rsidRDefault="00342D2F">
            <w:pPr>
              <w:jc w:val="right"/>
            </w:pPr>
            <w:r>
              <w:rPr>
                <w:color w:val="000000"/>
                <w:sz w:val="24"/>
                <w:szCs w:val="24"/>
              </w:rPr>
              <w:t>2.00</w:t>
            </w:r>
          </w:p>
        </w:tc>
        <w:tc>
          <w:tcPr>
            <w:tcW w:w="1424" w:type="dxa"/>
            <w:vAlign w:val="center"/>
          </w:tcPr>
          <w:p w:rsidR="003D726A" w:rsidRDefault="00342D2F">
            <w:pPr>
              <w:jc w:val="right"/>
            </w:pPr>
            <w:r>
              <w:rPr>
                <w:color w:val="000000"/>
                <w:sz w:val="24"/>
                <w:szCs w:val="24"/>
              </w:rPr>
              <w:t>重大事项</w:t>
            </w:r>
          </w:p>
        </w:tc>
      </w:tr>
      <w:tr w:rsidR="003D726A">
        <w:trPr>
          <w:jc w:val="center"/>
        </w:trPr>
        <w:tc>
          <w:tcPr>
            <w:tcW w:w="1129" w:type="dxa"/>
            <w:vAlign w:val="center"/>
          </w:tcPr>
          <w:p w:rsidR="003D726A" w:rsidRDefault="00342D2F">
            <w:pPr>
              <w:jc w:val="center"/>
            </w:pPr>
            <w:r>
              <w:rPr>
                <w:color w:val="000000"/>
                <w:sz w:val="24"/>
                <w:szCs w:val="24"/>
              </w:rPr>
              <w:t>3</w:t>
            </w:r>
          </w:p>
        </w:tc>
        <w:tc>
          <w:tcPr>
            <w:tcW w:w="1356" w:type="dxa"/>
            <w:vAlign w:val="center"/>
          </w:tcPr>
          <w:p w:rsidR="003D726A" w:rsidRDefault="00342D2F">
            <w:pPr>
              <w:jc w:val="center"/>
            </w:pPr>
            <w:r>
              <w:rPr>
                <w:color w:val="000000"/>
                <w:sz w:val="24"/>
                <w:szCs w:val="24"/>
              </w:rPr>
              <w:t>002368</w:t>
            </w:r>
          </w:p>
        </w:tc>
        <w:tc>
          <w:tcPr>
            <w:tcW w:w="1355" w:type="dxa"/>
            <w:vAlign w:val="center"/>
          </w:tcPr>
          <w:p w:rsidR="003D726A" w:rsidRDefault="00342D2F">
            <w:pPr>
              <w:jc w:val="center"/>
            </w:pPr>
            <w:r>
              <w:rPr>
                <w:color w:val="000000"/>
                <w:sz w:val="24"/>
                <w:szCs w:val="24"/>
              </w:rPr>
              <w:t>太极股份</w:t>
            </w:r>
          </w:p>
        </w:tc>
        <w:tc>
          <w:tcPr>
            <w:tcW w:w="1880" w:type="dxa"/>
            <w:vAlign w:val="center"/>
          </w:tcPr>
          <w:p w:rsidR="003D726A" w:rsidRDefault="00342D2F">
            <w:pPr>
              <w:jc w:val="right"/>
            </w:pPr>
            <w:r>
              <w:rPr>
                <w:color w:val="000000"/>
                <w:sz w:val="24"/>
                <w:szCs w:val="24"/>
              </w:rPr>
              <w:t>3,476,550.00</w:t>
            </w:r>
          </w:p>
        </w:tc>
        <w:tc>
          <w:tcPr>
            <w:tcW w:w="1724" w:type="dxa"/>
            <w:vAlign w:val="center"/>
          </w:tcPr>
          <w:p w:rsidR="003D726A" w:rsidRDefault="00342D2F">
            <w:pPr>
              <w:jc w:val="right"/>
            </w:pPr>
            <w:r>
              <w:rPr>
                <w:color w:val="000000"/>
                <w:sz w:val="24"/>
                <w:szCs w:val="24"/>
              </w:rPr>
              <w:t>2.00</w:t>
            </w:r>
          </w:p>
        </w:tc>
        <w:tc>
          <w:tcPr>
            <w:tcW w:w="1424" w:type="dxa"/>
            <w:vAlign w:val="center"/>
          </w:tcPr>
          <w:p w:rsidR="003D726A" w:rsidRDefault="00342D2F">
            <w:pPr>
              <w:jc w:val="right"/>
            </w:pPr>
            <w:r>
              <w:rPr>
                <w:color w:val="000000"/>
                <w:sz w:val="24"/>
                <w:szCs w:val="24"/>
              </w:rPr>
              <w:t>重大事项</w:t>
            </w:r>
          </w:p>
        </w:tc>
      </w:tr>
    </w:tbl>
    <w:p w:rsidR="002918E3" w:rsidRDefault="002918E3" w:rsidP="00C15CAC">
      <w:pPr>
        <w:autoSpaceDE w:val="0"/>
        <w:autoSpaceDN w:val="0"/>
        <w:adjustRightInd w:val="0"/>
        <w:spacing w:before="29" w:line="288" w:lineRule="auto"/>
        <w:rPr>
          <w:color w:val="000000"/>
          <w:sz w:val="24"/>
          <w:szCs w:val="24"/>
        </w:rPr>
      </w:pPr>
    </w:p>
    <w:p w:rsidR="00E65FDB" w:rsidRPr="00E65FDB" w:rsidRDefault="00E65FDB" w:rsidP="00E65FDB">
      <w:pPr>
        <w:autoSpaceDE w:val="0"/>
        <w:autoSpaceDN w:val="0"/>
        <w:adjustRightInd w:val="0"/>
        <w:spacing w:before="29" w:line="288" w:lineRule="auto"/>
        <w:jc w:val="left"/>
        <w:rPr>
          <w:bCs/>
          <w:color w:val="000000"/>
          <w:kern w:val="0"/>
          <w:sz w:val="24"/>
          <w:szCs w:val="24"/>
        </w:rPr>
      </w:pPr>
      <w:r w:rsidRPr="00527154">
        <w:rPr>
          <w:bCs/>
          <w:color w:val="000000"/>
          <w:kern w:val="0"/>
          <w:sz w:val="24"/>
          <w:szCs w:val="24"/>
        </w:rPr>
        <w:t xml:space="preserve">5.11.6 </w:t>
      </w:r>
      <w:r w:rsidRPr="00527154">
        <w:rPr>
          <w:rFonts w:hint="eastAsia"/>
          <w:bCs/>
          <w:color w:val="000000"/>
          <w:kern w:val="0"/>
          <w:sz w:val="24"/>
          <w:szCs w:val="24"/>
        </w:rPr>
        <w:t>投资组合报告附注的其他文字描述部分</w:t>
      </w:r>
    </w:p>
    <w:p w:rsidR="00E65FDB" w:rsidRDefault="00E65FDB" w:rsidP="00E65FDB">
      <w:pPr>
        <w:spacing w:before="29" w:line="288" w:lineRule="auto"/>
        <w:rPr>
          <w:color w:val="000000"/>
          <w:sz w:val="24"/>
          <w:szCs w:val="24"/>
        </w:rPr>
      </w:pPr>
      <w:r w:rsidRPr="00527154">
        <w:rPr>
          <w:rFonts w:hint="eastAsia"/>
          <w:color w:val="000000"/>
          <w:sz w:val="24"/>
          <w:szCs w:val="24"/>
        </w:rPr>
        <w:t>由于四舍五入的原因，分项之和与合计项之间可能存在尾差。</w:t>
      </w:r>
    </w:p>
    <w:p w:rsidR="00E65FDB" w:rsidRPr="00E65FDB" w:rsidRDefault="00E65FDB" w:rsidP="00C15CAC">
      <w:pPr>
        <w:autoSpaceDE w:val="0"/>
        <w:autoSpaceDN w:val="0"/>
        <w:adjustRightInd w:val="0"/>
        <w:spacing w:before="29" w:line="288" w:lineRule="auto"/>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E65FDB">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298,188,206.14</w:t>
            </w:r>
          </w:p>
        </w:tc>
      </w:tr>
      <w:tr w:rsidR="004061AC" w:rsidRPr="00414345" w:rsidTr="00E65FDB">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6,288,120.45</w:t>
            </w:r>
          </w:p>
        </w:tc>
      </w:tr>
      <w:tr w:rsidR="004061AC" w:rsidRPr="00414345" w:rsidTr="00E65FDB">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104,416,909.82</w:t>
            </w:r>
          </w:p>
        </w:tc>
      </w:tr>
      <w:tr w:rsidR="004061AC" w:rsidRPr="00414345" w:rsidTr="00E65FDB">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E65FDB">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134"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200,059,416.77</w:t>
            </w:r>
          </w:p>
        </w:tc>
      </w:tr>
    </w:tbl>
    <w:p w:rsidR="00E65FDB" w:rsidRPr="00527154" w:rsidRDefault="00E65FDB" w:rsidP="00E65FDB">
      <w:pPr>
        <w:autoSpaceDE w:val="0"/>
        <w:autoSpaceDN w:val="0"/>
        <w:adjustRightInd w:val="0"/>
        <w:spacing w:before="29" w:line="288" w:lineRule="auto"/>
        <w:jc w:val="left"/>
        <w:rPr>
          <w:color w:val="000000"/>
          <w:sz w:val="24"/>
          <w:szCs w:val="24"/>
        </w:rPr>
      </w:pPr>
      <w:r w:rsidRPr="00527154">
        <w:rPr>
          <w:rFonts w:hint="eastAsia"/>
          <w:color w:val="000000"/>
          <w:sz w:val="24"/>
          <w:szCs w:val="24"/>
        </w:rPr>
        <w:t>注：</w:t>
      </w:r>
      <w:r w:rsidRPr="00527154">
        <w:rPr>
          <w:color w:val="000000"/>
          <w:sz w:val="24"/>
          <w:szCs w:val="24"/>
        </w:rPr>
        <w:t>1</w:t>
      </w:r>
      <w:r w:rsidRPr="00527154">
        <w:rPr>
          <w:rFonts w:hint="eastAsia"/>
          <w:color w:val="000000"/>
          <w:sz w:val="24"/>
          <w:szCs w:val="24"/>
        </w:rPr>
        <w:t>、如果本报告期间发生转换入、红利再投业务，则总申购份额中包含该业务；</w:t>
      </w:r>
    </w:p>
    <w:p w:rsidR="00E65FDB" w:rsidRPr="00414345" w:rsidRDefault="00E65FDB" w:rsidP="00E65FDB">
      <w:pPr>
        <w:autoSpaceDE w:val="0"/>
        <w:autoSpaceDN w:val="0"/>
        <w:adjustRightInd w:val="0"/>
        <w:spacing w:before="29" w:line="288" w:lineRule="auto"/>
        <w:jc w:val="left"/>
        <w:rPr>
          <w:color w:val="000000"/>
          <w:sz w:val="24"/>
          <w:szCs w:val="24"/>
        </w:rPr>
      </w:pPr>
      <w:r w:rsidRPr="00527154">
        <w:rPr>
          <w:rFonts w:hint="eastAsia"/>
          <w:color w:val="000000"/>
          <w:sz w:val="24"/>
          <w:szCs w:val="24"/>
        </w:rPr>
        <w:t xml:space="preserve">　　</w:t>
      </w:r>
      <w:r w:rsidRPr="00527154">
        <w:rPr>
          <w:color w:val="000000"/>
          <w:sz w:val="24"/>
          <w:szCs w:val="24"/>
        </w:rPr>
        <w:t>2</w:t>
      </w:r>
      <w:r w:rsidRPr="00527154">
        <w:rPr>
          <w:rFonts w:hint="eastAsia"/>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65FDB" w:rsidRPr="00527154" w:rsidRDefault="00E65FDB" w:rsidP="00E65FDB">
      <w:pPr>
        <w:pStyle w:val="1"/>
        <w:tabs>
          <w:tab w:val="center" w:pos="4156"/>
          <w:tab w:val="right" w:pos="8312"/>
        </w:tabs>
        <w:spacing w:beforeLines="100" w:before="312" w:afterLines="100" w:after="312" w:line="288" w:lineRule="auto"/>
        <w:jc w:val="center"/>
        <w:rPr>
          <w:sz w:val="24"/>
          <w:szCs w:val="24"/>
        </w:rPr>
      </w:pPr>
      <w:r w:rsidRPr="00527154">
        <w:rPr>
          <w:color w:val="000000"/>
          <w:kern w:val="0"/>
          <w:sz w:val="24"/>
          <w:szCs w:val="24"/>
        </w:rPr>
        <w:t xml:space="preserve">§7  </w:t>
      </w:r>
      <w:r w:rsidRPr="00527154">
        <w:rPr>
          <w:rFonts w:hint="eastAsia"/>
          <w:sz w:val="24"/>
          <w:szCs w:val="24"/>
        </w:rPr>
        <w:t>基金管理人运用固有资金投资本基金情况</w:t>
      </w:r>
    </w:p>
    <w:p w:rsidR="00E65FDB" w:rsidRPr="00527154" w:rsidRDefault="00E65FDB" w:rsidP="00E65FDB">
      <w:pPr>
        <w:spacing w:line="288" w:lineRule="auto"/>
        <w:jc w:val="left"/>
        <w:rPr>
          <w:sz w:val="24"/>
          <w:szCs w:val="24"/>
        </w:rPr>
      </w:pPr>
      <w:r w:rsidRPr="00527154">
        <w:rPr>
          <w:b/>
          <w:sz w:val="24"/>
        </w:rPr>
        <w:t xml:space="preserve">7.1 </w:t>
      </w:r>
      <w:r w:rsidRPr="00527154">
        <w:rPr>
          <w:rFonts w:hint="eastAsia"/>
          <w:b/>
          <w:sz w:val="24"/>
        </w:rPr>
        <w:t>基金管理人持有本基金份额变动情况</w:t>
      </w:r>
    </w:p>
    <w:p w:rsidR="00E65FDB" w:rsidRPr="00527154" w:rsidRDefault="00E65FDB" w:rsidP="00E65FDB">
      <w:pPr>
        <w:autoSpaceDE w:val="0"/>
        <w:autoSpaceDN w:val="0"/>
        <w:adjustRightInd w:val="0"/>
        <w:spacing w:before="29" w:line="288" w:lineRule="auto"/>
        <w:jc w:val="left"/>
        <w:rPr>
          <w:color w:val="000000"/>
          <w:sz w:val="24"/>
        </w:rPr>
      </w:pPr>
      <w:r w:rsidRPr="00527154">
        <w:rPr>
          <w:rFonts w:hint="eastAsia"/>
          <w:color w:val="000000"/>
          <w:sz w:val="24"/>
        </w:rPr>
        <w:t>本报告期内未发生基金管理人运用固有资金投资本基金的情况。</w:t>
      </w:r>
    </w:p>
    <w:p w:rsidR="00E65FDB" w:rsidRPr="00527154" w:rsidRDefault="00E65FDB" w:rsidP="00E65FDB">
      <w:pPr>
        <w:autoSpaceDE w:val="0"/>
        <w:autoSpaceDN w:val="0"/>
        <w:adjustRightInd w:val="0"/>
        <w:spacing w:before="29" w:line="288" w:lineRule="auto"/>
        <w:jc w:val="left"/>
        <w:rPr>
          <w:color w:val="000000"/>
          <w:sz w:val="24"/>
        </w:rPr>
      </w:pPr>
    </w:p>
    <w:p w:rsidR="00E65FDB" w:rsidRPr="00527154" w:rsidRDefault="00E65FDB" w:rsidP="00E65FDB">
      <w:pPr>
        <w:spacing w:line="288" w:lineRule="auto"/>
        <w:jc w:val="left"/>
        <w:rPr>
          <w:b/>
          <w:sz w:val="24"/>
        </w:rPr>
      </w:pPr>
      <w:r w:rsidRPr="00527154">
        <w:rPr>
          <w:b/>
          <w:sz w:val="24"/>
        </w:rPr>
        <w:t xml:space="preserve">7.2 </w:t>
      </w:r>
      <w:r w:rsidRPr="00527154">
        <w:rPr>
          <w:rFonts w:hint="eastAsia"/>
          <w:b/>
          <w:sz w:val="24"/>
        </w:rPr>
        <w:t>基金管理人运用固有资金投资本基金交易明细</w:t>
      </w:r>
    </w:p>
    <w:p w:rsidR="00E65FDB" w:rsidRPr="00414345" w:rsidRDefault="00E65FDB" w:rsidP="00E65FDB">
      <w:pPr>
        <w:autoSpaceDE w:val="0"/>
        <w:autoSpaceDN w:val="0"/>
        <w:adjustRightInd w:val="0"/>
        <w:spacing w:before="29" w:line="288" w:lineRule="auto"/>
        <w:jc w:val="left"/>
        <w:rPr>
          <w:color w:val="000000"/>
          <w:sz w:val="24"/>
        </w:rPr>
      </w:pPr>
      <w:r w:rsidRPr="00527154">
        <w:rPr>
          <w:rFonts w:hint="eastAsia"/>
          <w:color w:val="000000"/>
          <w:sz w:val="24"/>
        </w:rPr>
        <w:t>本基金管理人本报告期内未进行本基金的申购、赎回、红利再投等。</w:t>
      </w:r>
    </w:p>
    <w:p w:rsidR="00E65FDB" w:rsidRPr="00E65FDB" w:rsidRDefault="00E65FDB" w:rsidP="00C15CAC">
      <w:pPr>
        <w:autoSpaceDE w:val="0"/>
        <w:autoSpaceDN w:val="0"/>
        <w:adjustRightInd w:val="0"/>
        <w:spacing w:before="29" w:line="288" w:lineRule="auto"/>
        <w:jc w:val="left"/>
        <w:rPr>
          <w:color w:val="000000"/>
          <w:sz w:val="24"/>
          <w:szCs w:val="24"/>
        </w:rPr>
      </w:pPr>
    </w:p>
    <w:p w:rsidR="004061AC" w:rsidRPr="00414345" w:rsidRDefault="004061AC" w:rsidP="0084139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E65FDB">
        <w:rPr>
          <w:color w:val="000000"/>
          <w:kern w:val="0"/>
          <w:sz w:val="24"/>
          <w:szCs w:val="24"/>
        </w:rPr>
        <w:t>8</w:t>
      </w:r>
      <w:r w:rsidR="00E65FDB"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鉴于交银施罗德策略回报灵活配置混合型证券投资基金的业绩比较基准的指数停止计算编制，本基金管理人根据基金合同的相关约定，经与基金托管人协商一致，并报中国证监会备案，决定自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日起将交银施罗德策略回报灵活配置混合型证券投资基金的业绩比较基准由原</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，并相应修改基金合同的有关内容。详情请见本基金管理人于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84139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E65FDB">
        <w:rPr>
          <w:color w:val="000000"/>
          <w:kern w:val="0"/>
          <w:sz w:val="24"/>
          <w:szCs w:val="24"/>
        </w:rPr>
        <w:t>9</w:t>
      </w:r>
      <w:r w:rsidR="00E65FDB" w:rsidRPr="00414345">
        <w:rPr>
          <w:color w:val="000000"/>
          <w:kern w:val="0"/>
          <w:sz w:val="24"/>
          <w:szCs w:val="24"/>
        </w:rPr>
        <w:t xml:space="preserve"> </w:t>
      </w:r>
      <w:r w:rsidRPr="00414345">
        <w:rPr>
          <w:color w:val="000000"/>
          <w:kern w:val="0"/>
          <w:sz w:val="24"/>
          <w:szCs w:val="24"/>
        </w:rPr>
        <w:t>备查文件目录</w:t>
      </w:r>
    </w:p>
    <w:p w:rsidR="004061AC" w:rsidRPr="00414345" w:rsidRDefault="00E65FDB"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3D726A" w:rsidRDefault="00342D2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、中国证监会批准交银施罗德荣安保本混合型证券投资基金募集的文件；</w:t>
      </w:r>
    </w:p>
    <w:p w:rsidR="003D726A" w:rsidRDefault="00342D2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、《交银施罗德策略回报灵活配置混合型证券投资基金基金合同》；</w:t>
      </w:r>
    </w:p>
    <w:p w:rsidR="003D726A" w:rsidRDefault="00342D2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、《交银施罗德策略回报灵活配置混合型证券投资基金招募说明书》；</w:t>
      </w:r>
    </w:p>
    <w:p w:rsidR="003D726A" w:rsidRDefault="00342D2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、《交银施罗德策略回报灵活配置混合型证券投资基金托管协议》；</w:t>
      </w:r>
    </w:p>
    <w:p w:rsidR="003D726A" w:rsidRDefault="00342D2F">
      <w:pPr>
        <w:spacing w:before="29" w:line="288" w:lineRule="auto"/>
        <w:ind w:firstLineChars="200" w:firstLine="480"/>
        <w:rPr>
          <w:color w:val="000000"/>
          <w:sz w:val="24"/>
          <w:szCs w:val="24"/>
        </w:rPr>
      </w:pPr>
      <w:r>
        <w:rPr>
          <w:color w:val="000000"/>
          <w:sz w:val="24"/>
          <w:szCs w:val="24"/>
        </w:rPr>
        <w:t>5</w:t>
      </w:r>
      <w:r>
        <w:rPr>
          <w:color w:val="000000"/>
          <w:sz w:val="24"/>
          <w:szCs w:val="24"/>
        </w:rPr>
        <w:t>、《交银施罗德荣安保本混合型证券投资基金基金合同》；</w:t>
      </w:r>
    </w:p>
    <w:p w:rsidR="003D726A" w:rsidRDefault="00342D2F">
      <w:pPr>
        <w:spacing w:before="29" w:line="288" w:lineRule="auto"/>
        <w:ind w:firstLineChars="200" w:firstLine="480"/>
        <w:rPr>
          <w:color w:val="000000"/>
          <w:sz w:val="24"/>
          <w:szCs w:val="24"/>
        </w:rPr>
      </w:pPr>
      <w:r>
        <w:rPr>
          <w:color w:val="000000"/>
          <w:sz w:val="24"/>
          <w:szCs w:val="24"/>
        </w:rPr>
        <w:t>6</w:t>
      </w:r>
      <w:r>
        <w:rPr>
          <w:color w:val="000000"/>
          <w:sz w:val="24"/>
          <w:szCs w:val="24"/>
        </w:rPr>
        <w:t>、《交银施罗德荣安保本混合型证券投资基金招募说明书》；</w:t>
      </w:r>
    </w:p>
    <w:p w:rsidR="003D726A" w:rsidRDefault="00342D2F">
      <w:pPr>
        <w:spacing w:before="29" w:line="288" w:lineRule="auto"/>
        <w:ind w:firstLineChars="200" w:firstLine="480"/>
        <w:rPr>
          <w:color w:val="000000"/>
          <w:sz w:val="24"/>
          <w:szCs w:val="24"/>
        </w:rPr>
      </w:pPr>
      <w:r>
        <w:rPr>
          <w:color w:val="000000"/>
          <w:sz w:val="24"/>
          <w:szCs w:val="24"/>
        </w:rPr>
        <w:t>7</w:t>
      </w:r>
      <w:r>
        <w:rPr>
          <w:color w:val="000000"/>
          <w:sz w:val="24"/>
          <w:szCs w:val="24"/>
        </w:rPr>
        <w:t>、《交银施罗德荣安保本混合型证券投资基金托管协议》；</w:t>
      </w:r>
    </w:p>
    <w:p w:rsidR="003D726A" w:rsidRDefault="00342D2F">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、《交银施罗德荣安保本混合型证券投资基金保证合同》；</w:t>
      </w:r>
      <w:r>
        <w:rPr>
          <w:color w:val="000000"/>
          <w:sz w:val="24"/>
          <w:szCs w:val="24"/>
        </w:rPr>
        <w:t xml:space="preserve"> </w:t>
      </w:r>
    </w:p>
    <w:p w:rsidR="003D726A" w:rsidRDefault="00342D2F">
      <w:pPr>
        <w:spacing w:before="29" w:line="288" w:lineRule="auto"/>
        <w:ind w:firstLineChars="200" w:firstLine="480"/>
        <w:rPr>
          <w:color w:val="000000"/>
          <w:sz w:val="24"/>
          <w:szCs w:val="24"/>
        </w:rPr>
      </w:pPr>
      <w:r>
        <w:rPr>
          <w:color w:val="000000"/>
          <w:sz w:val="24"/>
          <w:szCs w:val="24"/>
        </w:rPr>
        <w:t>9</w:t>
      </w:r>
      <w:r>
        <w:rPr>
          <w:color w:val="000000"/>
          <w:sz w:val="24"/>
          <w:szCs w:val="24"/>
        </w:rPr>
        <w:t>、基金管理人业务资格批件、营业执照；</w:t>
      </w:r>
    </w:p>
    <w:p w:rsidR="003D726A" w:rsidRDefault="00342D2F">
      <w:pPr>
        <w:spacing w:before="29" w:line="288" w:lineRule="auto"/>
        <w:ind w:firstLineChars="200" w:firstLine="480"/>
        <w:rPr>
          <w:color w:val="000000"/>
          <w:sz w:val="24"/>
          <w:szCs w:val="24"/>
        </w:rPr>
      </w:pPr>
      <w:r>
        <w:rPr>
          <w:color w:val="000000"/>
          <w:sz w:val="24"/>
          <w:szCs w:val="24"/>
        </w:rPr>
        <w:t>10</w:t>
      </w:r>
      <w:r>
        <w:rPr>
          <w:color w:val="000000"/>
          <w:sz w:val="24"/>
          <w:szCs w:val="24"/>
        </w:rPr>
        <w:t>、基金托管人业务资格批件、营业执照；</w:t>
      </w:r>
    </w:p>
    <w:p w:rsidR="003D726A" w:rsidRDefault="00342D2F">
      <w:pPr>
        <w:spacing w:before="29" w:line="288" w:lineRule="auto"/>
        <w:ind w:firstLineChars="200" w:firstLine="480"/>
        <w:rPr>
          <w:color w:val="000000"/>
          <w:sz w:val="24"/>
          <w:szCs w:val="24"/>
        </w:rPr>
      </w:pPr>
      <w:r>
        <w:rPr>
          <w:color w:val="000000"/>
          <w:sz w:val="24"/>
          <w:szCs w:val="24"/>
        </w:rPr>
        <w:t>11</w:t>
      </w:r>
      <w:r>
        <w:rPr>
          <w:color w:val="000000"/>
          <w:sz w:val="24"/>
          <w:szCs w:val="24"/>
        </w:rPr>
        <w:t>、关于申请募集交银施罗德荣安保本混合型证券投资基金之法律意见书；</w:t>
      </w:r>
    </w:p>
    <w:p w:rsidR="003D726A" w:rsidRDefault="00342D2F">
      <w:pPr>
        <w:spacing w:before="29" w:line="288" w:lineRule="auto"/>
        <w:ind w:firstLineChars="200" w:firstLine="480"/>
        <w:rPr>
          <w:color w:val="000000"/>
          <w:sz w:val="24"/>
          <w:szCs w:val="24"/>
        </w:rPr>
      </w:pPr>
      <w:r>
        <w:rPr>
          <w:color w:val="000000"/>
          <w:sz w:val="24"/>
          <w:szCs w:val="24"/>
        </w:rPr>
        <w:t>12</w:t>
      </w:r>
      <w:r>
        <w:rPr>
          <w:color w:val="000000"/>
          <w:sz w:val="24"/>
          <w:szCs w:val="24"/>
        </w:rPr>
        <w:t>、关于修改《交银施罗德荣安保本混合型证券投资基金基金合同》的法律意见；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、报告期内交银施罗德策略回报灵活配置混合型证券投资基金在指定报刊上各项公告的原稿。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E65FDB"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E65FDB"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3D726A" w:rsidRDefault="00342D2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5B0" w:rsidRDefault="002555B0" w:rsidP="00876D65">
      <w:r>
        <w:separator/>
      </w:r>
    </w:p>
  </w:endnote>
  <w:endnote w:type="continuationSeparator" w:id="0">
    <w:p w:rsidR="002555B0" w:rsidRDefault="002555B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3D726A">
      <w:rPr>
        <w:kern w:val="0"/>
        <w:szCs w:val="21"/>
      </w:rPr>
      <w:fldChar w:fldCharType="begin"/>
    </w:r>
    <w:r>
      <w:rPr>
        <w:kern w:val="0"/>
        <w:szCs w:val="21"/>
      </w:rPr>
      <w:instrText xml:space="preserve"> PAGE </w:instrText>
    </w:r>
    <w:r w:rsidR="003D726A">
      <w:rPr>
        <w:kern w:val="0"/>
        <w:szCs w:val="21"/>
      </w:rPr>
      <w:fldChar w:fldCharType="separate"/>
    </w:r>
    <w:r w:rsidR="00FF2762">
      <w:rPr>
        <w:noProof/>
        <w:kern w:val="0"/>
        <w:szCs w:val="21"/>
      </w:rPr>
      <w:t>6</w:t>
    </w:r>
    <w:r w:rsidR="003D726A">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3D726A">
      <w:rPr>
        <w:kern w:val="0"/>
        <w:szCs w:val="21"/>
      </w:rPr>
      <w:fldChar w:fldCharType="begin"/>
    </w:r>
    <w:r>
      <w:rPr>
        <w:kern w:val="0"/>
        <w:szCs w:val="21"/>
      </w:rPr>
      <w:instrText xml:space="preserve"> NUMPAGES </w:instrText>
    </w:r>
    <w:r w:rsidR="003D726A">
      <w:rPr>
        <w:kern w:val="0"/>
        <w:szCs w:val="21"/>
      </w:rPr>
      <w:fldChar w:fldCharType="separate"/>
    </w:r>
    <w:r w:rsidR="00FF2762">
      <w:rPr>
        <w:noProof/>
        <w:kern w:val="0"/>
        <w:szCs w:val="21"/>
      </w:rPr>
      <w:t>13</w:t>
    </w:r>
    <w:r w:rsidR="003D726A">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5B0" w:rsidRDefault="002555B0" w:rsidP="00876D65">
      <w:r>
        <w:separator/>
      </w:r>
    </w:p>
  </w:footnote>
  <w:footnote w:type="continuationSeparator" w:id="0">
    <w:p w:rsidR="002555B0" w:rsidRDefault="002555B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215E"/>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555B0"/>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2D2F"/>
    <w:rsid w:val="003470E2"/>
    <w:rsid w:val="0035076C"/>
    <w:rsid w:val="00352719"/>
    <w:rsid w:val="0035383E"/>
    <w:rsid w:val="00355364"/>
    <w:rsid w:val="00364CCB"/>
    <w:rsid w:val="00365798"/>
    <w:rsid w:val="0039085F"/>
    <w:rsid w:val="00394069"/>
    <w:rsid w:val="00396809"/>
    <w:rsid w:val="003A6061"/>
    <w:rsid w:val="003B3494"/>
    <w:rsid w:val="003B6FBC"/>
    <w:rsid w:val="003D726A"/>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27154"/>
    <w:rsid w:val="00530ABE"/>
    <w:rsid w:val="00531BA5"/>
    <w:rsid w:val="00531F10"/>
    <w:rsid w:val="0053263C"/>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D6D9C"/>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2C25"/>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286"/>
    <w:rsid w:val="00832A00"/>
    <w:rsid w:val="00837845"/>
    <w:rsid w:val="0084139E"/>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941AA"/>
    <w:rsid w:val="008A21B2"/>
    <w:rsid w:val="008A3DAA"/>
    <w:rsid w:val="008A5B20"/>
    <w:rsid w:val="008B1A44"/>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97DDC"/>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65FDB"/>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1744"/>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2762"/>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791CF5D-0792-47AA-97A9-7C8F97C0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C327C-B786-4827-AB51-404D4C30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13</Pages>
  <Words>1209</Words>
  <Characters>6897</Characters>
  <Application>Microsoft Office Word</Application>
  <DocSecurity>0</DocSecurity>
  <Lines>57</Lines>
  <Paragraphs>16</Paragraphs>
  <ScaleCrop>false</ScaleCrop>
  <Company/>
  <LinksUpToDate>false</LinksUpToDate>
  <CharactersWithSpaces>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571</cp:revision>
  <dcterms:created xsi:type="dcterms:W3CDTF">2012-10-16T06:07:00Z</dcterms:created>
  <dcterms:modified xsi:type="dcterms:W3CDTF">2015-10-22T09:51:00Z</dcterms:modified>
</cp:coreProperties>
</file>