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84349" w:rsidRDefault="00F035B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B84349" w:rsidRDefault="00F035B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B84349" w:rsidRDefault="00F035B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B84349" w:rsidRDefault="00F035B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w:t>
      </w:r>
      <w:r>
        <w:rPr>
          <w:color w:val="000000"/>
          <w:sz w:val="24"/>
          <w:szCs w:val="24"/>
        </w:rPr>
        <w:t>说明书。</w:t>
      </w:r>
    </w:p>
    <w:p w:rsidR="00B84349" w:rsidRDefault="00F035B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3,164,513,254.20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035BE" w:rsidRPr="00414345" w:rsidTr="00F035B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035BE" w:rsidRPr="00414345" w:rsidTr="00F035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-163,744,152.32</w:t>
            </w:r>
          </w:p>
        </w:tc>
      </w:tr>
      <w:tr w:rsidR="00F035BE" w:rsidRPr="00414345" w:rsidTr="00F035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-155,672,215.97</w:t>
            </w:r>
          </w:p>
        </w:tc>
      </w:tr>
      <w:tr w:rsidR="00F035BE" w:rsidRPr="00414345" w:rsidTr="00F035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-0.0468</w:t>
            </w:r>
          </w:p>
        </w:tc>
      </w:tr>
      <w:tr w:rsidR="00F035BE" w:rsidRPr="00414345" w:rsidTr="00F035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2,935,906,137.60</w:t>
            </w:r>
          </w:p>
        </w:tc>
      </w:tr>
      <w:tr w:rsidR="00F035BE" w:rsidRPr="00414345" w:rsidTr="00F035B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0.928</w:t>
            </w:r>
          </w:p>
        </w:tc>
      </w:tr>
    </w:tbl>
    <w:p w:rsidR="00B84349" w:rsidRDefault="00F035B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84349">
        <w:trPr>
          <w:jc w:val="center"/>
        </w:trPr>
        <w:tc>
          <w:tcPr>
            <w:tcW w:w="1701" w:type="dxa"/>
            <w:vAlign w:val="center"/>
          </w:tcPr>
          <w:p w:rsidR="00B84349" w:rsidRDefault="00F035BE">
            <w:pPr>
              <w:jc w:val="left"/>
            </w:pPr>
            <w:r>
              <w:rPr>
                <w:color w:val="000000"/>
                <w:sz w:val="24"/>
                <w:szCs w:val="24"/>
              </w:rPr>
              <w:t>过去三个月</w:t>
            </w:r>
          </w:p>
        </w:tc>
        <w:tc>
          <w:tcPr>
            <w:tcW w:w="1045" w:type="dxa"/>
            <w:vAlign w:val="center"/>
          </w:tcPr>
          <w:p w:rsidR="00B84349" w:rsidRDefault="00F035BE">
            <w:pPr>
              <w:jc w:val="center"/>
            </w:pPr>
            <w:r>
              <w:rPr>
                <w:color w:val="000000"/>
                <w:sz w:val="24"/>
                <w:szCs w:val="24"/>
              </w:rPr>
              <w:t>-4.43%</w:t>
            </w:r>
          </w:p>
        </w:tc>
        <w:tc>
          <w:tcPr>
            <w:tcW w:w="1344" w:type="dxa"/>
            <w:vAlign w:val="center"/>
          </w:tcPr>
          <w:p w:rsidR="00B84349" w:rsidRDefault="00F035BE">
            <w:pPr>
              <w:jc w:val="center"/>
            </w:pPr>
            <w:r>
              <w:rPr>
                <w:color w:val="000000"/>
                <w:sz w:val="24"/>
                <w:szCs w:val="24"/>
              </w:rPr>
              <w:t>2.08%</w:t>
            </w:r>
          </w:p>
        </w:tc>
        <w:tc>
          <w:tcPr>
            <w:tcW w:w="1194" w:type="dxa"/>
            <w:vAlign w:val="center"/>
          </w:tcPr>
          <w:p w:rsidR="00B84349" w:rsidRDefault="00F035BE">
            <w:pPr>
              <w:jc w:val="center"/>
            </w:pPr>
            <w:r>
              <w:rPr>
                <w:color w:val="000000"/>
                <w:sz w:val="24"/>
                <w:szCs w:val="24"/>
              </w:rPr>
              <w:t>-16.84%</w:t>
            </w:r>
          </w:p>
        </w:tc>
        <w:tc>
          <w:tcPr>
            <w:tcW w:w="1492" w:type="dxa"/>
            <w:vAlign w:val="center"/>
          </w:tcPr>
          <w:p w:rsidR="00B84349" w:rsidRDefault="00F035BE">
            <w:pPr>
              <w:jc w:val="center"/>
            </w:pPr>
            <w:r>
              <w:rPr>
                <w:color w:val="000000"/>
                <w:sz w:val="24"/>
                <w:szCs w:val="24"/>
              </w:rPr>
              <w:t>2.01%</w:t>
            </w:r>
          </w:p>
        </w:tc>
        <w:tc>
          <w:tcPr>
            <w:tcW w:w="1194" w:type="dxa"/>
            <w:vAlign w:val="center"/>
          </w:tcPr>
          <w:p w:rsidR="00B84349" w:rsidRDefault="00F035BE">
            <w:pPr>
              <w:jc w:val="center"/>
            </w:pPr>
            <w:r>
              <w:rPr>
                <w:color w:val="000000"/>
                <w:sz w:val="24"/>
                <w:szCs w:val="24"/>
              </w:rPr>
              <w:t>12.41%</w:t>
            </w:r>
          </w:p>
        </w:tc>
        <w:tc>
          <w:tcPr>
            <w:tcW w:w="898" w:type="dxa"/>
            <w:vAlign w:val="center"/>
          </w:tcPr>
          <w:p w:rsidR="00B84349" w:rsidRDefault="00F035BE">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10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84349">
        <w:trPr>
          <w:jc w:val="center"/>
        </w:trPr>
        <w:tc>
          <w:tcPr>
            <w:tcW w:w="846" w:type="dxa"/>
            <w:vAlign w:val="center"/>
          </w:tcPr>
          <w:p w:rsidR="00B84349" w:rsidRDefault="00F035BE">
            <w:pPr>
              <w:jc w:val="center"/>
            </w:pPr>
            <w:r>
              <w:rPr>
                <w:color w:val="000000"/>
                <w:sz w:val="24"/>
                <w:szCs w:val="24"/>
              </w:rPr>
              <w:t>沈楠</w:t>
            </w:r>
          </w:p>
        </w:tc>
        <w:tc>
          <w:tcPr>
            <w:tcW w:w="845" w:type="dxa"/>
            <w:vAlign w:val="center"/>
          </w:tcPr>
          <w:p w:rsidR="00B84349" w:rsidRDefault="00F035BE">
            <w:pPr>
              <w:jc w:val="center"/>
            </w:pPr>
            <w:r>
              <w:rPr>
                <w:color w:val="000000"/>
                <w:sz w:val="24"/>
                <w:szCs w:val="24"/>
              </w:rPr>
              <w:t>交银主题优选混合、交银国企改革灵活配置混合的基金经理</w:t>
            </w:r>
          </w:p>
        </w:tc>
        <w:tc>
          <w:tcPr>
            <w:tcW w:w="1549" w:type="dxa"/>
            <w:vAlign w:val="center"/>
          </w:tcPr>
          <w:p w:rsidR="00B84349" w:rsidRDefault="00F035BE">
            <w:pPr>
              <w:jc w:val="center"/>
            </w:pPr>
            <w:r>
              <w:rPr>
                <w:color w:val="000000"/>
                <w:sz w:val="24"/>
                <w:szCs w:val="24"/>
              </w:rPr>
              <w:t>2015-06-10</w:t>
            </w:r>
          </w:p>
        </w:tc>
        <w:tc>
          <w:tcPr>
            <w:tcW w:w="1548" w:type="dxa"/>
            <w:vAlign w:val="center"/>
          </w:tcPr>
          <w:p w:rsidR="00B84349" w:rsidRDefault="00F035BE">
            <w:pPr>
              <w:jc w:val="center"/>
            </w:pPr>
            <w:r>
              <w:rPr>
                <w:color w:val="000000"/>
                <w:sz w:val="24"/>
                <w:szCs w:val="24"/>
              </w:rPr>
              <w:t>-</w:t>
            </w:r>
          </w:p>
        </w:tc>
        <w:tc>
          <w:tcPr>
            <w:tcW w:w="1407" w:type="dxa"/>
            <w:vAlign w:val="center"/>
          </w:tcPr>
          <w:p w:rsidR="00B84349" w:rsidRDefault="00F035BE">
            <w:pPr>
              <w:jc w:val="center"/>
            </w:pPr>
            <w:r>
              <w:rPr>
                <w:color w:val="000000"/>
                <w:sz w:val="24"/>
                <w:szCs w:val="24"/>
              </w:rPr>
              <w:t>6</w:t>
            </w:r>
            <w:r>
              <w:rPr>
                <w:color w:val="000000"/>
                <w:sz w:val="24"/>
                <w:szCs w:val="24"/>
              </w:rPr>
              <w:t>年</w:t>
            </w:r>
          </w:p>
        </w:tc>
        <w:tc>
          <w:tcPr>
            <w:tcW w:w="2673" w:type="dxa"/>
            <w:vAlign w:val="center"/>
          </w:tcPr>
          <w:p w:rsidR="00B84349" w:rsidRDefault="00F035BE">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84349" w:rsidRDefault="00F035B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84349" w:rsidRDefault="00F035B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84349" w:rsidRDefault="00F035B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84349" w:rsidRDefault="00F035BE">
      <w:pPr>
        <w:spacing w:before="29" w:line="288" w:lineRule="auto"/>
        <w:ind w:firstLineChars="200" w:firstLine="480"/>
        <w:rPr>
          <w:color w:val="000000"/>
          <w:sz w:val="24"/>
          <w:szCs w:val="24"/>
        </w:rPr>
      </w:pPr>
      <w:r>
        <w:rPr>
          <w:color w:val="000000"/>
          <w:sz w:val="24"/>
          <w:szCs w:val="24"/>
        </w:rPr>
        <w:t>三季度，经济内需延续疲软，通胀压力平稳，货币政策则进一步趋向宽松。随着监管部门对于过度杠杆的监管加强，</w:t>
      </w:r>
      <w:r>
        <w:rPr>
          <w:color w:val="000000"/>
          <w:sz w:val="24"/>
          <w:szCs w:val="24"/>
        </w:rPr>
        <w:t>A</w:t>
      </w:r>
      <w:r>
        <w:rPr>
          <w:color w:val="000000"/>
          <w:sz w:val="24"/>
          <w:szCs w:val="24"/>
        </w:rPr>
        <w:t>股市场出现了历史罕见的快速调整，绝大部分上市公司股价难以幸免。本季度经历大幅下跌后，部分个股已经逐步回归前两年的估值合理水平，未来将逐步具备投资价值。</w:t>
      </w:r>
    </w:p>
    <w:p w:rsidR="00B84349" w:rsidRDefault="00F035BE">
      <w:pPr>
        <w:spacing w:before="29" w:line="288" w:lineRule="auto"/>
        <w:ind w:firstLineChars="200" w:firstLine="480"/>
        <w:rPr>
          <w:color w:val="000000"/>
          <w:sz w:val="24"/>
          <w:szCs w:val="24"/>
        </w:rPr>
      </w:pPr>
      <w:r>
        <w:rPr>
          <w:color w:val="000000"/>
          <w:sz w:val="24"/>
          <w:szCs w:val="24"/>
        </w:rPr>
        <w:t>报告期内，本基金开放了申购、赎回等业务但仍处于建仓期中，因此在结合后市判断时采取了相对保守的建仓策略，取得了一定成效。</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展望四季度，我们认为国内产业创新方向不变，国企改革顶层设计方案推出后，各地各企业集团的改革方案有望稳步推进，其中蕴含着大量投资机会。我们对接下来整体</w:t>
      </w:r>
      <w:r w:rsidRPr="00414345">
        <w:rPr>
          <w:color w:val="000000"/>
          <w:sz w:val="24"/>
          <w:szCs w:val="24"/>
        </w:rPr>
        <w:t>A</w:t>
      </w:r>
      <w:r w:rsidRPr="00414345">
        <w:rPr>
          <w:color w:val="000000"/>
          <w:sz w:val="24"/>
          <w:szCs w:val="24"/>
        </w:rPr>
        <w:t>股市场保持谨慎乐观的看法。除持有少部分新兴产业中具备竞争壁垒和优势的细分龙头企业外，本基金将主要投资于各地及央企中涉及国企改革概念的上市公司，通过调研拜访，努力为投资人寻找能够切实分享改革红利的企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0.928</w:t>
      </w:r>
      <w:r w:rsidRPr="00414345">
        <w:rPr>
          <w:color w:val="000000"/>
          <w:sz w:val="24"/>
          <w:szCs w:val="24"/>
        </w:rPr>
        <w:t>元，本报告期份额净值增长率为</w:t>
      </w:r>
      <w:r w:rsidRPr="00414345">
        <w:rPr>
          <w:color w:val="000000"/>
          <w:sz w:val="24"/>
          <w:szCs w:val="24"/>
        </w:rPr>
        <w:t>-4.43%</w:t>
      </w:r>
      <w:r w:rsidRPr="00414345">
        <w:rPr>
          <w:color w:val="000000"/>
          <w:sz w:val="24"/>
          <w:szCs w:val="24"/>
        </w:rPr>
        <w:t>，同期业绩比较基准增长率为</w:t>
      </w:r>
      <w:r w:rsidRPr="00414345">
        <w:rPr>
          <w:color w:val="000000"/>
          <w:sz w:val="24"/>
          <w:szCs w:val="24"/>
        </w:rPr>
        <w:t>-16.84%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F035BE">
        <w:rPr>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1,505,089,900.00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50.13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1,505,089,900.00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50.13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450,135,000.00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14.99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450,135,000.00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14.99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500,981,711.48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16.69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540,964,752.57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18.02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5,051,678.11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3,002,223,042.16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37,479,847.08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808,840,001.15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41,600,772.68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82,498,801.45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136,302,872.52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9,391,663.45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194,535,198.34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44,917,692.00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35,415,240.72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82,653,447.48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13,106,344.65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18,348,018.48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1,505,089,900.00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51.26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84349">
        <w:trPr>
          <w:jc w:val="center"/>
        </w:trPr>
        <w:tc>
          <w:tcPr>
            <w:tcW w:w="855" w:type="dxa"/>
            <w:vAlign w:val="center"/>
          </w:tcPr>
          <w:p w:rsidR="00B84349" w:rsidRDefault="00F035BE">
            <w:pPr>
              <w:jc w:val="center"/>
            </w:pPr>
            <w:r>
              <w:rPr>
                <w:color w:val="000000"/>
                <w:sz w:val="24"/>
                <w:szCs w:val="24"/>
              </w:rPr>
              <w:t>1</w:t>
            </w:r>
          </w:p>
        </w:tc>
        <w:tc>
          <w:tcPr>
            <w:tcW w:w="1334" w:type="dxa"/>
            <w:vAlign w:val="center"/>
          </w:tcPr>
          <w:p w:rsidR="00B84349" w:rsidRDefault="00F035BE">
            <w:pPr>
              <w:jc w:val="center"/>
            </w:pPr>
            <w:r>
              <w:rPr>
                <w:color w:val="000000"/>
                <w:sz w:val="24"/>
                <w:szCs w:val="24"/>
              </w:rPr>
              <w:t>600826</w:t>
            </w:r>
          </w:p>
        </w:tc>
        <w:tc>
          <w:tcPr>
            <w:tcW w:w="1777" w:type="dxa"/>
            <w:vAlign w:val="center"/>
          </w:tcPr>
          <w:p w:rsidR="00B84349" w:rsidRDefault="00F035BE">
            <w:pPr>
              <w:jc w:val="center"/>
            </w:pPr>
            <w:r>
              <w:rPr>
                <w:color w:val="000000"/>
                <w:sz w:val="24"/>
                <w:szCs w:val="24"/>
              </w:rPr>
              <w:t>兰生股份</w:t>
            </w:r>
          </w:p>
        </w:tc>
        <w:tc>
          <w:tcPr>
            <w:tcW w:w="1334" w:type="dxa"/>
            <w:vAlign w:val="center"/>
          </w:tcPr>
          <w:p w:rsidR="00B84349" w:rsidRDefault="00F035BE">
            <w:pPr>
              <w:jc w:val="right"/>
            </w:pPr>
            <w:r>
              <w:rPr>
                <w:color w:val="000000"/>
                <w:sz w:val="24"/>
                <w:szCs w:val="24"/>
              </w:rPr>
              <w:t>2,320,229</w:t>
            </w:r>
          </w:p>
        </w:tc>
        <w:tc>
          <w:tcPr>
            <w:tcW w:w="1924" w:type="dxa"/>
            <w:vAlign w:val="center"/>
          </w:tcPr>
          <w:p w:rsidR="00B84349" w:rsidRDefault="00F035BE">
            <w:pPr>
              <w:jc w:val="right"/>
            </w:pPr>
            <w:r>
              <w:rPr>
                <w:color w:val="000000"/>
                <w:sz w:val="24"/>
                <w:szCs w:val="24"/>
              </w:rPr>
              <w:t>53,318,862.42</w:t>
            </w:r>
          </w:p>
        </w:tc>
        <w:tc>
          <w:tcPr>
            <w:tcW w:w="1644" w:type="dxa"/>
            <w:vAlign w:val="center"/>
          </w:tcPr>
          <w:p w:rsidR="00B84349" w:rsidRDefault="00F035BE">
            <w:pPr>
              <w:jc w:val="right"/>
            </w:pPr>
            <w:r>
              <w:rPr>
                <w:color w:val="000000"/>
                <w:sz w:val="24"/>
                <w:szCs w:val="24"/>
              </w:rPr>
              <w:t>1.82</w:t>
            </w:r>
          </w:p>
        </w:tc>
      </w:tr>
      <w:tr w:rsidR="00B84349">
        <w:trPr>
          <w:jc w:val="center"/>
        </w:trPr>
        <w:tc>
          <w:tcPr>
            <w:tcW w:w="855" w:type="dxa"/>
            <w:vAlign w:val="center"/>
          </w:tcPr>
          <w:p w:rsidR="00B84349" w:rsidRDefault="00F035BE">
            <w:pPr>
              <w:jc w:val="center"/>
            </w:pPr>
            <w:r>
              <w:rPr>
                <w:color w:val="000000"/>
                <w:sz w:val="24"/>
                <w:szCs w:val="24"/>
              </w:rPr>
              <w:t>2</w:t>
            </w:r>
          </w:p>
        </w:tc>
        <w:tc>
          <w:tcPr>
            <w:tcW w:w="1334" w:type="dxa"/>
            <w:vAlign w:val="center"/>
          </w:tcPr>
          <w:p w:rsidR="00B84349" w:rsidRDefault="00F035BE">
            <w:pPr>
              <w:jc w:val="center"/>
            </w:pPr>
            <w:r>
              <w:rPr>
                <w:color w:val="000000"/>
                <w:sz w:val="24"/>
                <w:szCs w:val="24"/>
              </w:rPr>
              <w:t>300212</w:t>
            </w:r>
          </w:p>
        </w:tc>
        <w:tc>
          <w:tcPr>
            <w:tcW w:w="1777" w:type="dxa"/>
            <w:vAlign w:val="center"/>
          </w:tcPr>
          <w:p w:rsidR="00B84349" w:rsidRDefault="00F035BE">
            <w:pPr>
              <w:jc w:val="center"/>
            </w:pPr>
            <w:r>
              <w:rPr>
                <w:color w:val="000000"/>
                <w:sz w:val="24"/>
                <w:szCs w:val="24"/>
              </w:rPr>
              <w:t>易华录</w:t>
            </w:r>
          </w:p>
        </w:tc>
        <w:tc>
          <w:tcPr>
            <w:tcW w:w="1334" w:type="dxa"/>
            <w:vAlign w:val="center"/>
          </w:tcPr>
          <w:p w:rsidR="00B84349" w:rsidRDefault="00F035BE">
            <w:pPr>
              <w:jc w:val="right"/>
            </w:pPr>
            <w:r>
              <w:rPr>
                <w:color w:val="000000"/>
                <w:sz w:val="24"/>
                <w:szCs w:val="24"/>
              </w:rPr>
              <w:t>1,513,360</w:t>
            </w:r>
          </w:p>
        </w:tc>
        <w:tc>
          <w:tcPr>
            <w:tcW w:w="1924" w:type="dxa"/>
            <w:vAlign w:val="center"/>
          </w:tcPr>
          <w:p w:rsidR="00B84349" w:rsidRDefault="00F035BE">
            <w:pPr>
              <w:jc w:val="right"/>
            </w:pPr>
            <w:r>
              <w:rPr>
                <w:color w:val="000000"/>
                <w:sz w:val="24"/>
                <w:szCs w:val="24"/>
              </w:rPr>
              <w:t>51,605,576.00</w:t>
            </w:r>
          </w:p>
        </w:tc>
        <w:tc>
          <w:tcPr>
            <w:tcW w:w="1644" w:type="dxa"/>
            <w:vAlign w:val="center"/>
          </w:tcPr>
          <w:p w:rsidR="00B84349" w:rsidRDefault="00F035BE">
            <w:pPr>
              <w:jc w:val="right"/>
            </w:pPr>
            <w:r>
              <w:rPr>
                <w:color w:val="000000"/>
                <w:sz w:val="24"/>
                <w:szCs w:val="24"/>
              </w:rPr>
              <w:t>1.76</w:t>
            </w:r>
          </w:p>
        </w:tc>
      </w:tr>
      <w:tr w:rsidR="00B84349">
        <w:trPr>
          <w:jc w:val="center"/>
        </w:trPr>
        <w:tc>
          <w:tcPr>
            <w:tcW w:w="855" w:type="dxa"/>
            <w:vAlign w:val="center"/>
          </w:tcPr>
          <w:p w:rsidR="00B84349" w:rsidRDefault="00F035BE">
            <w:pPr>
              <w:jc w:val="center"/>
            </w:pPr>
            <w:r>
              <w:rPr>
                <w:color w:val="000000"/>
                <w:sz w:val="24"/>
                <w:szCs w:val="24"/>
              </w:rPr>
              <w:t>3</w:t>
            </w:r>
          </w:p>
        </w:tc>
        <w:tc>
          <w:tcPr>
            <w:tcW w:w="1334" w:type="dxa"/>
            <w:vAlign w:val="center"/>
          </w:tcPr>
          <w:p w:rsidR="00B84349" w:rsidRDefault="00F035BE">
            <w:pPr>
              <w:jc w:val="center"/>
            </w:pPr>
            <w:r>
              <w:rPr>
                <w:color w:val="000000"/>
                <w:sz w:val="24"/>
                <w:szCs w:val="24"/>
              </w:rPr>
              <w:t>600446</w:t>
            </w:r>
          </w:p>
        </w:tc>
        <w:tc>
          <w:tcPr>
            <w:tcW w:w="1777" w:type="dxa"/>
            <w:vAlign w:val="center"/>
          </w:tcPr>
          <w:p w:rsidR="00B84349" w:rsidRDefault="00F035BE">
            <w:pPr>
              <w:jc w:val="center"/>
            </w:pPr>
            <w:r>
              <w:rPr>
                <w:color w:val="000000"/>
                <w:sz w:val="24"/>
                <w:szCs w:val="24"/>
              </w:rPr>
              <w:t>金证股份</w:t>
            </w:r>
          </w:p>
        </w:tc>
        <w:tc>
          <w:tcPr>
            <w:tcW w:w="1334" w:type="dxa"/>
            <w:vAlign w:val="center"/>
          </w:tcPr>
          <w:p w:rsidR="00B84349" w:rsidRDefault="00F035BE">
            <w:pPr>
              <w:jc w:val="right"/>
            </w:pPr>
            <w:r>
              <w:rPr>
                <w:color w:val="000000"/>
                <w:sz w:val="24"/>
                <w:szCs w:val="24"/>
              </w:rPr>
              <w:t>1,945,455</w:t>
            </w:r>
          </w:p>
        </w:tc>
        <w:tc>
          <w:tcPr>
            <w:tcW w:w="1924" w:type="dxa"/>
            <w:vAlign w:val="center"/>
          </w:tcPr>
          <w:p w:rsidR="00B84349" w:rsidRDefault="00F035BE">
            <w:pPr>
              <w:jc w:val="right"/>
            </w:pPr>
            <w:r>
              <w:rPr>
                <w:color w:val="000000"/>
                <w:sz w:val="24"/>
                <w:szCs w:val="24"/>
              </w:rPr>
              <w:t>49,434,011.55</w:t>
            </w:r>
          </w:p>
        </w:tc>
        <w:tc>
          <w:tcPr>
            <w:tcW w:w="1644" w:type="dxa"/>
            <w:vAlign w:val="center"/>
          </w:tcPr>
          <w:p w:rsidR="00B84349" w:rsidRDefault="00F035BE">
            <w:pPr>
              <w:jc w:val="right"/>
            </w:pPr>
            <w:r>
              <w:rPr>
                <w:color w:val="000000"/>
                <w:sz w:val="24"/>
                <w:szCs w:val="24"/>
              </w:rPr>
              <w:t>1.68</w:t>
            </w:r>
          </w:p>
        </w:tc>
      </w:tr>
      <w:tr w:rsidR="00B84349">
        <w:trPr>
          <w:jc w:val="center"/>
        </w:trPr>
        <w:tc>
          <w:tcPr>
            <w:tcW w:w="855" w:type="dxa"/>
            <w:vAlign w:val="center"/>
          </w:tcPr>
          <w:p w:rsidR="00B84349" w:rsidRDefault="00F035BE">
            <w:pPr>
              <w:jc w:val="center"/>
            </w:pPr>
            <w:r>
              <w:rPr>
                <w:color w:val="000000"/>
                <w:sz w:val="24"/>
                <w:szCs w:val="24"/>
              </w:rPr>
              <w:t>4</w:t>
            </w:r>
          </w:p>
        </w:tc>
        <w:tc>
          <w:tcPr>
            <w:tcW w:w="1334" w:type="dxa"/>
            <w:vAlign w:val="center"/>
          </w:tcPr>
          <w:p w:rsidR="00B84349" w:rsidRDefault="00F035BE">
            <w:pPr>
              <w:jc w:val="center"/>
            </w:pPr>
            <w:r>
              <w:rPr>
                <w:color w:val="000000"/>
                <w:sz w:val="24"/>
                <w:szCs w:val="24"/>
              </w:rPr>
              <w:t>000800</w:t>
            </w:r>
          </w:p>
        </w:tc>
        <w:tc>
          <w:tcPr>
            <w:tcW w:w="1777" w:type="dxa"/>
            <w:vAlign w:val="center"/>
          </w:tcPr>
          <w:p w:rsidR="00B84349" w:rsidRDefault="00F035BE">
            <w:pPr>
              <w:jc w:val="center"/>
            </w:pPr>
            <w:r>
              <w:rPr>
                <w:color w:val="000000"/>
                <w:sz w:val="24"/>
                <w:szCs w:val="24"/>
              </w:rPr>
              <w:t>一汽轿车</w:t>
            </w:r>
          </w:p>
        </w:tc>
        <w:tc>
          <w:tcPr>
            <w:tcW w:w="1334" w:type="dxa"/>
            <w:vAlign w:val="center"/>
          </w:tcPr>
          <w:p w:rsidR="00B84349" w:rsidRDefault="00F035BE">
            <w:pPr>
              <w:jc w:val="right"/>
            </w:pPr>
            <w:r>
              <w:rPr>
                <w:color w:val="000000"/>
                <w:sz w:val="24"/>
                <w:szCs w:val="24"/>
              </w:rPr>
              <w:t>3,088,066</w:t>
            </w:r>
          </w:p>
        </w:tc>
        <w:tc>
          <w:tcPr>
            <w:tcW w:w="1924" w:type="dxa"/>
            <w:vAlign w:val="center"/>
          </w:tcPr>
          <w:p w:rsidR="00B84349" w:rsidRDefault="00F035BE">
            <w:pPr>
              <w:jc w:val="right"/>
            </w:pPr>
            <w:r>
              <w:rPr>
                <w:color w:val="000000"/>
                <w:sz w:val="24"/>
                <w:szCs w:val="24"/>
              </w:rPr>
              <w:t>44,931,360.30</w:t>
            </w:r>
          </w:p>
        </w:tc>
        <w:tc>
          <w:tcPr>
            <w:tcW w:w="1644" w:type="dxa"/>
            <w:vAlign w:val="center"/>
          </w:tcPr>
          <w:p w:rsidR="00B84349" w:rsidRDefault="00F035BE">
            <w:pPr>
              <w:jc w:val="right"/>
            </w:pPr>
            <w:r>
              <w:rPr>
                <w:color w:val="000000"/>
                <w:sz w:val="24"/>
                <w:szCs w:val="24"/>
              </w:rPr>
              <w:t>1.53</w:t>
            </w:r>
          </w:p>
        </w:tc>
      </w:tr>
      <w:tr w:rsidR="00B84349">
        <w:trPr>
          <w:jc w:val="center"/>
        </w:trPr>
        <w:tc>
          <w:tcPr>
            <w:tcW w:w="855" w:type="dxa"/>
            <w:vAlign w:val="center"/>
          </w:tcPr>
          <w:p w:rsidR="00B84349" w:rsidRDefault="00F035BE">
            <w:pPr>
              <w:jc w:val="center"/>
            </w:pPr>
            <w:r>
              <w:rPr>
                <w:color w:val="000000"/>
                <w:sz w:val="24"/>
                <w:szCs w:val="24"/>
              </w:rPr>
              <w:t>5</w:t>
            </w:r>
          </w:p>
        </w:tc>
        <w:tc>
          <w:tcPr>
            <w:tcW w:w="1334" w:type="dxa"/>
            <w:vAlign w:val="center"/>
          </w:tcPr>
          <w:p w:rsidR="00B84349" w:rsidRDefault="00F035BE">
            <w:pPr>
              <w:jc w:val="center"/>
            </w:pPr>
            <w:r>
              <w:rPr>
                <w:color w:val="000000"/>
                <w:sz w:val="24"/>
                <w:szCs w:val="24"/>
              </w:rPr>
              <w:t>000530</w:t>
            </w:r>
          </w:p>
        </w:tc>
        <w:tc>
          <w:tcPr>
            <w:tcW w:w="1777" w:type="dxa"/>
            <w:vAlign w:val="center"/>
          </w:tcPr>
          <w:p w:rsidR="00B84349" w:rsidRDefault="00F035BE">
            <w:pPr>
              <w:jc w:val="center"/>
            </w:pPr>
            <w:r>
              <w:rPr>
                <w:color w:val="000000"/>
                <w:sz w:val="24"/>
                <w:szCs w:val="24"/>
              </w:rPr>
              <w:t>大冷股份</w:t>
            </w:r>
          </w:p>
        </w:tc>
        <w:tc>
          <w:tcPr>
            <w:tcW w:w="1334" w:type="dxa"/>
            <w:vAlign w:val="center"/>
          </w:tcPr>
          <w:p w:rsidR="00B84349" w:rsidRDefault="00F035BE">
            <w:pPr>
              <w:jc w:val="right"/>
            </w:pPr>
            <w:r>
              <w:rPr>
                <w:color w:val="000000"/>
                <w:sz w:val="24"/>
                <w:szCs w:val="24"/>
              </w:rPr>
              <w:t>3,174,350</w:t>
            </w:r>
          </w:p>
        </w:tc>
        <w:tc>
          <w:tcPr>
            <w:tcW w:w="1924" w:type="dxa"/>
            <w:vAlign w:val="center"/>
          </w:tcPr>
          <w:p w:rsidR="00B84349" w:rsidRDefault="00F035BE">
            <w:pPr>
              <w:jc w:val="right"/>
            </w:pPr>
            <w:r>
              <w:rPr>
                <w:color w:val="000000"/>
                <w:sz w:val="24"/>
                <w:szCs w:val="24"/>
              </w:rPr>
              <w:t>42,917,212.00</w:t>
            </w:r>
          </w:p>
        </w:tc>
        <w:tc>
          <w:tcPr>
            <w:tcW w:w="1644" w:type="dxa"/>
            <w:vAlign w:val="center"/>
          </w:tcPr>
          <w:p w:rsidR="00B84349" w:rsidRDefault="00F035BE">
            <w:pPr>
              <w:jc w:val="right"/>
            </w:pPr>
            <w:r>
              <w:rPr>
                <w:color w:val="000000"/>
                <w:sz w:val="24"/>
                <w:szCs w:val="24"/>
              </w:rPr>
              <w:t>1.46</w:t>
            </w:r>
          </w:p>
        </w:tc>
      </w:tr>
      <w:tr w:rsidR="00B84349">
        <w:trPr>
          <w:jc w:val="center"/>
        </w:trPr>
        <w:tc>
          <w:tcPr>
            <w:tcW w:w="855" w:type="dxa"/>
            <w:vAlign w:val="center"/>
          </w:tcPr>
          <w:p w:rsidR="00B84349" w:rsidRDefault="00F035BE">
            <w:pPr>
              <w:jc w:val="center"/>
            </w:pPr>
            <w:r>
              <w:rPr>
                <w:color w:val="000000"/>
                <w:sz w:val="24"/>
                <w:szCs w:val="24"/>
              </w:rPr>
              <w:t>6</w:t>
            </w:r>
          </w:p>
        </w:tc>
        <w:tc>
          <w:tcPr>
            <w:tcW w:w="1334" w:type="dxa"/>
            <w:vAlign w:val="center"/>
          </w:tcPr>
          <w:p w:rsidR="00B84349" w:rsidRDefault="00F035BE">
            <w:pPr>
              <w:jc w:val="center"/>
            </w:pPr>
            <w:r>
              <w:rPr>
                <w:color w:val="000000"/>
                <w:sz w:val="24"/>
                <w:szCs w:val="24"/>
              </w:rPr>
              <w:t>002390</w:t>
            </w:r>
          </w:p>
        </w:tc>
        <w:tc>
          <w:tcPr>
            <w:tcW w:w="1777" w:type="dxa"/>
            <w:vAlign w:val="center"/>
          </w:tcPr>
          <w:p w:rsidR="00B84349" w:rsidRDefault="00F035BE">
            <w:pPr>
              <w:jc w:val="center"/>
            </w:pPr>
            <w:r>
              <w:rPr>
                <w:color w:val="000000"/>
                <w:sz w:val="24"/>
                <w:szCs w:val="24"/>
              </w:rPr>
              <w:t>信邦制药</w:t>
            </w:r>
          </w:p>
        </w:tc>
        <w:tc>
          <w:tcPr>
            <w:tcW w:w="1334" w:type="dxa"/>
            <w:vAlign w:val="center"/>
          </w:tcPr>
          <w:p w:rsidR="00B84349" w:rsidRDefault="00F035BE">
            <w:pPr>
              <w:jc w:val="right"/>
            </w:pPr>
            <w:r>
              <w:rPr>
                <w:color w:val="000000"/>
                <w:sz w:val="24"/>
                <w:szCs w:val="24"/>
              </w:rPr>
              <w:t>3,963,497</w:t>
            </w:r>
          </w:p>
        </w:tc>
        <w:tc>
          <w:tcPr>
            <w:tcW w:w="1924" w:type="dxa"/>
            <w:vAlign w:val="center"/>
          </w:tcPr>
          <w:p w:rsidR="00B84349" w:rsidRDefault="00F035BE">
            <w:pPr>
              <w:jc w:val="right"/>
            </w:pPr>
            <w:r>
              <w:rPr>
                <w:color w:val="000000"/>
                <w:sz w:val="24"/>
                <w:szCs w:val="24"/>
              </w:rPr>
              <w:t>41,180,733.83</w:t>
            </w:r>
          </w:p>
        </w:tc>
        <w:tc>
          <w:tcPr>
            <w:tcW w:w="1644" w:type="dxa"/>
            <w:vAlign w:val="center"/>
          </w:tcPr>
          <w:p w:rsidR="00B84349" w:rsidRDefault="00F035BE">
            <w:pPr>
              <w:jc w:val="right"/>
            </w:pPr>
            <w:r>
              <w:rPr>
                <w:color w:val="000000"/>
                <w:sz w:val="24"/>
                <w:szCs w:val="24"/>
              </w:rPr>
              <w:t>1.40</w:t>
            </w:r>
          </w:p>
        </w:tc>
      </w:tr>
      <w:tr w:rsidR="00B84349">
        <w:trPr>
          <w:jc w:val="center"/>
        </w:trPr>
        <w:tc>
          <w:tcPr>
            <w:tcW w:w="855" w:type="dxa"/>
            <w:vAlign w:val="center"/>
          </w:tcPr>
          <w:p w:rsidR="00B84349" w:rsidRDefault="00F035BE">
            <w:pPr>
              <w:jc w:val="center"/>
            </w:pPr>
            <w:r>
              <w:rPr>
                <w:color w:val="000000"/>
                <w:sz w:val="24"/>
                <w:szCs w:val="24"/>
              </w:rPr>
              <w:t>7</w:t>
            </w:r>
          </w:p>
        </w:tc>
        <w:tc>
          <w:tcPr>
            <w:tcW w:w="1334" w:type="dxa"/>
            <w:vAlign w:val="center"/>
          </w:tcPr>
          <w:p w:rsidR="00B84349" w:rsidRDefault="00F035BE">
            <w:pPr>
              <w:jc w:val="center"/>
            </w:pPr>
            <w:r>
              <w:rPr>
                <w:color w:val="000000"/>
                <w:sz w:val="24"/>
                <w:szCs w:val="24"/>
              </w:rPr>
              <w:t>600399</w:t>
            </w:r>
          </w:p>
        </w:tc>
        <w:tc>
          <w:tcPr>
            <w:tcW w:w="1777" w:type="dxa"/>
            <w:vAlign w:val="center"/>
          </w:tcPr>
          <w:p w:rsidR="00B84349" w:rsidRDefault="00F035BE">
            <w:pPr>
              <w:jc w:val="center"/>
            </w:pPr>
            <w:r>
              <w:rPr>
                <w:color w:val="000000"/>
                <w:sz w:val="24"/>
                <w:szCs w:val="24"/>
              </w:rPr>
              <w:t>抚顺特钢</w:t>
            </w:r>
          </w:p>
        </w:tc>
        <w:tc>
          <w:tcPr>
            <w:tcW w:w="1334" w:type="dxa"/>
            <w:vAlign w:val="center"/>
          </w:tcPr>
          <w:p w:rsidR="00B84349" w:rsidRDefault="00F035BE">
            <w:pPr>
              <w:jc w:val="right"/>
            </w:pPr>
            <w:r>
              <w:rPr>
                <w:color w:val="000000"/>
                <w:sz w:val="24"/>
                <w:szCs w:val="24"/>
              </w:rPr>
              <w:t>4,604,860</w:t>
            </w:r>
          </w:p>
        </w:tc>
        <w:tc>
          <w:tcPr>
            <w:tcW w:w="1924" w:type="dxa"/>
            <w:vAlign w:val="center"/>
          </w:tcPr>
          <w:p w:rsidR="00B84349" w:rsidRDefault="00F035BE">
            <w:pPr>
              <w:jc w:val="right"/>
            </w:pPr>
            <w:r>
              <w:rPr>
                <w:color w:val="000000"/>
                <w:sz w:val="24"/>
                <w:szCs w:val="24"/>
              </w:rPr>
              <w:t>38,911,067.00</w:t>
            </w:r>
          </w:p>
        </w:tc>
        <w:tc>
          <w:tcPr>
            <w:tcW w:w="1644" w:type="dxa"/>
            <w:vAlign w:val="center"/>
          </w:tcPr>
          <w:p w:rsidR="00B84349" w:rsidRDefault="00F035BE">
            <w:pPr>
              <w:jc w:val="right"/>
            </w:pPr>
            <w:r>
              <w:rPr>
                <w:color w:val="000000"/>
                <w:sz w:val="24"/>
                <w:szCs w:val="24"/>
              </w:rPr>
              <w:t>1.33</w:t>
            </w:r>
          </w:p>
        </w:tc>
      </w:tr>
      <w:tr w:rsidR="00B84349">
        <w:trPr>
          <w:jc w:val="center"/>
        </w:trPr>
        <w:tc>
          <w:tcPr>
            <w:tcW w:w="855" w:type="dxa"/>
            <w:vAlign w:val="center"/>
          </w:tcPr>
          <w:p w:rsidR="00B84349" w:rsidRDefault="00F035BE">
            <w:pPr>
              <w:jc w:val="center"/>
            </w:pPr>
            <w:r>
              <w:rPr>
                <w:color w:val="000000"/>
                <w:sz w:val="24"/>
                <w:szCs w:val="24"/>
              </w:rPr>
              <w:t>8</w:t>
            </w:r>
          </w:p>
        </w:tc>
        <w:tc>
          <w:tcPr>
            <w:tcW w:w="1334" w:type="dxa"/>
            <w:vAlign w:val="center"/>
          </w:tcPr>
          <w:p w:rsidR="00B84349" w:rsidRDefault="00F035BE">
            <w:pPr>
              <w:jc w:val="center"/>
            </w:pPr>
            <w:r>
              <w:rPr>
                <w:color w:val="000000"/>
                <w:sz w:val="24"/>
                <w:szCs w:val="24"/>
              </w:rPr>
              <w:t>002053</w:t>
            </w:r>
          </w:p>
        </w:tc>
        <w:tc>
          <w:tcPr>
            <w:tcW w:w="1777" w:type="dxa"/>
            <w:vAlign w:val="center"/>
          </w:tcPr>
          <w:p w:rsidR="00B84349" w:rsidRDefault="00F035BE">
            <w:pPr>
              <w:jc w:val="center"/>
            </w:pPr>
            <w:r>
              <w:rPr>
                <w:color w:val="000000"/>
                <w:sz w:val="24"/>
                <w:szCs w:val="24"/>
              </w:rPr>
              <w:t>云南盐化</w:t>
            </w:r>
          </w:p>
        </w:tc>
        <w:tc>
          <w:tcPr>
            <w:tcW w:w="1334" w:type="dxa"/>
            <w:vAlign w:val="center"/>
          </w:tcPr>
          <w:p w:rsidR="00B84349" w:rsidRDefault="00F035BE">
            <w:pPr>
              <w:jc w:val="right"/>
            </w:pPr>
            <w:r>
              <w:rPr>
                <w:color w:val="000000"/>
                <w:sz w:val="24"/>
                <w:szCs w:val="24"/>
              </w:rPr>
              <w:t>1,972,186</w:t>
            </w:r>
          </w:p>
        </w:tc>
        <w:tc>
          <w:tcPr>
            <w:tcW w:w="1924" w:type="dxa"/>
            <w:vAlign w:val="center"/>
          </w:tcPr>
          <w:p w:rsidR="00B84349" w:rsidRDefault="00F035BE">
            <w:pPr>
              <w:jc w:val="right"/>
            </w:pPr>
            <w:r>
              <w:rPr>
                <w:color w:val="000000"/>
                <w:sz w:val="24"/>
                <w:szCs w:val="24"/>
              </w:rPr>
              <w:t>37,215,149.82</w:t>
            </w:r>
          </w:p>
        </w:tc>
        <w:tc>
          <w:tcPr>
            <w:tcW w:w="1644" w:type="dxa"/>
            <w:vAlign w:val="center"/>
          </w:tcPr>
          <w:p w:rsidR="00B84349" w:rsidRDefault="00F035BE">
            <w:pPr>
              <w:jc w:val="right"/>
            </w:pPr>
            <w:r>
              <w:rPr>
                <w:color w:val="000000"/>
                <w:sz w:val="24"/>
                <w:szCs w:val="24"/>
              </w:rPr>
              <w:t>1.27</w:t>
            </w:r>
          </w:p>
        </w:tc>
      </w:tr>
      <w:tr w:rsidR="00B84349">
        <w:trPr>
          <w:jc w:val="center"/>
        </w:trPr>
        <w:tc>
          <w:tcPr>
            <w:tcW w:w="855" w:type="dxa"/>
            <w:vAlign w:val="center"/>
          </w:tcPr>
          <w:p w:rsidR="00B84349" w:rsidRDefault="00F035BE">
            <w:pPr>
              <w:jc w:val="center"/>
            </w:pPr>
            <w:r>
              <w:rPr>
                <w:color w:val="000000"/>
                <w:sz w:val="24"/>
                <w:szCs w:val="24"/>
              </w:rPr>
              <w:t>9</w:t>
            </w:r>
          </w:p>
        </w:tc>
        <w:tc>
          <w:tcPr>
            <w:tcW w:w="1334" w:type="dxa"/>
            <w:vAlign w:val="center"/>
          </w:tcPr>
          <w:p w:rsidR="00B84349" w:rsidRDefault="00F035BE">
            <w:pPr>
              <w:jc w:val="center"/>
            </w:pPr>
            <w:r>
              <w:rPr>
                <w:color w:val="000000"/>
                <w:sz w:val="24"/>
                <w:szCs w:val="24"/>
              </w:rPr>
              <w:t>600418</w:t>
            </w:r>
          </w:p>
        </w:tc>
        <w:tc>
          <w:tcPr>
            <w:tcW w:w="1777" w:type="dxa"/>
            <w:vAlign w:val="center"/>
          </w:tcPr>
          <w:p w:rsidR="00B84349" w:rsidRDefault="00F035BE">
            <w:pPr>
              <w:jc w:val="center"/>
            </w:pPr>
            <w:r>
              <w:rPr>
                <w:color w:val="000000"/>
                <w:sz w:val="24"/>
                <w:szCs w:val="24"/>
              </w:rPr>
              <w:t>江淮汽车</w:t>
            </w:r>
          </w:p>
        </w:tc>
        <w:tc>
          <w:tcPr>
            <w:tcW w:w="1334" w:type="dxa"/>
            <w:vAlign w:val="center"/>
          </w:tcPr>
          <w:p w:rsidR="00B84349" w:rsidRDefault="00F035BE">
            <w:pPr>
              <w:jc w:val="right"/>
            </w:pPr>
            <w:r>
              <w:rPr>
                <w:color w:val="000000"/>
                <w:sz w:val="24"/>
                <w:szCs w:val="24"/>
              </w:rPr>
              <w:t>2,749,987</w:t>
            </w:r>
          </w:p>
        </w:tc>
        <w:tc>
          <w:tcPr>
            <w:tcW w:w="1924" w:type="dxa"/>
            <w:vAlign w:val="center"/>
          </w:tcPr>
          <w:p w:rsidR="00B84349" w:rsidRDefault="00F035BE">
            <w:pPr>
              <w:jc w:val="right"/>
            </w:pPr>
            <w:r>
              <w:rPr>
                <w:color w:val="000000"/>
                <w:sz w:val="24"/>
                <w:szCs w:val="24"/>
              </w:rPr>
              <w:t>36,519,827.36</w:t>
            </w:r>
          </w:p>
        </w:tc>
        <w:tc>
          <w:tcPr>
            <w:tcW w:w="1644" w:type="dxa"/>
            <w:vAlign w:val="center"/>
          </w:tcPr>
          <w:p w:rsidR="00B84349" w:rsidRDefault="00F035BE">
            <w:pPr>
              <w:jc w:val="right"/>
            </w:pPr>
            <w:r>
              <w:rPr>
                <w:color w:val="000000"/>
                <w:sz w:val="24"/>
                <w:szCs w:val="24"/>
              </w:rPr>
              <w:t>1.24</w:t>
            </w:r>
          </w:p>
        </w:tc>
      </w:tr>
      <w:tr w:rsidR="00B84349">
        <w:trPr>
          <w:jc w:val="center"/>
        </w:trPr>
        <w:tc>
          <w:tcPr>
            <w:tcW w:w="855" w:type="dxa"/>
            <w:vAlign w:val="center"/>
          </w:tcPr>
          <w:p w:rsidR="00B84349" w:rsidRDefault="00F035BE">
            <w:pPr>
              <w:jc w:val="center"/>
            </w:pPr>
            <w:r>
              <w:rPr>
                <w:color w:val="000000"/>
                <w:sz w:val="24"/>
                <w:szCs w:val="24"/>
              </w:rPr>
              <w:t>10</w:t>
            </w:r>
          </w:p>
        </w:tc>
        <w:tc>
          <w:tcPr>
            <w:tcW w:w="1334" w:type="dxa"/>
            <w:vAlign w:val="center"/>
          </w:tcPr>
          <w:p w:rsidR="00B84349" w:rsidRDefault="00F035BE">
            <w:pPr>
              <w:jc w:val="center"/>
            </w:pPr>
            <w:r>
              <w:rPr>
                <w:color w:val="000000"/>
                <w:sz w:val="24"/>
                <w:szCs w:val="24"/>
              </w:rPr>
              <w:t>002169</w:t>
            </w:r>
          </w:p>
        </w:tc>
        <w:tc>
          <w:tcPr>
            <w:tcW w:w="1777" w:type="dxa"/>
            <w:vAlign w:val="center"/>
          </w:tcPr>
          <w:p w:rsidR="00B84349" w:rsidRDefault="00F035BE">
            <w:pPr>
              <w:jc w:val="center"/>
            </w:pPr>
            <w:r>
              <w:rPr>
                <w:color w:val="000000"/>
                <w:sz w:val="24"/>
                <w:szCs w:val="24"/>
              </w:rPr>
              <w:t>智光电气</w:t>
            </w:r>
          </w:p>
        </w:tc>
        <w:tc>
          <w:tcPr>
            <w:tcW w:w="1334" w:type="dxa"/>
            <w:vAlign w:val="center"/>
          </w:tcPr>
          <w:p w:rsidR="00B84349" w:rsidRDefault="00F035BE">
            <w:pPr>
              <w:jc w:val="right"/>
            </w:pPr>
            <w:r>
              <w:rPr>
                <w:color w:val="000000"/>
                <w:sz w:val="24"/>
                <w:szCs w:val="24"/>
              </w:rPr>
              <w:t>2,019,831</w:t>
            </w:r>
          </w:p>
        </w:tc>
        <w:tc>
          <w:tcPr>
            <w:tcW w:w="1924" w:type="dxa"/>
            <w:vAlign w:val="center"/>
          </w:tcPr>
          <w:p w:rsidR="00B84349" w:rsidRDefault="00F035BE">
            <w:pPr>
              <w:jc w:val="right"/>
            </w:pPr>
            <w:r>
              <w:rPr>
                <w:color w:val="000000"/>
                <w:sz w:val="24"/>
                <w:szCs w:val="24"/>
              </w:rPr>
              <w:t>35,811,603.63</w:t>
            </w:r>
          </w:p>
        </w:tc>
        <w:tc>
          <w:tcPr>
            <w:tcW w:w="1644" w:type="dxa"/>
            <w:vAlign w:val="center"/>
          </w:tcPr>
          <w:p w:rsidR="00B84349" w:rsidRDefault="00F035BE">
            <w:pPr>
              <w:jc w:val="right"/>
            </w:pPr>
            <w:r>
              <w:rPr>
                <w:color w:val="000000"/>
                <w:sz w:val="24"/>
                <w:szCs w:val="24"/>
              </w:rPr>
              <w:t>1.22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450,135,000.00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15.33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450,135,000.00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15.33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450,135,000.00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84349">
        <w:trPr>
          <w:jc w:val="center"/>
        </w:trPr>
        <w:tc>
          <w:tcPr>
            <w:tcW w:w="850" w:type="dxa"/>
            <w:vAlign w:val="center"/>
          </w:tcPr>
          <w:p w:rsidR="00B84349" w:rsidRDefault="00F035BE">
            <w:pPr>
              <w:jc w:val="center"/>
            </w:pPr>
            <w:r>
              <w:rPr>
                <w:color w:val="000000"/>
                <w:sz w:val="24"/>
                <w:szCs w:val="24"/>
              </w:rPr>
              <w:t>1</w:t>
            </w:r>
          </w:p>
        </w:tc>
        <w:tc>
          <w:tcPr>
            <w:tcW w:w="1475" w:type="dxa"/>
            <w:vAlign w:val="center"/>
          </w:tcPr>
          <w:p w:rsidR="00B84349" w:rsidRDefault="00F035BE">
            <w:pPr>
              <w:jc w:val="center"/>
            </w:pPr>
            <w:r>
              <w:rPr>
                <w:color w:val="000000"/>
                <w:sz w:val="24"/>
                <w:szCs w:val="24"/>
              </w:rPr>
              <w:t>150416</w:t>
            </w:r>
          </w:p>
        </w:tc>
        <w:tc>
          <w:tcPr>
            <w:tcW w:w="1769" w:type="dxa"/>
            <w:vAlign w:val="center"/>
          </w:tcPr>
          <w:p w:rsidR="00B84349" w:rsidRDefault="00F035BE">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B84349" w:rsidRDefault="00F035BE">
            <w:pPr>
              <w:jc w:val="right"/>
            </w:pPr>
            <w:r>
              <w:rPr>
                <w:color w:val="000000"/>
                <w:sz w:val="24"/>
                <w:szCs w:val="24"/>
              </w:rPr>
              <w:t>4,500,000</w:t>
            </w:r>
          </w:p>
        </w:tc>
        <w:tc>
          <w:tcPr>
            <w:tcW w:w="2150" w:type="dxa"/>
            <w:vAlign w:val="center"/>
          </w:tcPr>
          <w:p w:rsidR="00B84349" w:rsidRDefault="00F035BE">
            <w:pPr>
              <w:jc w:val="right"/>
            </w:pPr>
            <w:r>
              <w:rPr>
                <w:color w:val="000000"/>
                <w:sz w:val="24"/>
                <w:szCs w:val="24"/>
              </w:rPr>
              <w:t>450,135,000.00</w:t>
            </w:r>
          </w:p>
        </w:tc>
        <w:tc>
          <w:tcPr>
            <w:tcW w:w="1237" w:type="dxa"/>
            <w:vAlign w:val="center"/>
          </w:tcPr>
          <w:p w:rsidR="00B84349" w:rsidRDefault="00F035BE">
            <w:pPr>
              <w:jc w:val="right"/>
            </w:pPr>
            <w:r>
              <w:rPr>
                <w:color w:val="000000"/>
                <w:sz w:val="24"/>
                <w:szCs w:val="24"/>
              </w:rPr>
              <w:t>15.33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1,532,695.99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2,835,614.06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683,368.06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5,051,678.11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84349">
        <w:trPr>
          <w:jc w:val="center"/>
        </w:trPr>
        <w:tc>
          <w:tcPr>
            <w:tcW w:w="1129" w:type="dxa"/>
            <w:vAlign w:val="center"/>
          </w:tcPr>
          <w:p w:rsidR="00B84349" w:rsidRDefault="00F035BE">
            <w:pPr>
              <w:jc w:val="center"/>
            </w:pPr>
            <w:r>
              <w:rPr>
                <w:color w:val="000000"/>
                <w:sz w:val="24"/>
                <w:szCs w:val="24"/>
              </w:rPr>
              <w:t>1</w:t>
            </w:r>
          </w:p>
        </w:tc>
        <w:tc>
          <w:tcPr>
            <w:tcW w:w="1356" w:type="dxa"/>
            <w:vAlign w:val="center"/>
          </w:tcPr>
          <w:p w:rsidR="00B84349" w:rsidRDefault="00F035BE">
            <w:pPr>
              <w:jc w:val="center"/>
            </w:pPr>
            <w:r>
              <w:rPr>
                <w:color w:val="000000"/>
                <w:sz w:val="24"/>
                <w:szCs w:val="24"/>
              </w:rPr>
              <w:t>600446</w:t>
            </w:r>
          </w:p>
        </w:tc>
        <w:tc>
          <w:tcPr>
            <w:tcW w:w="1355" w:type="dxa"/>
            <w:vAlign w:val="center"/>
          </w:tcPr>
          <w:p w:rsidR="00B84349" w:rsidRDefault="00F035BE">
            <w:pPr>
              <w:jc w:val="center"/>
            </w:pPr>
            <w:r>
              <w:rPr>
                <w:color w:val="000000"/>
                <w:sz w:val="24"/>
                <w:szCs w:val="24"/>
              </w:rPr>
              <w:t>金证股份</w:t>
            </w:r>
          </w:p>
        </w:tc>
        <w:tc>
          <w:tcPr>
            <w:tcW w:w="1880" w:type="dxa"/>
            <w:vAlign w:val="center"/>
          </w:tcPr>
          <w:p w:rsidR="00B84349" w:rsidRDefault="00F035BE">
            <w:pPr>
              <w:jc w:val="right"/>
            </w:pPr>
            <w:r>
              <w:rPr>
                <w:color w:val="000000"/>
                <w:sz w:val="24"/>
                <w:szCs w:val="24"/>
              </w:rPr>
              <w:t>49,434,011.55</w:t>
            </w:r>
          </w:p>
        </w:tc>
        <w:tc>
          <w:tcPr>
            <w:tcW w:w="1724" w:type="dxa"/>
            <w:vAlign w:val="center"/>
          </w:tcPr>
          <w:p w:rsidR="00B84349" w:rsidRDefault="00F035BE">
            <w:pPr>
              <w:jc w:val="right"/>
            </w:pPr>
            <w:r>
              <w:rPr>
                <w:color w:val="000000"/>
                <w:sz w:val="24"/>
                <w:szCs w:val="24"/>
              </w:rPr>
              <w:t>1.68</w:t>
            </w:r>
          </w:p>
        </w:tc>
        <w:tc>
          <w:tcPr>
            <w:tcW w:w="1424" w:type="dxa"/>
            <w:vAlign w:val="center"/>
          </w:tcPr>
          <w:p w:rsidR="00B84349" w:rsidRDefault="00F035BE">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3,429,779,242.25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203,371,537.73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468,637,525.78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3,164,513,254.20</w:t>
            </w:r>
          </w:p>
        </w:tc>
      </w:tr>
    </w:tbl>
    <w:p w:rsidR="00B84349" w:rsidRDefault="00F035B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鉴于交银施罗德国企改革灵活配置混合型证券投资基金的业绩比较基准的指数停止计算编制，本基金管理人根据基金合同的相关约定，经与基金托管人协商一致，并报中国证监会备案，决定自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日起将交银施罗德国企改革灵活配置混合型证券投资基金的业绩比较基准由原</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84349" w:rsidRDefault="00F035B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B84349" w:rsidRDefault="00F035B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B84349" w:rsidRDefault="00F035B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B84349" w:rsidRDefault="00F035B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B84349" w:rsidRDefault="00F035BE">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B84349" w:rsidRDefault="00F035BE">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B84349" w:rsidRDefault="00F035BE">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84349" w:rsidRDefault="00F035B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bookmarkStart w:id="0" w:name="_GoBack"/>
      <w:bookmarkEnd w:id="0"/>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ABF" w:rsidRDefault="00443ABF" w:rsidP="00876D65">
      <w:r>
        <w:separator/>
      </w:r>
    </w:p>
  </w:endnote>
  <w:endnote w:type="continuationSeparator" w:id="0">
    <w:p w:rsidR="00443ABF" w:rsidRDefault="00443AB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F035BE">
      <w:rPr>
        <w:noProof/>
        <w:kern w:val="0"/>
        <w:szCs w:val="21"/>
      </w:rPr>
      <w:t>11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F035BE">
      <w:rPr>
        <w:noProof/>
        <w:kern w:val="0"/>
        <w:szCs w:val="21"/>
      </w:rPr>
      <w:t>11</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ABF" w:rsidRDefault="00443ABF" w:rsidP="00876D65">
      <w:r>
        <w:separator/>
      </w:r>
    </w:p>
  </w:footnote>
  <w:footnote w:type="continuationSeparator" w:id="0">
    <w:p w:rsidR="00443ABF" w:rsidRDefault="00443AB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4349"/>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035BE"/>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36C49F40-42E0-4019-A70F-A560F525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8C9CF-C17A-4ED1-810B-7C5DE94E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秦蔚青</cp:lastModifiedBy>
  <cp:revision>560</cp:revision>
  <dcterms:created xsi:type="dcterms:W3CDTF">2012-10-16T06:07:00Z</dcterms:created>
  <dcterms:modified xsi:type="dcterms:W3CDTF">2015-10-16T10:15:00Z</dcterms:modified>
</cp:coreProperties>
</file>