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9F1A2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A78DC" w:rsidRDefault="009F1A2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1A78DC" w:rsidRDefault="009F1A2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1A78DC" w:rsidRDefault="009F1A2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1A78DC" w:rsidRDefault="009F1A2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1A78DC" w:rsidRDefault="009F1A2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F1A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82,982,477.10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F1A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F1A23" w:rsidRPr="00414345" w:rsidTr="009F1A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F1A23" w:rsidRPr="00414345" w:rsidTr="009F1A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3,116,521.70</w:t>
            </w:r>
          </w:p>
        </w:tc>
      </w:tr>
      <w:tr w:rsidR="009F1A23" w:rsidRPr="00414345" w:rsidTr="009F1A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2,008,971.61</w:t>
            </w:r>
          </w:p>
        </w:tc>
      </w:tr>
      <w:tr w:rsidR="009F1A23" w:rsidRPr="00414345" w:rsidTr="009F1A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0.0322</w:t>
            </w:r>
          </w:p>
        </w:tc>
      </w:tr>
      <w:tr w:rsidR="009F1A23" w:rsidRPr="00414345" w:rsidTr="009F1A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107,777,628.77</w:t>
            </w:r>
          </w:p>
        </w:tc>
      </w:tr>
      <w:tr w:rsidR="009F1A23" w:rsidRPr="00414345" w:rsidTr="009F1A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1.299</w:t>
            </w:r>
          </w:p>
        </w:tc>
      </w:tr>
    </w:tbl>
    <w:p w:rsidR="001A78DC" w:rsidRDefault="009F1A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A78DC">
        <w:trPr>
          <w:jc w:val="center"/>
        </w:trPr>
        <w:tc>
          <w:tcPr>
            <w:tcW w:w="1701" w:type="dxa"/>
            <w:vAlign w:val="center"/>
          </w:tcPr>
          <w:p w:rsidR="001A78DC" w:rsidRDefault="009F1A23">
            <w:pPr>
              <w:jc w:val="left"/>
            </w:pPr>
            <w:r>
              <w:rPr>
                <w:color w:val="000000"/>
                <w:sz w:val="24"/>
                <w:szCs w:val="24"/>
              </w:rPr>
              <w:t>过去三个月</w:t>
            </w:r>
          </w:p>
        </w:tc>
        <w:tc>
          <w:tcPr>
            <w:tcW w:w="1045" w:type="dxa"/>
            <w:vAlign w:val="center"/>
          </w:tcPr>
          <w:p w:rsidR="001A78DC" w:rsidRDefault="009F1A23">
            <w:pPr>
              <w:jc w:val="center"/>
            </w:pPr>
            <w:r>
              <w:rPr>
                <w:color w:val="000000"/>
                <w:sz w:val="24"/>
                <w:szCs w:val="24"/>
              </w:rPr>
              <w:t>2.77%</w:t>
            </w:r>
          </w:p>
        </w:tc>
        <w:tc>
          <w:tcPr>
            <w:tcW w:w="1344" w:type="dxa"/>
            <w:vAlign w:val="center"/>
          </w:tcPr>
          <w:p w:rsidR="001A78DC" w:rsidRDefault="009F1A23">
            <w:pPr>
              <w:jc w:val="center"/>
            </w:pPr>
            <w:r>
              <w:rPr>
                <w:color w:val="000000"/>
                <w:sz w:val="24"/>
                <w:szCs w:val="24"/>
              </w:rPr>
              <w:t>0.21%</w:t>
            </w:r>
          </w:p>
        </w:tc>
        <w:tc>
          <w:tcPr>
            <w:tcW w:w="1194" w:type="dxa"/>
            <w:vAlign w:val="center"/>
          </w:tcPr>
          <w:p w:rsidR="001A78DC" w:rsidRDefault="009F1A23">
            <w:pPr>
              <w:jc w:val="center"/>
            </w:pPr>
            <w:r>
              <w:rPr>
                <w:color w:val="000000"/>
                <w:sz w:val="24"/>
                <w:szCs w:val="24"/>
              </w:rPr>
              <w:t>1.05%</w:t>
            </w:r>
          </w:p>
        </w:tc>
        <w:tc>
          <w:tcPr>
            <w:tcW w:w="1492" w:type="dxa"/>
            <w:vAlign w:val="center"/>
          </w:tcPr>
          <w:p w:rsidR="001A78DC" w:rsidRDefault="009F1A23">
            <w:pPr>
              <w:jc w:val="center"/>
            </w:pPr>
            <w:r>
              <w:rPr>
                <w:color w:val="000000"/>
                <w:sz w:val="24"/>
                <w:szCs w:val="24"/>
              </w:rPr>
              <w:t>0.07%</w:t>
            </w:r>
          </w:p>
        </w:tc>
        <w:tc>
          <w:tcPr>
            <w:tcW w:w="1194" w:type="dxa"/>
            <w:vAlign w:val="center"/>
          </w:tcPr>
          <w:p w:rsidR="001A78DC" w:rsidRDefault="009F1A23">
            <w:pPr>
              <w:jc w:val="center"/>
            </w:pPr>
            <w:r>
              <w:rPr>
                <w:color w:val="000000"/>
                <w:sz w:val="24"/>
                <w:szCs w:val="24"/>
              </w:rPr>
              <w:t>1.72%</w:t>
            </w:r>
          </w:p>
        </w:tc>
        <w:tc>
          <w:tcPr>
            <w:tcW w:w="898" w:type="dxa"/>
            <w:vAlign w:val="center"/>
          </w:tcPr>
          <w:p w:rsidR="001A78DC" w:rsidRDefault="009F1A23">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AA1E68"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60736B">
      <w:pPr>
        <w:autoSpaceDE w:val="0"/>
        <w:autoSpaceDN w:val="0"/>
        <w:adjustRightInd w:val="0"/>
        <w:spacing w:before="29" w:line="288" w:lineRule="auto"/>
        <w:jc w:val="left"/>
        <w:rPr>
          <w:color w:val="000000"/>
          <w:sz w:val="24"/>
          <w:szCs w:val="24"/>
        </w:rPr>
      </w:pPr>
    </w:p>
    <w:p w:rsidR="004061AC" w:rsidRPr="00414345" w:rsidRDefault="004061AC" w:rsidP="009F1A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A78DC">
        <w:trPr>
          <w:jc w:val="center"/>
        </w:trPr>
        <w:tc>
          <w:tcPr>
            <w:tcW w:w="846" w:type="dxa"/>
            <w:vAlign w:val="center"/>
          </w:tcPr>
          <w:p w:rsidR="001A78DC" w:rsidRDefault="009F1A23">
            <w:pPr>
              <w:jc w:val="center"/>
            </w:pPr>
            <w:r>
              <w:rPr>
                <w:color w:val="000000"/>
                <w:sz w:val="24"/>
                <w:szCs w:val="24"/>
              </w:rPr>
              <w:t>赵凌琦</w:t>
            </w:r>
          </w:p>
        </w:tc>
        <w:tc>
          <w:tcPr>
            <w:tcW w:w="845" w:type="dxa"/>
            <w:vAlign w:val="center"/>
          </w:tcPr>
          <w:p w:rsidR="001A78DC" w:rsidRDefault="009F1A23">
            <w:pPr>
              <w:jc w:val="center"/>
            </w:pPr>
            <w:r>
              <w:rPr>
                <w:color w:val="000000"/>
                <w:sz w:val="24"/>
                <w:szCs w:val="24"/>
              </w:rPr>
              <w:t>交银增利债券、交银信用添利债券（</w:t>
            </w:r>
            <w:r>
              <w:rPr>
                <w:color w:val="000000"/>
                <w:sz w:val="24"/>
                <w:szCs w:val="24"/>
              </w:rPr>
              <w:t>LOF</w:t>
            </w:r>
            <w:r>
              <w:rPr>
                <w:color w:val="000000"/>
                <w:sz w:val="24"/>
                <w:szCs w:val="24"/>
              </w:rPr>
              <w:t>）、交银理财</w:t>
            </w:r>
            <w:r>
              <w:rPr>
                <w:color w:val="000000"/>
                <w:sz w:val="24"/>
                <w:szCs w:val="24"/>
              </w:rPr>
              <w:t>60</w:t>
            </w:r>
            <w:r>
              <w:rPr>
                <w:color w:val="000000"/>
                <w:sz w:val="24"/>
                <w:szCs w:val="24"/>
              </w:rPr>
              <w:t>天债券、交银双轮动债券、交银定期支付月月丰债券、交银强化回报债券、交银丰盈收益债券的基金经理，公司固定收益部副总经理</w:t>
            </w:r>
          </w:p>
        </w:tc>
        <w:tc>
          <w:tcPr>
            <w:tcW w:w="1549" w:type="dxa"/>
            <w:vAlign w:val="center"/>
          </w:tcPr>
          <w:p w:rsidR="001A78DC" w:rsidRDefault="009F1A23">
            <w:pPr>
              <w:jc w:val="center"/>
            </w:pPr>
            <w:r>
              <w:rPr>
                <w:color w:val="000000"/>
                <w:sz w:val="24"/>
                <w:szCs w:val="24"/>
              </w:rPr>
              <w:t>2015-05-09</w:t>
            </w:r>
          </w:p>
        </w:tc>
        <w:tc>
          <w:tcPr>
            <w:tcW w:w="1548" w:type="dxa"/>
            <w:vAlign w:val="center"/>
          </w:tcPr>
          <w:p w:rsidR="001A78DC" w:rsidRDefault="009F1A23">
            <w:pPr>
              <w:jc w:val="center"/>
            </w:pPr>
            <w:r>
              <w:rPr>
                <w:color w:val="000000"/>
                <w:sz w:val="24"/>
                <w:szCs w:val="24"/>
              </w:rPr>
              <w:t>2015-08-29</w:t>
            </w:r>
          </w:p>
        </w:tc>
        <w:tc>
          <w:tcPr>
            <w:tcW w:w="1407" w:type="dxa"/>
            <w:vAlign w:val="center"/>
          </w:tcPr>
          <w:p w:rsidR="001A78DC" w:rsidRDefault="009F1A23">
            <w:pPr>
              <w:jc w:val="center"/>
            </w:pPr>
            <w:r>
              <w:rPr>
                <w:color w:val="000000"/>
                <w:sz w:val="24"/>
                <w:szCs w:val="24"/>
              </w:rPr>
              <w:t>2</w:t>
            </w:r>
            <w:r>
              <w:rPr>
                <w:color w:val="000000"/>
                <w:sz w:val="24"/>
                <w:szCs w:val="24"/>
              </w:rPr>
              <w:t>年</w:t>
            </w:r>
          </w:p>
        </w:tc>
        <w:tc>
          <w:tcPr>
            <w:tcW w:w="2673" w:type="dxa"/>
            <w:vAlign w:val="center"/>
          </w:tcPr>
          <w:p w:rsidR="001A78DC" w:rsidRDefault="009F1A23">
            <w:r>
              <w:rPr>
                <w:color w:val="000000"/>
                <w:sz w:val="24"/>
                <w:szCs w:val="24"/>
              </w:rPr>
              <w:t>赵凌琦女士，</w:t>
            </w:r>
            <w:r>
              <w:rPr>
                <w:color w:val="000000"/>
                <w:sz w:val="24"/>
                <w:szCs w:val="24"/>
              </w:rPr>
              <w:t>10</w:t>
            </w:r>
            <w:r>
              <w:rPr>
                <w:color w:val="000000"/>
                <w:sz w:val="24"/>
                <w:szCs w:val="24"/>
              </w:rPr>
              <w:t>年金融投资经验，财政部财政科研所经济学硕士。历任中国航空集团财务公司投资经理，中国人寿资产管理有限公司投资经理。</w:t>
            </w:r>
            <w:r>
              <w:rPr>
                <w:color w:val="000000"/>
                <w:sz w:val="24"/>
                <w:szCs w:val="24"/>
              </w:rPr>
              <w:t>2013</w:t>
            </w:r>
            <w:r>
              <w:rPr>
                <w:color w:val="000000"/>
                <w:sz w:val="24"/>
                <w:szCs w:val="24"/>
              </w:rPr>
              <w:t>年加入交银施罗德基金管理有限公司。</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3</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日担任交银施罗德定期支付月月丰债券型证券投资基金基金经理，</w:t>
            </w:r>
            <w:r>
              <w:rPr>
                <w:color w:val="000000"/>
                <w:sz w:val="24"/>
                <w:szCs w:val="24"/>
              </w:rPr>
              <w:t>2014</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日担任交银施罗德强化回报债券型证券投资基金基金经理，</w:t>
            </w:r>
            <w:r>
              <w:rPr>
                <w:color w:val="000000"/>
                <w:sz w:val="24"/>
                <w:szCs w:val="24"/>
              </w:rPr>
              <w:t>2014</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11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日担任交银施罗德丰盈收益债券型证券投资基金基金经理，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日担任交银施罗德信用添利债券证券投资基金（</w:t>
            </w:r>
            <w:r>
              <w:rPr>
                <w:color w:val="000000"/>
                <w:sz w:val="24"/>
                <w:szCs w:val="24"/>
              </w:rPr>
              <w:t>LOF</w:t>
            </w:r>
            <w:r>
              <w:rPr>
                <w:color w:val="000000"/>
                <w:sz w:val="24"/>
                <w:szCs w:val="24"/>
              </w:rPr>
              <w:t>）基金经理，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日担任交银施罗德增利债券证券投资基金基金经理。</w:t>
            </w:r>
          </w:p>
        </w:tc>
      </w:tr>
      <w:tr w:rsidR="001A78DC">
        <w:trPr>
          <w:jc w:val="center"/>
        </w:trPr>
        <w:tc>
          <w:tcPr>
            <w:tcW w:w="846" w:type="dxa"/>
            <w:vAlign w:val="center"/>
          </w:tcPr>
          <w:p w:rsidR="001A78DC" w:rsidRDefault="009F1A23">
            <w:pPr>
              <w:jc w:val="center"/>
            </w:pPr>
            <w:r>
              <w:rPr>
                <w:color w:val="000000"/>
                <w:sz w:val="24"/>
                <w:szCs w:val="24"/>
              </w:rPr>
              <w:t>唐赟</w:t>
            </w:r>
          </w:p>
        </w:tc>
        <w:tc>
          <w:tcPr>
            <w:tcW w:w="845" w:type="dxa"/>
            <w:vAlign w:val="center"/>
          </w:tcPr>
          <w:p w:rsidR="001A78DC" w:rsidRDefault="009F1A23">
            <w:pPr>
              <w:jc w:val="center"/>
            </w:pPr>
            <w:r>
              <w:rPr>
                <w:color w:val="000000"/>
                <w:sz w:val="24"/>
                <w:szCs w:val="24"/>
              </w:rPr>
              <w:t>交银信用添利债券</w:t>
            </w:r>
            <w:r>
              <w:rPr>
                <w:color w:val="000000"/>
                <w:sz w:val="24"/>
                <w:szCs w:val="24"/>
              </w:rPr>
              <w:t>(LOF)</w:t>
            </w:r>
            <w:r>
              <w:rPr>
                <w:color w:val="000000"/>
                <w:sz w:val="24"/>
                <w:szCs w:val="24"/>
              </w:rPr>
              <w:t>、交银双轮动债券的基金经理</w:t>
            </w:r>
          </w:p>
        </w:tc>
        <w:tc>
          <w:tcPr>
            <w:tcW w:w="1549" w:type="dxa"/>
            <w:vAlign w:val="center"/>
          </w:tcPr>
          <w:p w:rsidR="001A78DC" w:rsidRDefault="009F1A23">
            <w:pPr>
              <w:jc w:val="center"/>
            </w:pPr>
            <w:r>
              <w:rPr>
                <w:color w:val="000000"/>
                <w:sz w:val="24"/>
                <w:szCs w:val="24"/>
              </w:rPr>
              <w:t>2015-08-04</w:t>
            </w:r>
          </w:p>
        </w:tc>
        <w:tc>
          <w:tcPr>
            <w:tcW w:w="1548" w:type="dxa"/>
            <w:vAlign w:val="center"/>
          </w:tcPr>
          <w:p w:rsidR="001A78DC" w:rsidRDefault="009F1A23">
            <w:pPr>
              <w:jc w:val="center"/>
            </w:pPr>
            <w:r>
              <w:rPr>
                <w:color w:val="000000"/>
                <w:sz w:val="24"/>
                <w:szCs w:val="24"/>
              </w:rPr>
              <w:t>-</w:t>
            </w:r>
          </w:p>
        </w:tc>
        <w:tc>
          <w:tcPr>
            <w:tcW w:w="1407" w:type="dxa"/>
            <w:vAlign w:val="center"/>
          </w:tcPr>
          <w:p w:rsidR="001A78DC" w:rsidRDefault="009F1A23">
            <w:pPr>
              <w:jc w:val="center"/>
            </w:pPr>
            <w:r>
              <w:rPr>
                <w:color w:val="000000"/>
                <w:sz w:val="24"/>
                <w:szCs w:val="24"/>
              </w:rPr>
              <w:t>3</w:t>
            </w:r>
            <w:r>
              <w:rPr>
                <w:color w:val="000000"/>
                <w:sz w:val="24"/>
                <w:szCs w:val="24"/>
              </w:rPr>
              <w:t>年</w:t>
            </w:r>
          </w:p>
        </w:tc>
        <w:tc>
          <w:tcPr>
            <w:tcW w:w="2673" w:type="dxa"/>
            <w:vAlign w:val="center"/>
          </w:tcPr>
          <w:p w:rsidR="001A78DC" w:rsidRDefault="009F1A23">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A78DC" w:rsidRDefault="009F1A2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A78DC" w:rsidRDefault="009F1A2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A78DC" w:rsidRDefault="009F1A2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A78DC" w:rsidRDefault="009F1A23">
      <w:pPr>
        <w:spacing w:before="29" w:line="288" w:lineRule="auto"/>
        <w:ind w:firstLineChars="200" w:firstLine="480"/>
        <w:rPr>
          <w:color w:val="000000"/>
          <w:sz w:val="24"/>
          <w:szCs w:val="24"/>
        </w:rPr>
      </w:pPr>
      <w:r>
        <w:rPr>
          <w:color w:val="000000"/>
          <w:sz w:val="24"/>
          <w:szCs w:val="24"/>
        </w:rPr>
        <w:t>本报告期内，债券市场受益于股市剧烈下跌带来的资产配置切换，表现相对较好。长端下行较为明显，同时期限利差有所收窄，信用债收益率也跟随利率债有所下行。债券市场走出了一轮较为明显的资金驱动的行情。</w:t>
      </w:r>
    </w:p>
    <w:p w:rsidR="001A78DC" w:rsidRDefault="009F1A23">
      <w:pPr>
        <w:spacing w:before="29" w:line="288" w:lineRule="auto"/>
        <w:ind w:firstLineChars="200" w:firstLine="480"/>
        <w:rPr>
          <w:color w:val="000000"/>
          <w:sz w:val="24"/>
          <w:szCs w:val="24"/>
        </w:rPr>
      </w:pPr>
      <w:r>
        <w:rPr>
          <w:color w:val="000000"/>
          <w:sz w:val="24"/>
          <w:szCs w:val="24"/>
        </w:rPr>
        <w:t>本报告期内，本基金为应对持续的大规模申购，在积极配置的同时，采取了信用债仓位维持相对较短久期，并用长端利率债进行波段交易，以达到加长久期的同时仍能保持较高流动性的操作策略。转债投资则在整个三季度中都维持较低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对于权益资产，我们认为市场最恐慌的阶段可能已经过去。本基金或将在四季度择机配置一定的转债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1.299</w:t>
      </w:r>
      <w:r w:rsidRPr="00414345">
        <w:rPr>
          <w:color w:val="000000"/>
          <w:sz w:val="24"/>
          <w:szCs w:val="24"/>
        </w:rPr>
        <w:t>元，本报告期份额净值增长率为</w:t>
      </w:r>
      <w:r w:rsidRPr="00414345">
        <w:rPr>
          <w:color w:val="000000"/>
          <w:sz w:val="24"/>
          <w:szCs w:val="24"/>
        </w:rPr>
        <w:t>2.77%</w:t>
      </w:r>
      <w:r w:rsidRPr="00414345">
        <w:rPr>
          <w:color w:val="000000"/>
          <w:sz w:val="24"/>
          <w:szCs w:val="24"/>
        </w:rPr>
        <w:t>，同期业绩比较基准增长率为</w:t>
      </w:r>
      <w:r w:rsidRPr="00414345">
        <w:rPr>
          <w:color w:val="000000"/>
          <w:sz w:val="24"/>
          <w:szCs w:val="24"/>
        </w:rPr>
        <w:t>1.05%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F1A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130,087,505.70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130,087,505.70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14,796,178.70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2,287,276.32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147,170,960.72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15,414,640.00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15,414,640.00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53,623,825.70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27.83</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30,032,000.00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27.86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1,021,040.00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0.95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130,087,505.70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120.70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A78DC">
        <w:trPr>
          <w:jc w:val="center"/>
        </w:trPr>
        <w:tc>
          <w:tcPr>
            <w:tcW w:w="850" w:type="dxa"/>
            <w:vAlign w:val="center"/>
          </w:tcPr>
          <w:p w:rsidR="001A78DC" w:rsidRDefault="009F1A23">
            <w:pPr>
              <w:jc w:val="center"/>
            </w:pPr>
            <w:r>
              <w:rPr>
                <w:color w:val="000000"/>
                <w:sz w:val="24"/>
                <w:szCs w:val="24"/>
              </w:rPr>
              <w:t>1</w:t>
            </w:r>
          </w:p>
        </w:tc>
        <w:tc>
          <w:tcPr>
            <w:tcW w:w="1475" w:type="dxa"/>
            <w:vAlign w:val="center"/>
          </w:tcPr>
          <w:p w:rsidR="001A78DC" w:rsidRDefault="009F1A23">
            <w:pPr>
              <w:jc w:val="center"/>
            </w:pPr>
            <w:r>
              <w:rPr>
                <w:color w:val="000000"/>
                <w:sz w:val="24"/>
                <w:szCs w:val="24"/>
              </w:rPr>
              <w:t>1382136</w:t>
            </w:r>
          </w:p>
        </w:tc>
        <w:tc>
          <w:tcPr>
            <w:tcW w:w="1769" w:type="dxa"/>
            <w:vAlign w:val="center"/>
          </w:tcPr>
          <w:p w:rsidR="001A78DC" w:rsidRDefault="009F1A23">
            <w:pPr>
              <w:jc w:val="center"/>
            </w:pPr>
            <w:r>
              <w:rPr>
                <w:color w:val="000000"/>
                <w:sz w:val="24"/>
                <w:szCs w:val="24"/>
              </w:rPr>
              <w:t>13</w:t>
            </w:r>
            <w:r>
              <w:rPr>
                <w:color w:val="000000"/>
                <w:sz w:val="24"/>
                <w:szCs w:val="24"/>
              </w:rPr>
              <w:t>乌兰煤</w:t>
            </w:r>
            <w:r>
              <w:rPr>
                <w:color w:val="000000"/>
                <w:sz w:val="24"/>
                <w:szCs w:val="24"/>
              </w:rPr>
              <w:t>MTN1</w:t>
            </w:r>
          </w:p>
        </w:tc>
        <w:tc>
          <w:tcPr>
            <w:tcW w:w="1387" w:type="dxa"/>
            <w:vAlign w:val="center"/>
          </w:tcPr>
          <w:p w:rsidR="001A78DC" w:rsidRDefault="009F1A23">
            <w:pPr>
              <w:jc w:val="right"/>
            </w:pPr>
            <w:r>
              <w:rPr>
                <w:color w:val="000000"/>
                <w:sz w:val="24"/>
                <w:szCs w:val="24"/>
              </w:rPr>
              <w:t>200,000</w:t>
            </w:r>
          </w:p>
        </w:tc>
        <w:tc>
          <w:tcPr>
            <w:tcW w:w="2150" w:type="dxa"/>
            <w:vAlign w:val="center"/>
          </w:tcPr>
          <w:p w:rsidR="001A78DC" w:rsidRDefault="009F1A23">
            <w:pPr>
              <w:jc w:val="right"/>
            </w:pPr>
            <w:r>
              <w:rPr>
                <w:color w:val="000000"/>
                <w:sz w:val="24"/>
                <w:szCs w:val="24"/>
              </w:rPr>
              <w:t>20,004,000.00</w:t>
            </w:r>
          </w:p>
        </w:tc>
        <w:tc>
          <w:tcPr>
            <w:tcW w:w="1237" w:type="dxa"/>
            <w:vAlign w:val="center"/>
          </w:tcPr>
          <w:p w:rsidR="001A78DC" w:rsidRDefault="009F1A23">
            <w:pPr>
              <w:jc w:val="right"/>
            </w:pPr>
            <w:r>
              <w:rPr>
                <w:color w:val="000000"/>
                <w:sz w:val="24"/>
                <w:szCs w:val="24"/>
              </w:rPr>
              <w:t>18.56</w:t>
            </w:r>
          </w:p>
        </w:tc>
      </w:tr>
      <w:tr w:rsidR="001A78DC">
        <w:trPr>
          <w:jc w:val="center"/>
        </w:trPr>
        <w:tc>
          <w:tcPr>
            <w:tcW w:w="850" w:type="dxa"/>
            <w:vAlign w:val="center"/>
          </w:tcPr>
          <w:p w:rsidR="001A78DC" w:rsidRDefault="009F1A23">
            <w:pPr>
              <w:jc w:val="center"/>
            </w:pPr>
            <w:r>
              <w:rPr>
                <w:color w:val="000000"/>
                <w:sz w:val="24"/>
                <w:szCs w:val="24"/>
              </w:rPr>
              <w:t>2</w:t>
            </w:r>
          </w:p>
        </w:tc>
        <w:tc>
          <w:tcPr>
            <w:tcW w:w="1475" w:type="dxa"/>
            <w:vAlign w:val="center"/>
          </w:tcPr>
          <w:p w:rsidR="001A78DC" w:rsidRDefault="009F1A23">
            <w:pPr>
              <w:jc w:val="center"/>
            </w:pPr>
            <w:r>
              <w:rPr>
                <w:color w:val="000000"/>
                <w:sz w:val="24"/>
                <w:szCs w:val="24"/>
              </w:rPr>
              <w:t>124508</w:t>
            </w:r>
          </w:p>
        </w:tc>
        <w:tc>
          <w:tcPr>
            <w:tcW w:w="1769" w:type="dxa"/>
            <w:vAlign w:val="center"/>
          </w:tcPr>
          <w:p w:rsidR="001A78DC" w:rsidRDefault="009F1A23">
            <w:pPr>
              <w:jc w:val="center"/>
            </w:pPr>
            <w:r>
              <w:rPr>
                <w:color w:val="000000"/>
                <w:sz w:val="24"/>
                <w:szCs w:val="24"/>
              </w:rPr>
              <w:t>14</w:t>
            </w:r>
            <w:r>
              <w:rPr>
                <w:color w:val="000000"/>
                <w:sz w:val="24"/>
                <w:szCs w:val="24"/>
              </w:rPr>
              <w:t>滕州</w:t>
            </w:r>
            <w:r>
              <w:rPr>
                <w:color w:val="000000"/>
                <w:sz w:val="24"/>
                <w:szCs w:val="24"/>
              </w:rPr>
              <w:t>02</w:t>
            </w:r>
          </w:p>
        </w:tc>
        <w:tc>
          <w:tcPr>
            <w:tcW w:w="1387" w:type="dxa"/>
            <w:vAlign w:val="center"/>
          </w:tcPr>
          <w:p w:rsidR="001A78DC" w:rsidRDefault="009F1A23">
            <w:pPr>
              <w:jc w:val="right"/>
            </w:pPr>
            <w:r>
              <w:rPr>
                <w:color w:val="000000"/>
                <w:sz w:val="24"/>
                <w:szCs w:val="24"/>
              </w:rPr>
              <w:t>100,000</w:t>
            </w:r>
          </w:p>
        </w:tc>
        <w:tc>
          <w:tcPr>
            <w:tcW w:w="2150" w:type="dxa"/>
            <w:vAlign w:val="center"/>
          </w:tcPr>
          <w:p w:rsidR="001A78DC" w:rsidRDefault="009F1A23">
            <w:pPr>
              <w:jc w:val="right"/>
            </w:pPr>
            <w:r>
              <w:rPr>
                <w:color w:val="000000"/>
                <w:sz w:val="24"/>
                <w:szCs w:val="24"/>
              </w:rPr>
              <w:t>10,776,000.00</w:t>
            </w:r>
          </w:p>
        </w:tc>
        <w:tc>
          <w:tcPr>
            <w:tcW w:w="1237" w:type="dxa"/>
            <w:vAlign w:val="center"/>
          </w:tcPr>
          <w:p w:rsidR="001A78DC" w:rsidRDefault="009F1A23">
            <w:pPr>
              <w:jc w:val="right"/>
            </w:pPr>
            <w:r>
              <w:rPr>
                <w:color w:val="000000"/>
                <w:sz w:val="24"/>
                <w:szCs w:val="24"/>
              </w:rPr>
              <w:t>10.00</w:t>
            </w:r>
          </w:p>
        </w:tc>
      </w:tr>
      <w:tr w:rsidR="001A78DC">
        <w:trPr>
          <w:jc w:val="center"/>
        </w:trPr>
        <w:tc>
          <w:tcPr>
            <w:tcW w:w="850" w:type="dxa"/>
            <w:vAlign w:val="center"/>
          </w:tcPr>
          <w:p w:rsidR="001A78DC" w:rsidRDefault="009F1A23">
            <w:pPr>
              <w:jc w:val="center"/>
            </w:pPr>
            <w:r>
              <w:rPr>
                <w:color w:val="000000"/>
                <w:sz w:val="24"/>
                <w:szCs w:val="24"/>
              </w:rPr>
              <w:t>3</w:t>
            </w:r>
          </w:p>
        </w:tc>
        <w:tc>
          <w:tcPr>
            <w:tcW w:w="1475" w:type="dxa"/>
            <w:vAlign w:val="center"/>
          </w:tcPr>
          <w:p w:rsidR="001A78DC" w:rsidRDefault="009F1A23">
            <w:pPr>
              <w:jc w:val="center"/>
            </w:pPr>
            <w:r>
              <w:rPr>
                <w:color w:val="000000"/>
                <w:sz w:val="24"/>
                <w:szCs w:val="24"/>
              </w:rPr>
              <w:t>124386</w:t>
            </w:r>
          </w:p>
        </w:tc>
        <w:tc>
          <w:tcPr>
            <w:tcW w:w="1769" w:type="dxa"/>
            <w:vAlign w:val="center"/>
          </w:tcPr>
          <w:p w:rsidR="001A78DC" w:rsidRDefault="009F1A23">
            <w:pPr>
              <w:jc w:val="center"/>
            </w:pPr>
            <w:r>
              <w:rPr>
                <w:color w:val="000000"/>
                <w:sz w:val="24"/>
                <w:szCs w:val="24"/>
              </w:rPr>
              <w:t>13</w:t>
            </w:r>
            <w:r>
              <w:rPr>
                <w:color w:val="000000"/>
                <w:sz w:val="24"/>
                <w:szCs w:val="24"/>
              </w:rPr>
              <w:t>新沂债</w:t>
            </w:r>
          </w:p>
        </w:tc>
        <w:tc>
          <w:tcPr>
            <w:tcW w:w="1387" w:type="dxa"/>
            <w:vAlign w:val="center"/>
          </w:tcPr>
          <w:p w:rsidR="001A78DC" w:rsidRDefault="009F1A23">
            <w:pPr>
              <w:jc w:val="right"/>
            </w:pPr>
            <w:r>
              <w:rPr>
                <w:color w:val="000000"/>
                <w:sz w:val="24"/>
                <w:szCs w:val="24"/>
              </w:rPr>
              <w:t>99,970</w:t>
            </w:r>
          </w:p>
        </w:tc>
        <w:tc>
          <w:tcPr>
            <w:tcW w:w="2150" w:type="dxa"/>
            <w:vAlign w:val="center"/>
          </w:tcPr>
          <w:p w:rsidR="001A78DC" w:rsidRDefault="009F1A23">
            <w:pPr>
              <w:jc w:val="right"/>
            </w:pPr>
            <w:r>
              <w:rPr>
                <w:color w:val="000000"/>
                <w:sz w:val="24"/>
                <w:szCs w:val="24"/>
              </w:rPr>
              <w:t>10,577,825.70</w:t>
            </w:r>
          </w:p>
        </w:tc>
        <w:tc>
          <w:tcPr>
            <w:tcW w:w="1237" w:type="dxa"/>
            <w:vAlign w:val="center"/>
          </w:tcPr>
          <w:p w:rsidR="001A78DC" w:rsidRDefault="009F1A23">
            <w:pPr>
              <w:jc w:val="right"/>
            </w:pPr>
            <w:r>
              <w:rPr>
                <w:color w:val="000000"/>
                <w:sz w:val="24"/>
                <w:szCs w:val="24"/>
              </w:rPr>
              <w:t>9.81</w:t>
            </w:r>
          </w:p>
        </w:tc>
      </w:tr>
      <w:tr w:rsidR="001A78DC">
        <w:trPr>
          <w:jc w:val="center"/>
        </w:trPr>
        <w:tc>
          <w:tcPr>
            <w:tcW w:w="850" w:type="dxa"/>
            <w:vAlign w:val="center"/>
          </w:tcPr>
          <w:p w:rsidR="001A78DC" w:rsidRDefault="009F1A23">
            <w:pPr>
              <w:jc w:val="center"/>
            </w:pPr>
            <w:r>
              <w:rPr>
                <w:color w:val="000000"/>
                <w:sz w:val="24"/>
                <w:szCs w:val="24"/>
              </w:rPr>
              <w:t>4</w:t>
            </w:r>
          </w:p>
        </w:tc>
        <w:tc>
          <w:tcPr>
            <w:tcW w:w="1475" w:type="dxa"/>
            <w:vAlign w:val="center"/>
          </w:tcPr>
          <w:p w:rsidR="001A78DC" w:rsidRDefault="009F1A23">
            <w:pPr>
              <w:jc w:val="center"/>
            </w:pPr>
            <w:r>
              <w:rPr>
                <w:color w:val="000000"/>
                <w:sz w:val="24"/>
                <w:szCs w:val="24"/>
              </w:rPr>
              <w:t>122286</w:t>
            </w:r>
          </w:p>
        </w:tc>
        <w:tc>
          <w:tcPr>
            <w:tcW w:w="1769" w:type="dxa"/>
            <w:vAlign w:val="center"/>
          </w:tcPr>
          <w:p w:rsidR="001A78DC" w:rsidRDefault="009F1A23">
            <w:pPr>
              <w:jc w:val="center"/>
            </w:pPr>
            <w:r>
              <w:rPr>
                <w:color w:val="000000"/>
                <w:sz w:val="24"/>
                <w:szCs w:val="24"/>
              </w:rPr>
              <w:t>13</w:t>
            </w:r>
            <w:r>
              <w:rPr>
                <w:color w:val="000000"/>
                <w:sz w:val="24"/>
                <w:szCs w:val="24"/>
              </w:rPr>
              <w:t>中信建</w:t>
            </w:r>
          </w:p>
        </w:tc>
        <w:tc>
          <w:tcPr>
            <w:tcW w:w="1387" w:type="dxa"/>
            <w:vAlign w:val="center"/>
          </w:tcPr>
          <w:p w:rsidR="001A78DC" w:rsidRDefault="009F1A23">
            <w:pPr>
              <w:jc w:val="right"/>
            </w:pPr>
            <w:r>
              <w:rPr>
                <w:color w:val="000000"/>
                <w:sz w:val="24"/>
                <w:szCs w:val="24"/>
              </w:rPr>
              <w:t>100,000</w:t>
            </w:r>
          </w:p>
        </w:tc>
        <w:tc>
          <w:tcPr>
            <w:tcW w:w="2150" w:type="dxa"/>
            <w:vAlign w:val="center"/>
          </w:tcPr>
          <w:p w:rsidR="001A78DC" w:rsidRDefault="009F1A23">
            <w:pPr>
              <w:jc w:val="right"/>
            </w:pPr>
            <w:r>
              <w:rPr>
                <w:color w:val="000000"/>
                <w:sz w:val="24"/>
                <w:szCs w:val="24"/>
              </w:rPr>
              <w:t>10,327,000.00</w:t>
            </w:r>
          </w:p>
        </w:tc>
        <w:tc>
          <w:tcPr>
            <w:tcW w:w="1237" w:type="dxa"/>
            <w:vAlign w:val="center"/>
          </w:tcPr>
          <w:p w:rsidR="001A78DC" w:rsidRDefault="009F1A23">
            <w:pPr>
              <w:jc w:val="right"/>
            </w:pPr>
            <w:r>
              <w:rPr>
                <w:color w:val="000000"/>
                <w:sz w:val="24"/>
                <w:szCs w:val="24"/>
              </w:rPr>
              <w:t>9.58</w:t>
            </w:r>
          </w:p>
        </w:tc>
      </w:tr>
      <w:tr w:rsidR="001A78DC">
        <w:trPr>
          <w:jc w:val="center"/>
        </w:trPr>
        <w:tc>
          <w:tcPr>
            <w:tcW w:w="850" w:type="dxa"/>
            <w:vAlign w:val="center"/>
          </w:tcPr>
          <w:p w:rsidR="001A78DC" w:rsidRDefault="009F1A23">
            <w:pPr>
              <w:jc w:val="center"/>
            </w:pPr>
            <w:r>
              <w:rPr>
                <w:color w:val="000000"/>
                <w:sz w:val="24"/>
                <w:szCs w:val="24"/>
              </w:rPr>
              <w:t>5</w:t>
            </w:r>
          </w:p>
        </w:tc>
        <w:tc>
          <w:tcPr>
            <w:tcW w:w="1475" w:type="dxa"/>
            <w:vAlign w:val="center"/>
          </w:tcPr>
          <w:p w:rsidR="001A78DC" w:rsidRDefault="009F1A23">
            <w:pPr>
              <w:jc w:val="center"/>
            </w:pPr>
            <w:r>
              <w:rPr>
                <w:color w:val="000000"/>
                <w:sz w:val="24"/>
                <w:szCs w:val="24"/>
              </w:rPr>
              <w:t>122826</w:t>
            </w:r>
          </w:p>
        </w:tc>
        <w:tc>
          <w:tcPr>
            <w:tcW w:w="1769" w:type="dxa"/>
            <w:vAlign w:val="center"/>
          </w:tcPr>
          <w:p w:rsidR="001A78DC" w:rsidRDefault="009F1A23">
            <w:pPr>
              <w:jc w:val="center"/>
            </w:pPr>
            <w:r>
              <w:rPr>
                <w:color w:val="000000"/>
                <w:sz w:val="24"/>
                <w:szCs w:val="24"/>
              </w:rPr>
              <w:t>11</w:t>
            </w:r>
            <w:r>
              <w:rPr>
                <w:color w:val="000000"/>
                <w:sz w:val="24"/>
                <w:szCs w:val="24"/>
              </w:rPr>
              <w:t>北港债</w:t>
            </w:r>
          </w:p>
        </w:tc>
        <w:tc>
          <w:tcPr>
            <w:tcW w:w="1387" w:type="dxa"/>
            <w:vAlign w:val="center"/>
          </w:tcPr>
          <w:p w:rsidR="001A78DC" w:rsidRDefault="009F1A23">
            <w:pPr>
              <w:jc w:val="right"/>
            </w:pPr>
            <w:r>
              <w:rPr>
                <w:color w:val="000000"/>
                <w:sz w:val="24"/>
                <w:szCs w:val="24"/>
              </w:rPr>
              <w:t>100,000</w:t>
            </w:r>
          </w:p>
        </w:tc>
        <w:tc>
          <w:tcPr>
            <w:tcW w:w="2150" w:type="dxa"/>
            <w:vAlign w:val="center"/>
          </w:tcPr>
          <w:p w:rsidR="001A78DC" w:rsidRDefault="009F1A23">
            <w:pPr>
              <w:jc w:val="right"/>
            </w:pPr>
            <w:r>
              <w:rPr>
                <w:color w:val="000000"/>
                <w:sz w:val="24"/>
                <w:szCs w:val="24"/>
              </w:rPr>
              <w:t>10,312,000.00</w:t>
            </w:r>
          </w:p>
        </w:tc>
        <w:tc>
          <w:tcPr>
            <w:tcW w:w="1237" w:type="dxa"/>
            <w:vAlign w:val="center"/>
          </w:tcPr>
          <w:p w:rsidR="001A78DC" w:rsidRDefault="009F1A23">
            <w:pPr>
              <w:jc w:val="right"/>
            </w:pPr>
            <w:r>
              <w:rPr>
                <w:color w:val="000000"/>
                <w:sz w:val="24"/>
                <w:szCs w:val="24"/>
              </w:rPr>
              <w:t>9.57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30,937.63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2,186,069.16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70,269.53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2,287,276.32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60,767,538.95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35,658,811.27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13,443,873.12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82,982,477.10</w:t>
            </w:r>
          </w:p>
        </w:tc>
      </w:tr>
    </w:tbl>
    <w:p w:rsidR="001A78DC" w:rsidRDefault="009F1A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F1A2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9F1A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A78DC" w:rsidRDefault="009F1A2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1A78DC" w:rsidRDefault="009F1A2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1A78DC" w:rsidRDefault="009F1A2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1A78DC" w:rsidRDefault="009F1A2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1A78DC" w:rsidRDefault="009F1A2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A78DC" w:rsidRDefault="009F1A2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A78DC" w:rsidRDefault="009F1A2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A78DC" w:rsidRDefault="009F1A2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EC" w:rsidRDefault="00C303EC" w:rsidP="00876D65">
      <w:r>
        <w:separator/>
      </w:r>
    </w:p>
  </w:endnote>
  <w:endnote w:type="continuationSeparator" w:id="0">
    <w:p w:rsidR="00C303EC" w:rsidRDefault="00C303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A78DC">
      <w:rPr>
        <w:kern w:val="0"/>
        <w:szCs w:val="21"/>
      </w:rPr>
      <w:fldChar w:fldCharType="begin"/>
    </w:r>
    <w:r>
      <w:rPr>
        <w:kern w:val="0"/>
        <w:szCs w:val="21"/>
      </w:rPr>
      <w:instrText xml:space="preserve"> PAGE </w:instrText>
    </w:r>
    <w:r w:rsidR="001A78DC">
      <w:rPr>
        <w:kern w:val="0"/>
        <w:szCs w:val="21"/>
      </w:rPr>
      <w:fldChar w:fldCharType="separate"/>
    </w:r>
    <w:r w:rsidR="0060736B">
      <w:rPr>
        <w:noProof/>
        <w:kern w:val="0"/>
        <w:szCs w:val="21"/>
      </w:rPr>
      <w:t>1</w:t>
    </w:r>
    <w:r w:rsidR="001A78DC">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A78DC">
      <w:rPr>
        <w:kern w:val="0"/>
        <w:szCs w:val="21"/>
      </w:rPr>
      <w:fldChar w:fldCharType="begin"/>
    </w:r>
    <w:r>
      <w:rPr>
        <w:kern w:val="0"/>
        <w:szCs w:val="21"/>
      </w:rPr>
      <w:instrText xml:space="preserve"> NUMPAGES </w:instrText>
    </w:r>
    <w:r w:rsidR="001A78DC">
      <w:rPr>
        <w:kern w:val="0"/>
        <w:szCs w:val="21"/>
      </w:rPr>
      <w:fldChar w:fldCharType="separate"/>
    </w:r>
    <w:r w:rsidR="0060736B">
      <w:rPr>
        <w:noProof/>
        <w:kern w:val="0"/>
        <w:szCs w:val="21"/>
      </w:rPr>
      <w:t>11</w:t>
    </w:r>
    <w:r w:rsidR="001A78DC">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EC" w:rsidRDefault="00C303EC" w:rsidP="00876D65">
      <w:r>
        <w:separator/>
      </w:r>
    </w:p>
  </w:footnote>
  <w:footnote w:type="continuationSeparator" w:id="0">
    <w:p w:rsidR="00C303EC" w:rsidRDefault="00C303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A78DC"/>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36B"/>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1A23"/>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1E68"/>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303EC"/>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1D1879-B701-4689-98FA-71307D40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AFA6-AB42-4241-BE63-A48F990E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2015-10-22T06:52:00Z</dcterms:modified>
</cp:coreProperties>
</file>