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3019C" w:rsidRDefault="00BD161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83019C" w:rsidRDefault="00BD161A">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83019C" w:rsidRDefault="00BD161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83019C" w:rsidRDefault="00BD161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83019C" w:rsidRDefault="00BD161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199,476,968.38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E7C3B" w:rsidRPr="00414345" w:rsidTr="00CE7C3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E7C3B" w:rsidRPr="00414345" w:rsidTr="00CE7C3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-32,103,503.89</w:t>
            </w:r>
          </w:p>
        </w:tc>
      </w:tr>
      <w:tr w:rsidR="00CE7C3B" w:rsidRPr="00414345" w:rsidTr="00CE7C3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-62,292,790.17</w:t>
            </w:r>
          </w:p>
        </w:tc>
      </w:tr>
      <w:tr w:rsidR="00CE7C3B" w:rsidRPr="00414345" w:rsidTr="00CE7C3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-0.2998</w:t>
            </w:r>
          </w:p>
        </w:tc>
      </w:tr>
      <w:tr w:rsidR="00CE7C3B" w:rsidRPr="00414345" w:rsidTr="00CE7C3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252,175,355.74</w:t>
            </w:r>
          </w:p>
        </w:tc>
      </w:tr>
      <w:tr w:rsidR="00CE7C3B" w:rsidRPr="00414345" w:rsidTr="00CE7C3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1.264</w:t>
            </w:r>
          </w:p>
        </w:tc>
      </w:tr>
    </w:tbl>
    <w:p w:rsidR="0083019C" w:rsidRDefault="00BD16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3019C">
        <w:trPr>
          <w:jc w:val="center"/>
        </w:trPr>
        <w:tc>
          <w:tcPr>
            <w:tcW w:w="1701" w:type="dxa"/>
            <w:vAlign w:val="center"/>
          </w:tcPr>
          <w:p w:rsidR="0083019C" w:rsidRDefault="00BD161A">
            <w:pPr>
              <w:jc w:val="left"/>
            </w:pPr>
            <w:r>
              <w:rPr>
                <w:color w:val="000000"/>
                <w:sz w:val="24"/>
                <w:szCs w:val="24"/>
              </w:rPr>
              <w:t>过去三个月</w:t>
            </w:r>
          </w:p>
        </w:tc>
        <w:tc>
          <w:tcPr>
            <w:tcW w:w="1045" w:type="dxa"/>
            <w:vAlign w:val="center"/>
          </w:tcPr>
          <w:p w:rsidR="0083019C" w:rsidRDefault="00BD161A">
            <w:pPr>
              <w:jc w:val="center"/>
            </w:pPr>
            <w:r>
              <w:rPr>
                <w:color w:val="000000"/>
                <w:sz w:val="24"/>
                <w:szCs w:val="24"/>
              </w:rPr>
              <w:t>-16.46%</w:t>
            </w:r>
          </w:p>
        </w:tc>
        <w:tc>
          <w:tcPr>
            <w:tcW w:w="1344" w:type="dxa"/>
            <w:vAlign w:val="center"/>
          </w:tcPr>
          <w:p w:rsidR="0083019C" w:rsidRDefault="00BD161A">
            <w:pPr>
              <w:jc w:val="center"/>
            </w:pPr>
            <w:r>
              <w:rPr>
                <w:color w:val="000000"/>
                <w:sz w:val="24"/>
                <w:szCs w:val="24"/>
              </w:rPr>
              <w:t>3.65%</w:t>
            </w:r>
          </w:p>
        </w:tc>
        <w:tc>
          <w:tcPr>
            <w:tcW w:w="1194" w:type="dxa"/>
            <w:vAlign w:val="center"/>
          </w:tcPr>
          <w:p w:rsidR="0083019C" w:rsidRDefault="00BD161A">
            <w:pPr>
              <w:jc w:val="center"/>
            </w:pPr>
            <w:r>
              <w:rPr>
                <w:color w:val="000000"/>
                <w:sz w:val="24"/>
                <w:szCs w:val="24"/>
              </w:rPr>
              <w:t>-21.26%</w:t>
            </w:r>
          </w:p>
        </w:tc>
        <w:tc>
          <w:tcPr>
            <w:tcW w:w="1492" w:type="dxa"/>
            <w:vAlign w:val="center"/>
          </w:tcPr>
          <w:p w:rsidR="0083019C" w:rsidRDefault="00BD161A">
            <w:pPr>
              <w:jc w:val="center"/>
            </w:pPr>
            <w:r>
              <w:rPr>
                <w:color w:val="000000"/>
                <w:sz w:val="24"/>
                <w:szCs w:val="24"/>
              </w:rPr>
              <w:t>2.51%</w:t>
            </w:r>
          </w:p>
        </w:tc>
        <w:tc>
          <w:tcPr>
            <w:tcW w:w="1194" w:type="dxa"/>
            <w:vAlign w:val="center"/>
          </w:tcPr>
          <w:p w:rsidR="0083019C" w:rsidRDefault="00BD161A">
            <w:pPr>
              <w:jc w:val="center"/>
            </w:pPr>
            <w:r>
              <w:rPr>
                <w:color w:val="000000"/>
                <w:sz w:val="24"/>
                <w:szCs w:val="24"/>
              </w:rPr>
              <w:t>4.80%</w:t>
            </w:r>
          </w:p>
        </w:tc>
        <w:tc>
          <w:tcPr>
            <w:tcW w:w="898" w:type="dxa"/>
            <w:vAlign w:val="center"/>
          </w:tcPr>
          <w:p w:rsidR="0083019C" w:rsidRDefault="00BD161A">
            <w:pPr>
              <w:jc w:val="center"/>
            </w:pPr>
            <w:r>
              <w:rPr>
                <w:color w:val="000000"/>
                <w:sz w:val="24"/>
                <w:szCs w:val="24"/>
              </w:rPr>
              <w:t>1.14%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3019C">
        <w:trPr>
          <w:jc w:val="center"/>
        </w:trPr>
        <w:tc>
          <w:tcPr>
            <w:tcW w:w="846" w:type="dxa"/>
            <w:vAlign w:val="center"/>
          </w:tcPr>
          <w:p w:rsidR="0083019C" w:rsidRDefault="00BD161A">
            <w:pPr>
              <w:jc w:val="center"/>
            </w:pPr>
            <w:r>
              <w:rPr>
                <w:color w:val="000000"/>
                <w:sz w:val="24"/>
                <w:szCs w:val="24"/>
              </w:rPr>
              <w:t>曹文俊</w:t>
            </w:r>
          </w:p>
        </w:tc>
        <w:tc>
          <w:tcPr>
            <w:tcW w:w="845" w:type="dxa"/>
            <w:vAlign w:val="center"/>
          </w:tcPr>
          <w:p w:rsidR="0083019C" w:rsidRDefault="00BD161A">
            <w:pPr>
              <w:jc w:val="center"/>
            </w:pPr>
            <w:r>
              <w:rPr>
                <w:color w:val="000000"/>
                <w:sz w:val="24"/>
                <w:szCs w:val="24"/>
              </w:rPr>
              <w:t>交银精选混合、交银趋势混合的基金经理</w:t>
            </w:r>
          </w:p>
        </w:tc>
        <w:tc>
          <w:tcPr>
            <w:tcW w:w="1549" w:type="dxa"/>
            <w:vAlign w:val="center"/>
          </w:tcPr>
          <w:p w:rsidR="0083019C" w:rsidRDefault="00BD161A">
            <w:pPr>
              <w:jc w:val="center"/>
            </w:pPr>
            <w:r>
              <w:rPr>
                <w:color w:val="000000"/>
                <w:sz w:val="24"/>
                <w:szCs w:val="24"/>
              </w:rPr>
              <w:t>2013-08-08</w:t>
            </w:r>
          </w:p>
        </w:tc>
        <w:tc>
          <w:tcPr>
            <w:tcW w:w="1548" w:type="dxa"/>
            <w:vAlign w:val="center"/>
          </w:tcPr>
          <w:p w:rsidR="0083019C" w:rsidRDefault="00BD161A">
            <w:pPr>
              <w:jc w:val="center"/>
            </w:pPr>
            <w:r>
              <w:rPr>
                <w:color w:val="000000"/>
                <w:sz w:val="24"/>
                <w:szCs w:val="24"/>
              </w:rPr>
              <w:t>-</w:t>
            </w:r>
          </w:p>
        </w:tc>
        <w:tc>
          <w:tcPr>
            <w:tcW w:w="1407" w:type="dxa"/>
            <w:vAlign w:val="center"/>
          </w:tcPr>
          <w:p w:rsidR="0083019C" w:rsidRDefault="00BD161A">
            <w:pPr>
              <w:jc w:val="center"/>
            </w:pPr>
            <w:r>
              <w:rPr>
                <w:color w:val="000000"/>
                <w:sz w:val="24"/>
                <w:szCs w:val="24"/>
              </w:rPr>
              <w:t>10</w:t>
            </w:r>
            <w:r>
              <w:rPr>
                <w:color w:val="000000"/>
                <w:sz w:val="24"/>
                <w:szCs w:val="24"/>
              </w:rPr>
              <w:t>年</w:t>
            </w:r>
          </w:p>
        </w:tc>
        <w:tc>
          <w:tcPr>
            <w:tcW w:w="2673" w:type="dxa"/>
            <w:vAlign w:val="center"/>
          </w:tcPr>
          <w:p w:rsidR="0083019C" w:rsidRDefault="00BD161A">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3019C" w:rsidRDefault="00BD161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3019C" w:rsidRDefault="00BD161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3019C" w:rsidRDefault="00BD161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3019C" w:rsidRDefault="00BD161A">
      <w:pPr>
        <w:spacing w:before="29" w:line="288" w:lineRule="auto"/>
        <w:ind w:firstLineChars="200" w:firstLine="480"/>
        <w:rPr>
          <w:color w:val="000000"/>
          <w:sz w:val="24"/>
          <w:szCs w:val="24"/>
        </w:rPr>
      </w:pPr>
      <w:r>
        <w:rPr>
          <w:color w:val="000000"/>
          <w:sz w:val="24"/>
          <w:szCs w:val="24"/>
        </w:rPr>
        <w:t>三季度市场一路下跌寻底，整体跌幅较大，同时伴随显著缩量。从指数表现来看，主板和中小盘指数表现差异并不大，市场呈现普跌格局，降杠杆是市场大幅下跌的核心原因。从宏观数据来看，经济增速依然疲软，国内经济刺激力度进一步加强，宽松货币政策延续；而海外市场，美国因经济数据表现反复，加息预期有所缓和，有利于市场流动性改善。三季度本基金净值表现跑赢业绩比较基准，主要缘于组合及时采取积极防御策略，一定程度上避免了净值损失。</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展望未来一个季度，我们对市场的态度由谨慎转向较为乐观，或将积极参与投资。我们从防御策略转向较为乐观态度主要有两个原因：一方面，经历快速去杠杆过程后，市场的杠杆水平已经大幅下降；另一方面，从绝对估值水平来看，部分优质成长股的估值已经具备一定吸引力。选股方向上，我们认为三季度业绩增速仍需考验，因此在三季度业绩明朗之前，选股侧重点依然在于挑选业绩风险较小的优质成长股，待三季报披露后可以适当考虑增加中期空间大的主题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1.264</w:t>
      </w:r>
      <w:r w:rsidRPr="00414345">
        <w:rPr>
          <w:color w:val="000000"/>
          <w:sz w:val="24"/>
          <w:szCs w:val="24"/>
        </w:rPr>
        <w:t>元，本报告期份额净值增长率为</w:t>
      </w:r>
      <w:r w:rsidRPr="00414345">
        <w:rPr>
          <w:color w:val="000000"/>
          <w:sz w:val="24"/>
          <w:szCs w:val="24"/>
        </w:rPr>
        <w:t>-16.46%</w:t>
      </w:r>
      <w:r w:rsidRPr="00414345">
        <w:rPr>
          <w:color w:val="000000"/>
          <w:sz w:val="24"/>
          <w:szCs w:val="24"/>
        </w:rPr>
        <w:t>，同期业绩比较基准增长率为</w:t>
      </w:r>
      <w:r w:rsidRPr="00414345">
        <w:rPr>
          <w:color w:val="000000"/>
          <w:sz w:val="24"/>
          <w:szCs w:val="24"/>
        </w:rPr>
        <w:t>-21.26%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207,157,929.99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207,157,929.99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81.68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10,003,000.00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10,003,000.00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35,500,055.53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968,658.79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253,629,644.31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138,607,460.66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2,906,468.75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20,584,702.21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6,178,450.62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12,553,502.40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5,351,108.00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20,976,237.35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207,157,929.99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3019C">
        <w:trPr>
          <w:jc w:val="center"/>
        </w:trPr>
        <w:tc>
          <w:tcPr>
            <w:tcW w:w="855" w:type="dxa"/>
            <w:vAlign w:val="center"/>
          </w:tcPr>
          <w:p w:rsidR="0083019C" w:rsidRDefault="00BD161A">
            <w:pPr>
              <w:jc w:val="center"/>
            </w:pPr>
            <w:r>
              <w:rPr>
                <w:color w:val="000000"/>
                <w:sz w:val="24"/>
                <w:szCs w:val="24"/>
              </w:rPr>
              <w:t>1</w:t>
            </w:r>
          </w:p>
        </w:tc>
        <w:tc>
          <w:tcPr>
            <w:tcW w:w="1334" w:type="dxa"/>
            <w:vAlign w:val="center"/>
          </w:tcPr>
          <w:p w:rsidR="0083019C" w:rsidRDefault="00BD161A">
            <w:pPr>
              <w:jc w:val="center"/>
            </w:pPr>
            <w:r>
              <w:rPr>
                <w:color w:val="000000"/>
                <w:sz w:val="24"/>
                <w:szCs w:val="24"/>
              </w:rPr>
              <w:t>000902</w:t>
            </w:r>
          </w:p>
        </w:tc>
        <w:tc>
          <w:tcPr>
            <w:tcW w:w="1777" w:type="dxa"/>
            <w:vAlign w:val="center"/>
          </w:tcPr>
          <w:p w:rsidR="0083019C" w:rsidRDefault="00BD161A">
            <w:pPr>
              <w:jc w:val="center"/>
            </w:pPr>
            <w:r>
              <w:rPr>
                <w:color w:val="000000"/>
                <w:sz w:val="24"/>
                <w:szCs w:val="24"/>
              </w:rPr>
              <w:t>新洋丰</w:t>
            </w:r>
          </w:p>
        </w:tc>
        <w:tc>
          <w:tcPr>
            <w:tcW w:w="1334" w:type="dxa"/>
            <w:vAlign w:val="center"/>
          </w:tcPr>
          <w:p w:rsidR="0083019C" w:rsidRDefault="00BD161A">
            <w:pPr>
              <w:jc w:val="right"/>
            </w:pPr>
            <w:r>
              <w:rPr>
                <w:color w:val="000000"/>
                <w:sz w:val="24"/>
                <w:szCs w:val="24"/>
              </w:rPr>
              <w:t>803,700</w:t>
            </w:r>
          </w:p>
        </w:tc>
        <w:tc>
          <w:tcPr>
            <w:tcW w:w="1924" w:type="dxa"/>
            <w:vAlign w:val="center"/>
          </w:tcPr>
          <w:p w:rsidR="0083019C" w:rsidRDefault="00BD161A">
            <w:pPr>
              <w:jc w:val="right"/>
            </w:pPr>
            <w:r>
              <w:rPr>
                <w:color w:val="000000"/>
                <w:sz w:val="24"/>
                <w:szCs w:val="24"/>
              </w:rPr>
              <w:t>17,882,325.00</w:t>
            </w:r>
          </w:p>
        </w:tc>
        <w:tc>
          <w:tcPr>
            <w:tcW w:w="1644" w:type="dxa"/>
            <w:vAlign w:val="center"/>
          </w:tcPr>
          <w:p w:rsidR="0083019C" w:rsidRDefault="00BD161A">
            <w:pPr>
              <w:jc w:val="right"/>
            </w:pPr>
            <w:r>
              <w:rPr>
                <w:color w:val="000000"/>
                <w:sz w:val="24"/>
                <w:szCs w:val="24"/>
              </w:rPr>
              <w:t>7.09</w:t>
            </w:r>
          </w:p>
        </w:tc>
      </w:tr>
      <w:tr w:rsidR="0083019C">
        <w:trPr>
          <w:jc w:val="center"/>
        </w:trPr>
        <w:tc>
          <w:tcPr>
            <w:tcW w:w="855" w:type="dxa"/>
            <w:vAlign w:val="center"/>
          </w:tcPr>
          <w:p w:rsidR="0083019C" w:rsidRDefault="00BD161A">
            <w:pPr>
              <w:jc w:val="center"/>
            </w:pPr>
            <w:r>
              <w:rPr>
                <w:color w:val="000000"/>
                <w:sz w:val="24"/>
                <w:szCs w:val="24"/>
              </w:rPr>
              <w:t>2</w:t>
            </w:r>
          </w:p>
        </w:tc>
        <w:tc>
          <w:tcPr>
            <w:tcW w:w="1334" w:type="dxa"/>
            <w:vAlign w:val="center"/>
          </w:tcPr>
          <w:p w:rsidR="0083019C" w:rsidRDefault="00BD161A">
            <w:pPr>
              <w:jc w:val="center"/>
            </w:pPr>
            <w:r>
              <w:rPr>
                <w:color w:val="000000"/>
                <w:sz w:val="24"/>
                <w:szCs w:val="24"/>
              </w:rPr>
              <w:t>002415</w:t>
            </w:r>
          </w:p>
        </w:tc>
        <w:tc>
          <w:tcPr>
            <w:tcW w:w="1777" w:type="dxa"/>
            <w:vAlign w:val="center"/>
          </w:tcPr>
          <w:p w:rsidR="0083019C" w:rsidRDefault="00BD161A">
            <w:pPr>
              <w:jc w:val="center"/>
            </w:pPr>
            <w:r>
              <w:rPr>
                <w:color w:val="000000"/>
                <w:sz w:val="24"/>
                <w:szCs w:val="24"/>
              </w:rPr>
              <w:t>海康威视</w:t>
            </w:r>
          </w:p>
        </w:tc>
        <w:tc>
          <w:tcPr>
            <w:tcW w:w="1334" w:type="dxa"/>
            <w:vAlign w:val="center"/>
          </w:tcPr>
          <w:p w:rsidR="0083019C" w:rsidRDefault="00BD161A">
            <w:pPr>
              <w:jc w:val="right"/>
            </w:pPr>
            <w:r>
              <w:rPr>
                <w:color w:val="000000"/>
                <w:sz w:val="24"/>
                <w:szCs w:val="24"/>
              </w:rPr>
              <w:t>450,162</w:t>
            </w:r>
          </w:p>
        </w:tc>
        <w:tc>
          <w:tcPr>
            <w:tcW w:w="1924" w:type="dxa"/>
            <w:vAlign w:val="center"/>
          </w:tcPr>
          <w:p w:rsidR="0083019C" w:rsidRDefault="00BD161A">
            <w:pPr>
              <w:jc w:val="right"/>
            </w:pPr>
            <w:r>
              <w:rPr>
                <w:color w:val="000000"/>
                <w:sz w:val="24"/>
                <w:szCs w:val="24"/>
              </w:rPr>
              <w:t>14,666,277.96</w:t>
            </w:r>
          </w:p>
        </w:tc>
        <w:tc>
          <w:tcPr>
            <w:tcW w:w="1644" w:type="dxa"/>
            <w:vAlign w:val="center"/>
          </w:tcPr>
          <w:p w:rsidR="0083019C" w:rsidRDefault="00BD161A">
            <w:pPr>
              <w:jc w:val="right"/>
            </w:pPr>
            <w:r>
              <w:rPr>
                <w:color w:val="000000"/>
                <w:sz w:val="24"/>
                <w:szCs w:val="24"/>
              </w:rPr>
              <w:t>5.82</w:t>
            </w:r>
          </w:p>
        </w:tc>
      </w:tr>
      <w:tr w:rsidR="0083019C">
        <w:trPr>
          <w:jc w:val="center"/>
        </w:trPr>
        <w:tc>
          <w:tcPr>
            <w:tcW w:w="855" w:type="dxa"/>
            <w:vAlign w:val="center"/>
          </w:tcPr>
          <w:p w:rsidR="0083019C" w:rsidRDefault="00BD161A">
            <w:pPr>
              <w:jc w:val="center"/>
            </w:pPr>
            <w:r>
              <w:rPr>
                <w:color w:val="000000"/>
                <w:sz w:val="24"/>
                <w:szCs w:val="24"/>
              </w:rPr>
              <w:t>3</w:t>
            </w:r>
          </w:p>
        </w:tc>
        <w:tc>
          <w:tcPr>
            <w:tcW w:w="1334" w:type="dxa"/>
            <w:vAlign w:val="center"/>
          </w:tcPr>
          <w:p w:rsidR="0083019C" w:rsidRDefault="00BD161A">
            <w:pPr>
              <w:jc w:val="center"/>
            </w:pPr>
            <w:r>
              <w:rPr>
                <w:color w:val="000000"/>
                <w:sz w:val="24"/>
                <w:szCs w:val="24"/>
              </w:rPr>
              <w:t>002020</w:t>
            </w:r>
          </w:p>
        </w:tc>
        <w:tc>
          <w:tcPr>
            <w:tcW w:w="1777" w:type="dxa"/>
            <w:vAlign w:val="center"/>
          </w:tcPr>
          <w:p w:rsidR="0083019C" w:rsidRDefault="00BD161A">
            <w:pPr>
              <w:jc w:val="center"/>
            </w:pPr>
            <w:r>
              <w:rPr>
                <w:color w:val="000000"/>
                <w:sz w:val="24"/>
                <w:szCs w:val="24"/>
              </w:rPr>
              <w:t>京新药业</w:t>
            </w:r>
          </w:p>
        </w:tc>
        <w:tc>
          <w:tcPr>
            <w:tcW w:w="1334" w:type="dxa"/>
            <w:vAlign w:val="center"/>
          </w:tcPr>
          <w:p w:rsidR="0083019C" w:rsidRDefault="00BD161A">
            <w:pPr>
              <w:jc w:val="right"/>
            </w:pPr>
            <w:r>
              <w:rPr>
                <w:color w:val="000000"/>
                <w:sz w:val="24"/>
                <w:szCs w:val="24"/>
              </w:rPr>
              <w:t>529,258</w:t>
            </w:r>
          </w:p>
        </w:tc>
        <w:tc>
          <w:tcPr>
            <w:tcW w:w="1924" w:type="dxa"/>
            <w:vAlign w:val="center"/>
          </w:tcPr>
          <w:p w:rsidR="0083019C" w:rsidRDefault="00BD161A">
            <w:pPr>
              <w:jc w:val="right"/>
            </w:pPr>
            <w:r>
              <w:rPr>
                <w:color w:val="000000"/>
                <w:sz w:val="24"/>
                <w:szCs w:val="24"/>
              </w:rPr>
              <w:t>14,025,337.00</w:t>
            </w:r>
          </w:p>
        </w:tc>
        <w:tc>
          <w:tcPr>
            <w:tcW w:w="1644" w:type="dxa"/>
            <w:vAlign w:val="center"/>
          </w:tcPr>
          <w:p w:rsidR="0083019C" w:rsidRDefault="00BD161A">
            <w:pPr>
              <w:jc w:val="right"/>
            </w:pPr>
            <w:r>
              <w:rPr>
                <w:color w:val="000000"/>
                <w:sz w:val="24"/>
                <w:szCs w:val="24"/>
              </w:rPr>
              <w:t>5.56</w:t>
            </w:r>
          </w:p>
        </w:tc>
      </w:tr>
      <w:tr w:rsidR="0083019C">
        <w:trPr>
          <w:jc w:val="center"/>
        </w:trPr>
        <w:tc>
          <w:tcPr>
            <w:tcW w:w="855" w:type="dxa"/>
            <w:vAlign w:val="center"/>
          </w:tcPr>
          <w:p w:rsidR="0083019C" w:rsidRDefault="00BD161A">
            <w:pPr>
              <w:jc w:val="center"/>
            </w:pPr>
            <w:r>
              <w:rPr>
                <w:color w:val="000000"/>
                <w:sz w:val="24"/>
                <w:szCs w:val="24"/>
              </w:rPr>
              <w:t>4</w:t>
            </w:r>
          </w:p>
        </w:tc>
        <w:tc>
          <w:tcPr>
            <w:tcW w:w="1334" w:type="dxa"/>
            <w:vAlign w:val="center"/>
          </w:tcPr>
          <w:p w:rsidR="0083019C" w:rsidRDefault="00BD161A">
            <w:pPr>
              <w:jc w:val="center"/>
            </w:pPr>
            <w:r>
              <w:rPr>
                <w:color w:val="000000"/>
                <w:sz w:val="24"/>
                <w:szCs w:val="24"/>
              </w:rPr>
              <w:t>600763</w:t>
            </w:r>
          </w:p>
        </w:tc>
        <w:tc>
          <w:tcPr>
            <w:tcW w:w="1777" w:type="dxa"/>
            <w:vAlign w:val="center"/>
          </w:tcPr>
          <w:p w:rsidR="0083019C" w:rsidRDefault="00BD161A">
            <w:pPr>
              <w:jc w:val="center"/>
            </w:pPr>
            <w:r>
              <w:rPr>
                <w:color w:val="000000"/>
                <w:sz w:val="24"/>
                <w:szCs w:val="24"/>
              </w:rPr>
              <w:t>通策医疗</w:t>
            </w:r>
          </w:p>
        </w:tc>
        <w:tc>
          <w:tcPr>
            <w:tcW w:w="1334" w:type="dxa"/>
            <w:vAlign w:val="center"/>
          </w:tcPr>
          <w:p w:rsidR="0083019C" w:rsidRDefault="00BD161A">
            <w:pPr>
              <w:jc w:val="right"/>
            </w:pPr>
            <w:r>
              <w:rPr>
                <w:color w:val="000000"/>
                <w:sz w:val="24"/>
                <w:szCs w:val="24"/>
              </w:rPr>
              <w:t>179,971</w:t>
            </w:r>
          </w:p>
        </w:tc>
        <w:tc>
          <w:tcPr>
            <w:tcW w:w="1924" w:type="dxa"/>
            <w:vAlign w:val="center"/>
          </w:tcPr>
          <w:p w:rsidR="0083019C" w:rsidRDefault="00BD161A">
            <w:pPr>
              <w:jc w:val="right"/>
            </w:pPr>
            <w:r>
              <w:rPr>
                <w:color w:val="000000"/>
                <w:sz w:val="24"/>
                <w:szCs w:val="24"/>
              </w:rPr>
              <w:t>13,272,861.25</w:t>
            </w:r>
          </w:p>
        </w:tc>
        <w:tc>
          <w:tcPr>
            <w:tcW w:w="1644" w:type="dxa"/>
            <w:vAlign w:val="center"/>
          </w:tcPr>
          <w:p w:rsidR="0083019C" w:rsidRDefault="00BD161A">
            <w:pPr>
              <w:jc w:val="right"/>
            </w:pPr>
            <w:r>
              <w:rPr>
                <w:color w:val="000000"/>
                <w:sz w:val="24"/>
                <w:szCs w:val="24"/>
              </w:rPr>
              <w:t>5.26</w:t>
            </w:r>
          </w:p>
        </w:tc>
      </w:tr>
      <w:tr w:rsidR="0083019C">
        <w:trPr>
          <w:jc w:val="center"/>
        </w:trPr>
        <w:tc>
          <w:tcPr>
            <w:tcW w:w="855" w:type="dxa"/>
            <w:vAlign w:val="center"/>
          </w:tcPr>
          <w:p w:rsidR="0083019C" w:rsidRDefault="00BD161A">
            <w:pPr>
              <w:jc w:val="center"/>
            </w:pPr>
            <w:r>
              <w:rPr>
                <w:color w:val="000000"/>
                <w:sz w:val="24"/>
                <w:szCs w:val="24"/>
              </w:rPr>
              <w:lastRenderedPageBreak/>
              <w:t>5</w:t>
            </w:r>
          </w:p>
        </w:tc>
        <w:tc>
          <w:tcPr>
            <w:tcW w:w="1334" w:type="dxa"/>
            <w:vAlign w:val="center"/>
          </w:tcPr>
          <w:p w:rsidR="0083019C" w:rsidRDefault="00BD161A">
            <w:pPr>
              <w:jc w:val="center"/>
            </w:pPr>
            <w:r>
              <w:rPr>
                <w:color w:val="000000"/>
                <w:sz w:val="24"/>
                <w:szCs w:val="24"/>
              </w:rPr>
              <w:t>002475</w:t>
            </w:r>
          </w:p>
        </w:tc>
        <w:tc>
          <w:tcPr>
            <w:tcW w:w="1777" w:type="dxa"/>
            <w:vAlign w:val="center"/>
          </w:tcPr>
          <w:p w:rsidR="0083019C" w:rsidRDefault="00BD161A">
            <w:pPr>
              <w:jc w:val="center"/>
            </w:pPr>
            <w:r>
              <w:rPr>
                <w:color w:val="000000"/>
                <w:sz w:val="24"/>
                <w:szCs w:val="24"/>
              </w:rPr>
              <w:t>立讯精密</w:t>
            </w:r>
          </w:p>
        </w:tc>
        <w:tc>
          <w:tcPr>
            <w:tcW w:w="1334" w:type="dxa"/>
            <w:vAlign w:val="center"/>
          </w:tcPr>
          <w:p w:rsidR="0083019C" w:rsidRDefault="00BD161A">
            <w:pPr>
              <w:jc w:val="right"/>
            </w:pPr>
            <w:r>
              <w:rPr>
                <w:color w:val="000000"/>
                <w:sz w:val="24"/>
                <w:szCs w:val="24"/>
              </w:rPr>
              <w:t>400,172</w:t>
            </w:r>
          </w:p>
        </w:tc>
        <w:tc>
          <w:tcPr>
            <w:tcW w:w="1924" w:type="dxa"/>
            <w:vAlign w:val="center"/>
          </w:tcPr>
          <w:p w:rsidR="0083019C" w:rsidRDefault="00BD161A">
            <w:pPr>
              <w:jc w:val="right"/>
            </w:pPr>
            <w:r>
              <w:rPr>
                <w:color w:val="000000"/>
                <w:sz w:val="24"/>
                <w:szCs w:val="24"/>
              </w:rPr>
              <w:t>11,833,086.04</w:t>
            </w:r>
          </w:p>
        </w:tc>
        <w:tc>
          <w:tcPr>
            <w:tcW w:w="1644" w:type="dxa"/>
            <w:vAlign w:val="center"/>
          </w:tcPr>
          <w:p w:rsidR="0083019C" w:rsidRDefault="00BD161A">
            <w:pPr>
              <w:jc w:val="right"/>
            </w:pPr>
            <w:r>
              <w:rPr>
                <w:color w:val="000000"/>
                <w:sz w:val="24"/>
                <w:szCs w:val="24"/>
              </w:rPr>
              <w:t>4.69</w:t>
            </w:r>
          </w:p>
        </w:tc>
      </w:tr>
      <w:tr w:rsidR="0083019C">
        <w:trPr>
          <w:jc w:val="center"/>
        </w:trPr>
        <w:tc>
          <w:tcPr>
            <w:tcW w:w="855" w:type="dxa"/>
            <w:vAlign w:val="center"/>
          </w:tcPr>
          <w:p w:rsidR="0083019C" w:rsidRDefault="00BD161A">
            <w:pPr>
              <w:jc w:val="center"/>
            </w:pPr>
            <w:r>
              <w:rPr>
                <w:color w:val="000000"/>
                <w:sz w:val="24"/>
                <w:szCs w:val="24"/>
              </w:rPr>
              <w:t>6</w:t>
            </w:r>
          </w:p>
        </w:tc>
        <w:tc>
          <w:tcPr>
            <w:tcW w:w="1334" w:type="dxa"/>
            <w:vAlign w:val="center"/>
          </w:tcPr>
          <w:p w:rsidR="0083019C" w:rsidRDefault="00BD161A">
            <w:pPr>
              <w:jc w:val="center"/>
            </w:pPr>
            <w:r>
              <w:rPr>
                <w:color w:val="000000"/>
                <w:sz w:val="24"/>
                <w:szCs w:val="24"/>
              </w:rPr>
              <w:t>300262</w:t>
            </w:r>
          </w:p>
        </w:tc>
        <w:tc>
          <w:tcPr>
            <w:tcW w:w="1777" w:type="dxa"/>
            <w:vAlign w:val="center"/>
          </w:tcPr>
          <w:p w:rsidR="0083019C" w:rsidRDefault="00BD161A">
            <w:pPr>
              <w:jc w:val="center"/>
            </w:pPr>
            <w:r>
              <w:rPr>
                <w:color w:val="000000"/>
                <w:sz w:val="24"/>
                <w:szCs w:val="24"/>
              </w:rPr>
              <w:t>巴安水务</w:t>
            </w:r>
          </w:p>
        </w:tc>
        <w:tc>
          <w:tcPr>
            <w:tcW w:w="1334" w:type="dxa"/>
            <w:vAlign w:val="center"/>
          </w:tcPr>
          <w:p w:rsidR="0083019C" w:rsidRDefault="00BD161A">
            <w:pPr>
              <w:jc w:val="right"/>
            </w:pPr>
            <w:r>
              <w:rPr>
                <w:color w:val="000000"/>
                <w:sz w:val="24"/>
                <w:szCs w:val="24"/>
              </w:rPr>
              <w:t>799,117</w:t>
            </w:r>
          </w:p>
        </w:tc>
        <w:tc>
          <w:tcPr>
            <w:tcW w:w="1924" w:type="dxa"/>
            <w:vAlign w:val="center"/>
          </w:tcPr>
          <w:p w:rsidR="0083019C" w:rsidRDefault="00BD161A">
            <w:pPr>
              <w:jc w:val="right"/>
            </w:pPr>
            <w:r>
              <w:rPr>
                <w:color w:val="000000"/>
                <w:sz w:val="24"/>
                <w:szCs w:val="24"/>
              </w:rPr>
              <w:t>10,907,947.05</w:t>
            </w:r>
          </w:p>
        </w:tc>
        <w:tc>
          <w:tcPr>
            <w:tcW w:w="1644" w:type="dxa"/>
            <w:vAlign w:val="center"/>
          </w:tcPr>
          <w:p w:rsidR="0083019C" w:rsidRDefault="00BD161A">
            <w:pPr>
              <w:jc w:val="right"/>
            </w:pPr>
            <w:r>
              <w:rPr>
                <w:color w:val="000000"/>
                <w:sz w:val="24"/>
                <w:szCs w:val="24"/>
              </w:rPr>
              <w:t>4.33</w:t>
            </w:r>
          </w:p>
        </w:tc>
      </w:tr>
      <w:tr w:rsidR="0083019C">
        <w:trPr>
          <w:jc w:val="center"/>
        </w:trPr>
        <w:tc>
          <w:tcPr>
            <w:tcW w:w="855" w:type="dxa"/>
            <w:vAlign w:val="center"/>
          </w:tcPr>
          <w:p w:rsidR="0083019C" w:rsidRDefault="00BD161A">
            <w:pPr>
              <w:jc w:val="center"/>
            </w:pPr>
            <w:r>
              <w:rPr>
                <w:color w:val="000000"/>
                <w:sz w:val="24"/>
                <w:szCs w:val="24"/>
              </w:rPr>
              <w:t>7</w:t>
            </w:r>
          </w:p>
        </w:tc>
        <w:tc>
          <w:tcPr>
            <w:tcW w:w="1334" w:type="dxa"/>
            <w:vAlign w:val="center"/>
          </w:tcPr>
          <w:p w:rsidR="0083019C" w:rsidRDefault="00BD161A">
            <w:pPr>
              <w:jc w:val="center"/>
            </w:pPr>
            <w:r>
              <w:rPr>
                <w:color w:val="000000"/>
                <w:sz w:val="24"/>
                <w:szCs w:val="24"/>
              </w:rPr>
              <w:t>002717</w:t>
            </w:r>
          </w:p>
        </w:tc>
        <w:tc>
          <w:tcPr>
            <w:tcW w:w="1777" w:type="dxa"/>
            <w:vAlign w:val="center"/>
          </w:tcPr>
          <w:p w:rsidR="0083019C" w:rsidRDefault="00BD161A">
            <w:pPr>
              <w:jc w:val="center"/>
            </w:pPr>
            <w:r>
              <w:rPr>
                <w:color w:val="000000"/>
                <w:sz w:val="24"/>
                <w:szCs w:val="24"/>
              </w:rPr>
              <w:t>岭南园林</w:t>
            </w:r>
          </w:p>
        </w:tc>
        <w:tc>
          <w:tcPr>
            <w:tcW w:w="1334" w:type="dxa"/>
            <w:vAlign w:val="center"/>
          </w:tcPr>
          <w:p w:rsidR="0083019C" w:rsidRDefault="00BD161A">
            <w:pPr>
              <w:jc w:val="right"/>
            </w:pPr>
            <w:r>
              <w:rPr>
                <w:color w:val="000000"/>
                <w:sz w:val="24"/>
                <w:szCs w:val="24"/>
              </w:rPr>
              <w:t>644,258</w:t>
            </w:r>
          </w:p>
        </w:tc>
        <w:tc>
          <w:tcPr>
            <w:tcW w:w="1924" w:type="dxa"/>
            <w:vAlign w:val="center"/>
          </w:tcPr>
          <w:p w:rsidR="0083019C" w:rsidRDefault="00BD161A">
            <w:pPr>
              <w:jc w:val="right"/>
            </w:pPr>
            <w:r>
              <w:rPr>
                <w:color w:val="000000"/>
                <w:sz w:val="24"/>
                <w:szCs w:val="24"/>
              </w:rPr>
              <w:t>9,676,755.16</w:t>
            </w:r>
          </w:p>
        </w:tc>
        <w:tc>
          <w:tcPr>
            <w:tcW w:w="1644" w:type="dxa"/>
            <w:vAlign w:val="center"/>
          </w:tcPr>
          <w:p w:rsidR="0083019C" w:rsidRDefault="00BD161A">
            <w:pPr>
              <w:jc w:val="right"/>
            </w:pPr>
            <w:r>
              <w:rPr>
                <w:color w:val="000000"/>
                <w:sz w:val="24"/>
                <w:szCs w:val="24"/>
              </w:rPr>
              <w:t>3.84</w:t>
            </w:r>
          </w:p>
        </w:tc>
      </w:tr>
      <w:tr w:rsidR="0083019C">
        <w:trPr>
          <w:jc w:val="center"/>
        </w:trPr>
        <w:tc>
          <w:tcPr>
            <w:tcW w:w="855" w:type="dxa"/>
            <w:vAlign w:val="center"/>
          </w:tcPr>
          <w:p w:rsidR="0083019C" w:rsidRDefault="00BD161A">
            <w:pPr>
              <w:jc w:val="center"/>
            </w:pPr>
            <w:r>
              <w:rPr>
                <w:color w:val="000000"/>
                <w:sz w:val="24"/>
                <w:szCs w:val="24"/>
              </w:rPr>
              <w:t>8</w:t>
            </w:r>
          </w:p>
        </w:tc>
        <w:tc>
          <w:tcPr>
            <w:tcW w:w="1334" w:type="dxa"/>
            <w:vAlign w:val="center"/>
          </w:tcPr>
          <w:p w:rsidR="0083019C" w:rsidRDefault="00BD161A">
            <w:pPr>
              <w:jc w:val="center"/>
            </w:pPr>
            <w:r>
              <w:rPr>
                <w:color w:val="000000"/>
                <w:sz w:val="24"/>
                <w:szCs w:val="24"/>
              </w:rPr>
              <w:t>600276</w:t>
            </w:r>
          </w:p>
        </w:tc>
        <w:tc>
          <w:tcPr>
            <w:tcW w:w="1777" w:type="dxa"/>
            <w:vAlign w:val="center"/>
          </w:tcPr>
          <w:p w:rsidR="0083019C" w:rsidRDefault="00BD161A">
            <w:pPr>
              <w:jc w:val="center"/>
            </w:pPr>
            <w:r>
              <w:rPr>
                <w:color w:val="000000"/>
                <w:sz w:val="24"/>
                <w:szCs w:val="24"/>
              </w:rPr>
              <w:t>恒瑞医药</w:t>
            </w:r>
          </w:p>
        </w:tc>
        <w:tc>
          <w:tcPr>
            <w:tcW w:w="1334" w:type="dxa"/>
            <w:vAlign w:val="center"/>
          </w:tcPr>
          <w:p w:rsidR="0083019C" w:rsidRDefault="00BD161A">
            <w:pPr>
              <w:jc w:val="right"/>
            </w:pPr>
            <w:r>
              <w:rPr>
                <w:color w:val="000000"/>
                <w:sz w:val="24"/>
                <w:szCs w:val="24"/>
              </w:rPr>
              <w:t>200,000</w:t>
            </w:r>
          </w:p>
        </w:tc>
        <w:tc>
          <w:tcPr>
            <w:tcW w:w="1924" w:type="dxa"/>
            <w:vAlign w:val="center"/>
          </w:tcPr>
          <w:p w:rsidR="0083019C" w:rsidRDefault="00BD161A">
            <w:pPr>
              <w:jc w:val="right"/>
            </w:pPr>
            <w:r>
              <w:rPr>
                <w:color w:val="000000"/>
                <w:sz w:val="24"/>
                <w:szCs w:val="24"/>
              </w:rPr>
              <w:t>9,238,000.00</w:t>
            </w:r>
          </w:p>
        </w:tc>
        <w:tc>
          <w:tcPr>
            <w:tcW w:w="1644" w:type="dxa"/>
            <w:vAlign w:val="center"/>
          </w:tcPr>
          <w:p w:rsidR="0083019C" w:rsidRDefault="00BD161A">
            <w:pPr>
              <w:jc w:val="right"/>
            </w:pPr>
            <w:r>
              <w:rPr>
                <w:color w:val="000000"/>
                <w:sz w:val="24"/>
                <w:szCs w:val="24"/>
              </w:rPr>
              <w:t>3.66</w:t>
            </w:r>
          </w:p>
        </w:tc>
      </w:tr>
      <w:tr w:rsidR="0083019C">
        <w:trPr>
          <w:jc w:val="center"/>
        </w:trPr>
        <w:tc>
          <w:tcPr>
            <w:tcW w:w="855" w:type="dxa"/>
            <w:vAlign w:val="center"/>
          </w:tcPr>
          <w:p w:rsidR="0083019C" w:rsidRDefault="00BD161A">
            <w:pPr>
              <w:jc w:val="center"/>
            </w:pPr>
            <w:r>
              <w:rPr>
                <w:color w:val="000000"/>
                <w:sz w:val="24"/>
                <w:szCs w:val="24"/>
              </w:rPr>
              <w:t>9</w:t>
            </w:r>
          </w:p>
        </w:tc>
        <w:tc>
          <w:tcPr>
            <w:tcW w:w="1334" w:type="dxa"/>
            <w:vAlign w:val="center"/>
          </w:tcPr>
          <w:p w:rsidR="0083019C" w:rsidRDefault="00BD161A">
            <w:pPr>
              <w:jc w:val="center"/>
            </w:pPr>
            <w:r>
              <w:rPr>
                <w:color w:val="000000"/>
                <w:sz w:val="24"/>
                <w:szCs w:val="24"/>
              </w:rPr>
              <w:t>002169</w:t>
            </w:r>
          </w:p>
        </w:tc>
        <w:tc>
          <w:tcPr>
            <w:tcW w:w="1777" w:type="dxa"/>
            <w:vAlign w:val="center"/>
          </w:tcPr>
          <w:p w:rsidR="0083019C" w:rsidRDefault="00BD161A">
            <w:pPr>
              <w:jc w:val="center"/>
            </w:pPr>
            <w:r>
              <w:rPr>
                <w:color w:val="000000"/>
                <w:sz w:val="24"/>
                <w:szCs w:val="24"/>
              </w:rPr>
              <w:t>智光电气</w:t>
            </w:r>
          </w:p>
        </w:tc>
        <w:tc>
          <w:tcPr>
            <w:tcW w:w="1334" w:type="dxa"/>
            <w:vAlign w:val="center"/>
          </w:tcPr>
          <w:p w:rsidR="0083019C" w:rsidRDefault="00BD161A">
            <w:pPr>
              <w:jc w:val="right"/>
            </w:pPr>
            <w:r>
              <w:rPr>
                <w:color w:val="000000"/>
                <w:sz w:val="24"/>
                <w:szCs w:val="24"/>
              </w:rPr>
              <w:t>499,950</w:t>
            </w:r>
          </w:p>
        </w:tc>
        <w:tc>
          <w:tcPr>
            <w:tcW w:w="1924" w:type="dxa"/>
            <w:vAlign w:val="center"/>
          </w:tcPr>
          <w:p w:rsidR="0083019C" w:rsidRDefault="00BD161A">
            <w:pPr>
              <w:jc w:val="right"/>
            </w:pPr>
            <w:r>
              <w:rPr>
                <w:color w:val="000000"/>
                <w:sz w:val="24"/>
                <w:szCs w:val="24"/>
              </w:rPr>
              <w:t>8,864,113.50</w:t>
            </w:r>
          </w:p>
        </w:tc>
        <w:tc>
          <w:tcPr>
            <w:tcW w:w="1644" w:type="dxa"/>
            <w:vAlign w:val="center"/>
          </w:tcPr>
          <w:p w:rsidR="0083019C" w:rsidRDefault="00BD161A">
            <w:pPr>
              <w:jc w:val="right"/>
            </w:pPr>
            <w:r>
              <w:rPr>
                <w:color w:val="000000"/>
                <w:sz w:val="24"/>
                <w:szCs w:val="24"/>
              </w:rPr>
              <w:t>3.52</w:t>
            </w:r>
          </w:p>
        </w:tc>
      </w:tr>
      <w:tr w:rsidR="0083019C">
        <w:trPr>
          <w:jc w:val="center"/>
        </w:trPr>
        <w:tc>
          <w:tcPr>
            <w:tcW w:w="855" w:type="dxa"/>
            <w:vAlign w:val="center"/>
          </w:tcPr>
          <w:p w:rsidR="0083019C" w:rsidRDefault="00BD161A">
            <w:pPr>
              <w:jc w:val="center"/>
            </w:pPr>
            <w:r>
              <w:rPr>
                <w:color w:val="000000"/>
                <w:sz w:val="24"/>
                <w:szCs w:val="24"/>
              </w:rPr>
              <w:t>10</w:t>
            </w:r>
          </w:p>
        </w:tc>
        <w:tc>
          <w:tcPr>
            <w:tcW w:w="1334" w:type="dxa"/>
            <w:vAlign w:val="center"/>
          </w:tcPr>
          <w:p w:rsidR="0083019C" w:rsidRDefault="00BD161A">
            <w:pPr>
              <w:jc w:val="center"/>
            </w:pPr>
            <w:r>
              <w:rPr>
                <w:color w:val="000000"/>
                <w:sz w:val="24"/>
                <w:szCs w:val="24"/>
              </w:rPr>
              <w:t>600074</w:t>
            </w:r>
          </w:p>
        </w:tc>
        <w:tc>
          <w:tcPr>
            <w:tcW w:w="1777" w:type="dxa"/>
            <w:vAlign w:val="center"/>
          </w:tcPr>
          <w:p w:rsidR="0083019C" w:rsidRDefault="00BD161A">
            <w:pPr>
              <w:jc w:val="center"/>
            </w:pPr>
            <w:r>
              <w:rPr>
                <w:color w:val="000000"/>
                <w:sz w:val="24"/>
                <w:szCs w:val="24"/>
              </w:rPr>
              <w:t>保千里</w:t>
            </w:r>
          </w:p>
        </w:tc>
        <w:tc>
          <w:tcPr>
            <w:tcW w:w="1334" w:type="dxa"/>
            <w:vAlign w:val="center"/>
          </w:tcPr>
          <w:p w:rsidR="0083019C" w:rsidRDefault="00BD161A">
            <w:pPr>
              <w:jc w:val="right"/>
            </w:pPr>
            <w:r>
              <w:rPr>
                <w:color w:val="000000"/>
                <w:sz w:val="24"/>
                <w:szCs w:val="24"/>
              </w:rPr>
              <w:t>699,930</w:t>
            </w:r>
          </w:p>
        </w:tc>
        <w:tc>
          <w:tcPr>
            <w:tcW w:w="1924" w:type="dxa"/>
            <w:vAlign w:val="center"/>
          </w:tcPr>
          <w:p w:rsidR="0083019C" w:rsidRDefault="00BD161A">
            <w:pPr>
              <w:jc w:val="right"/>
            </w:pPr>
            <w:r>
              <w:rPr>
                <w:color w:val="000000"/>
                <w:sz w:val="24"/>
                <w:szCs w:val="24"/>
              </w:rPr>
              <w:t>8,504,149.50</w:t>
            </w:r>
          </w:p>
        </w:tc>
        <w:tc>
          <w:tcPr>
            <w:tcW w:w="1644" w:type="dxa"/>
            <w:vAlign w:val="center"/>
          </w:tcPr>
          <w:p w:rsidR="0083019C" w:rsidRDefault="00BD161A">
            <w:pPr>
              <w:jc w:val="right"/>
            </w:pPr>
            <w:r>
              <w:rPr>
                <w:color w:val="000000"/>
                <w:sz w:val="24"/>
                <w:szCs w:val="24"/>
              </w:rPr>
              <w:t>3.37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3019C">
        <w:trPr>
          <w:jc w:val="center"/>
        </w:trPr>
        <w:tc>
          <w:tcPr>
            <w:tcW w:w="850" w:type="dxa"/>
            <w:vAlign w:val="center"/>
          </w:tcPr>
          <w:p w:rsidR="0083019C" w:rsidRDefault="00BD161A">
            <w:pPr>
              <w:jc w:val="center"/>
            </w:pPr>
            <w:r>
              <w:rPr>
                <w:color w:val="000000"/>
                <w:sz w:val="24"/>
                <w:szCs w:val="24"/>
              </w:rPr>
              <w:t>1</w:t>
            </w:r>
          </w:p>
        </w:tc>
        <w:tc>
          <w:tcPr>
            <w:tcW w:w="1475" w:type="dxa"/>
            <w:vAlign w:val="center"/>
          </w:tcPr>
          <w:p w:rsidR="0083019C" w:rsidRDefault="00BD161A">
            <w:pPr>
              <w:jc w:val="center"/>
            </w:pPr>
            <w:r>
              <w:rPr>
                <w:color w:val="000000"/>
                <w:sz w:val="24"/>
                <w:szCs w:val="24"/>
              </w:rPr>
              <w:t>150416</w:t>
            </w:r>
          </w:p>
        </w:tc>
        <w:tc>
          <w:tcPr>
            <w:tcW w:w="1769" w:type="dxa"/>
            <w:vAlign w:val="center"/>
          </w:tcPr>
          <w:p w:rsidR="0083019C" w:rsidRDefault="00BD161A">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83019C" w:rsidRDefault="00BD161A">
            <w:pPr>
              <w:jc w:val="right"/>
            </w:pPr>
            <w:r>
              <w:rPr>
                <w:color w:val="000000"/>
                <w:sz w:val="24"/>
                <w:szCs w:val="24"/>
              </w:rPr>
              <w:t>100,000</w:t>
            </w:r>
          </w:p>
        </w:tc>
        <w:tc>
          <w:tcPr>
            <w:tcW w:w="2150" w:type="dxa"/>
            <w:vAlign w:val="center"/>
          </w:tcPr>
          <w:p w:rsidR="0083019C" w:rsidRDefault="00BD161A">
            <w:pPr>
              <w:jc w:val="right"/>
            </w:pPr>
            <w:r>
              <w:rPr>
                <w:color w:val="000000"/>
                <w:sz w:val="24"/>
                <w:szCs w:val="24"/>
              </w:rPr>
              <w:t>10,003,000.00</w:t>
            </w:r>
          </w:p>
        </w:tc>
        <w:tc>
          <w:tcPr>
            <w:tcW w:w="1237" w:type="dxa"/>
            <w:vAlign w:val="center"/>
          </w:tcPr>
          <w:p w:rsidR="0083019C" w:rsidRDefault="00BD161A">
            <w:pPr>
              <w:jc w:val="right"/>
            </w:pPr>
            <w:r>
              <w:rPr>
                <w:color w:val="000000"/>
                <w:sz w:val="24"/>
                <w:szCs w:val="24"/>
              </w:rPr>
              <w:t>3.97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412,316.08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63,943.24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492,399.47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968,658.79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3019C">
        <w:trPr>
          <w:jc w:val="center"/>
        </w:trPr>
        <w:tc>
          <w:tcPr>
            <w:tcW w:w="1129" w:type="dxa"/>
            <w:vAlign w:val="center"/>
          </w:tcPr>
          <w:p w:rsidR="0083019C" w:rsidRDefault="00BD161A">
            <w:pPr>
              <w:jc w:val="center"/>
            </w:pPr>
            <w:r>
              <w:rPr>
                <w:color w:val="000000"/>
                <w:sz w:val="24"/>
                <w:szCs w:val="24"/>
              </w:rPr>
              <w:lastRenderedPageBreak/>
              <w:t>1</w:t>
            </w:r>
          </w:p>
        </w:tc>
        <w:tc>
          <w:tcPr>
            <w:tcW w:w="1356" w:type="dxa"/>
            <w:vAlign w:val="center"/>
          </w:tcPr>
          <w:p w:rsidR="0083019C" w:rsidRDefault="00BD161A">
            <w:pPr>
              <w:jc w:val="center"/>
            </w:pPr>
            <w:r>
              <w:rPr>
                <w:color w:val="000000"/>
                <w:sz w:val="24"/>
                <w:szCs w:val="24"/>
              </w:rPr>
              <w:t>600763</w:t>
            </w:r>
          </w:p>
        </w:tc>
        <w:tc>
          <w:tcPr>
            <w:tcW w:w="1355" w:type="dxa"/>
            <w:vAlign w:val="center"/>
          </w:tcPr>
          <w:p w:rsidR="0083019C" w:rsidRDefault="00BD161A">
            <w:pPr>
              <w:jc w:val="center"/>
            </w:pPr>
            <w:r>
              <w:rPr>
                <w:color w:val="000000"/>
                <w:sz w:val="24"/>
                <w:szCs w:val="24"/>
              </w:rPr>
              <w:t>通策医疗</w:t>
            </w:r>
          </w:p>
        </w:tc>
        <w:tc>
          <w:tcPr>
            <w:tcW w:w="1880" w:type="dxa"/>
            <w:vAlign w:val="center"/>
          </w:tcPr>
          <w:p w:rsidR="0083019C" w:rsidRDefault="00BD161A">
            <w:pPr>
              <w:jc w:val="right"/>
            </w:pPr>
            <w:r>
              <w:rPr>
                <w:color w:val="000000"/>
                <w:sz w:val="24"/>
                <w:szCs w:val="24"/>
              </w:rPr>
              <w:t>13,272,861.25</w:t>
            </w:r>
          </w:p>
        </w:tc>
        <w:tc>
          <w:tcPr>
            <w:tcW w:w="1724" w:type="dxa"/>
            <w:vAlign w:val="center"/>
          </w:tcPr>
          <w:p w:rsidR="0083019C" w:rsidRDefault="00BD161A">
            <w:pPr>
              <w:jc w:val="right"/>
            </w:pPr>
            <w:r>
              <w:rPr>
                <w:color w:val="000000"/>
                <w:sz w:val="24"/>
                <w:szCs w:val="24"/>
              </w:rPr>
              <w:t>5.26</w:t>
            </w:r>
          </w:p>
        </w:tc>
        <w:tc>
          <w:tcPr>
            <w:tcW w:w="1424" w:type="dxa"/>
            <w:vAlign w:val="center"/>
          </w:tcPr>
          <w:p w:rsidR="0083019C" w:rsidRDefault="00BD161A">
            <w:pPr>
              <w:jc w:val="right"/>
            </w:pPr>
            <w:r>
              <w:rPr>
                <w:color w:val="000000"/>
                <w:sz w:val="24"/>
                <w:szCs w:val="24"/>
              </w:rPr>
              <w:t>重大事项</w:t>
            </w:r>
          </w:p>
        </w:tc>
      </w:tr>
      <w:tr w:rsidR="0083019C">
        <w:trPr>
          <w:jc w:val="center"/>
        </w:trPr>
        <w:tc>
          <w:tcPr>
            <w:tcW w:w="1129" w:type="dxa"/>
            <w:vAlign w:val="center"/>
          </w:tcPr>
          <w:p w:rsidR="0083019C" w:rsidRDefault="00BD161A">
            <w:pPr>
              <w:jc w:val="center"/>
            </w:pPr>
            <w:r>
              <w:rPr>
                <w:color w:val="000000"/>
                <w:sz w:val="24"/>
                <w:szCs w:val="24"/>
              </w:rPr>
              <w:t>2</w:t>
            </w:r>
          </w:p>
        </w:tc>
        <w:tc>
          <w:tcPr>
            <w:tcW w:w="1356" w:type="dxa"/>
            <w:vAlign w:val="center"/>
          </w:tcPr>
          <w:p w:rsidR="0083019C" w:rsidRDefault="00BD161A">
            <w:pPr>
              <w:jc w:val="center"/>
            </w:pPr>
            <w:r>
              <w:rPr>
                <w:color w:val="000000"/>
                <w:sz w:val="24"/>
                <w:szCs w:val="24"/>
              </w:rPr>
              <w:t>300262</w:t>
            </w:r>
          </w:p>
        </w:tc>
        <w:tc>
          <w:tcPr>
            <w:tcW w:w="1355" w:type="dxa"/>
            <w:vAlign w:val="center"/>
          </w:tcPr>
          <w:p w:rsidR="0083019C" w:rsidRDefault="00BD161A">
            <w:pPr>
              <w:jc w:val="center"/>
            </w:pPr>
            <w:r>
              <w:rPr>
                <w:color w:val="000000"/>
                <w:sz w:val="24"/>
                <w:szCs w:val="24"/>
              </w:rPr>
              <w:t>巴安水务</w:t>
            </w:r>
          </w:p>
        </w:tc>
        <w:tc>
          <w:tcPr>
            <w:tcW w:w="1880" w:type="dxa"/>
            <w:vAlign w:val="center"/>
          </w:tcPr>
          <w:p w:rsidR="0083019C" w:rsidRDefault="00BD161A">
            <w:pPr>
              <w:jc w:val="right"/>
            </w:pPr>
            <w:r>
              <w:rPr>
                <w:color w:val="000000"/>
                <w:sz w:val="24"/>
                <w:szCs w:val="24"/>
              </w:rPr>
              <w:t>10,907,947.05</w:t>
            </w:r>
          </w:p>
        </w:tc>
        <w:tc>
          <w:tcPr>
            <w:tcW w:w="1724" w:type="dxa"/>
            <w:vAlign w:val="center"/>
          </w:tcPr>
          <w:p w:rsidR="0083019C" w:rsidRDefault="00BD161A">
            <w:pPr>
              <w:jc w:val="right"/>
            </w:pPr>
            <w:r>
              <w:rPr>
                <w:color w:val="000000"/>
                <w:sz w:val="24"/>
                <w:szCs w:val="24"/>
              </w:rPr>
              <w:t>4.33</w:t>
            </w:r>
          </w:p>
        </w:tc>
        <w:tc>
          <w:tcPr>
            <w:tcW w:w="1424" w:type="dxa"/>
            <w:vAlign w:val="center"/>
          </w:tcPr>
          <w:p w:rsidR="0083019C" w:rsidRDefault="00BD161A">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242,175,078.44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20,676,803.57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63,374,913.63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199,476,968.38</w:t>
            </w:r>
          </w:p>
        </w:tc>
      </w:tr>
    </w:tbl>
    <w:p w:rsidR="0083019C" w:rsidRDefault="00BD16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10.03</w:t>
            </w:r>
          </w:p>
        </w:tc>
      </w:tr>
    </w:tbl>
    <w:p w:rsidR="0083019C" w:rsidRDefault="00BD16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83019C" w:rsidRDefault="00BD161A">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根据《中华人民共和国证券投资基金法》、《关于实施</w:t>
      </w:r>
      <w:r>
        <w:rPr>
          <w:color w:val="000000"/>
          <w:sz w:val="24"/>
          <w:szCs w:val="24"/>
        </w:rPr>
        <w:t>&lt;</w:t>
      </w:r>
      <w:r>
        <w:rPr>
          <w:color w:val="000000"/>
          <w:sz w:val="24"/>
          <w:szCs w:val="24"/>
        </w:rPr>
        <w:t>公开募集证券投资基金运作管理办法</w:t>
      </w:r>
      <w:r>
        <w:rPr>
          <w:color w:val="000000"/>
          <w:sz w:val="24"/>
          <w:szCs w:val="24"/>
        </w:rPr>
        <w:t>&gt;</w:t>
      </w:r>
      <w:r>
        <w:rPr>
          <w:color w:val="000000"/>
          <w:sz w:val="24"/>
          <w:szCs w:val="24"/>
        </w:rPr>
        <w:t>有关问题的规定》以及《公开募集证券投资基金运作管理办法》第三十条的规定</w:t>
      </w:r>
      <w:r>
        <w:rPr>
          <w:color w:val="000000"/>
          <w:sz w:val="24"/>
          <w:szCs w:val="24"/>
        </w:rPr>
        <w:t>“</w:t>
      </w:r>
      <w:r>
        <w:rPr>
          <w:color w:val="000000"/>
          <w:sz w:val="24"/>
          <w:szCs w:val="24"/>
        </w:rPr>
        <w:t>基金合同和基金招募说明书应当按照下列规定载明基金的类别：（一）百分之八十以上的基金资产投资于股票的，为股票基金；</w:t>
      </w:r>
      <w:r>
        <w:rPr>
          <w:color w:val="000000"/>
          <w:sz w:val="24"/>
          <w:szCs w:val="24"/>
        </w:rPr>
        <w:t>……</w:t>
      </w:r>
      <w:r>
        <w:rPr>
          <w:color w:val="000000"/>
          <w:sz w:val="24"/>
          <w:szCs w:val="24"/>
        </w:rPr>
        <w:t>（五）投资于股票、债券、货币市场工具或其他基金份额，并且股票投资、债券投资、基金投资的比例不符合第（一）项、第（二）项、第（四）项规定的，为混合基金；</w:t>
      </w:r>
      <w:r>
        <w:rPr>
          <w:color w:val="000000"/>
          <w:sz w:val="24"/>
          <w:szCs w:val="24"/>
        </w:rPr>
        <w:t>……”</w:t>
      </w:r>
      <w:r>
        <w:rPr>
          <w:color w:val="000000"/>
          <w:sz w:val="24"/>
          <w:szCs w:val="24"/>
        </w:rPr>
        <w:t>，由于交银施罗趋势优先股票证券投资基金的基金投资比例已不符合《公开募集证券投资基金运作管理办法》中关于股票型基金的要求，经与基金托管人协商一致，并报中国证监会备案，本基金管理人决定自</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日起，调整本基金类型为混合型基金，基金名称变更为</w:t>
      </w:r>
      <w:r>
        <w:rPr>
          <w:color w:val="000000"/>
          <w:sz w:val="24"/>
          <w:szCs w:val="24"/>
        </w:rPr>
        <w:t>“</w:t>
      </w:r>
      <w:r>
        <w:rPr>
          <w:color w:val="000000"/>
          <w:sz w:val="24"/>
          <w:szCs w:val="24"/>
        </w:rPr>
        <w:t>交银施罗德趋势优先混合型证券投资基金</w:t>
      </w:r>
      <w:r>
        <w:rPr>
          <w:color w:val="000000"/>
          <w:sz w:val="24"/>
          <w:szCs w:val="24"/>
        </w:rPr>
        <w:t>”</w:t>
      </w:r>
      <w:r>
        <w:rPr>
          <w:color w:val="000000"/>
          <w:sz w:val="24"/>
          <w:szCs w:val="24"/>
        </w:rPr>
        <w:t>，同时相应修改基金合同和托管协议相关表述。详情请见本基金管理人于</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5</w:t>
      </w:r>
      <w:r>
        <w:rPr>
          <w:color w:val="000000"/>
          <w:sz w:val="24"/>
          <w:szCs w:val="24"/>
        </w:rPr>
        <w:t>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鉴于交银施罗德趋势优先混合型证券投资基金的业绩比较基准的指数停止计算编制，本基金管理人根据基金合同的相关约定，经与基金托管人协商一致，并报中国证监会备案，决定自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日起将交银施罗德趋势优先混合型证券投资基金的业绩比较基准由原</w:t>
      </w:r>
      <w:r w:rsidRPr="00414345">
        <w:rPr>
          <w:color w:val="000000"/>
          <w:sz w:val="24"/>
          <w:szCs w:val="24"/>
        </w:rPr>
        <w:t>“75%</w:t>
      </w:r>
      <w:r w:rsidR="00B50400" w:rsidRPr="00B50400">
        <w:rPr>
          <w:rFonts w:hint="eastAsia"/>
          <w:color w:val="000000"/>
          <w:sz w:val="24"/>
          <w:szCs w:val="24"/>
        </w:rPr>
        <w:t>×</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00B50400" w:rsidRPr="00B50400">
        <w:rPr>
          <w:rFonts w:hint="eastAsia"/>
          <w:color w:val="000000"/>
          <w:sz w:val="24"/>
          <w:szCs w:val="24"/>
        </w:rPr>
        <w:t>×</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00B50400" w:rsidRPr="00B50400">
        <w:rPr>
          <w:rFonts w:hint="eastAsia"/>
          <w:color w:val="000000"/>
          <w:sz w:val="24"/>
          <w:szCs w:val="24"/>
        </w:rPr>
        <w:t>×</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00B50400" w:rsidRPr="00B50400">
        <w:rPr>
          <w:rFonts w:hint="eastAsia"/>
          <w:color w:val="000000"/>
          <w:sz w:val="24"/>
          <w:szCs w:val="24"/>
        </w:rPr>
        <w:t>×</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3019C" w:rsidRDefault="00BD161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83019C" w:rsidRDefault="00BD161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83019C" w:rsidRDefault="00BD161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83019C" w:rsidRDefault="00BD161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83019C" w:rsidRDefault="00BD161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w:t>
      </w:r>
      <w:r w:rsidR="00CE7C3B">
        <w:rPr>
          <w:rFonts w:hint="eastAsia"/>
          <w:color w:val="000000"/>
          <w:sz w:val="24"/>
          <w:szCs w:val="24"/>
        </w:rPr>
        <w:t>股票</w:t>
      </w:r>
      <w:r>
        <w:rPr>
          <w:color w:val="000000"/>
          <w:sz w:val="24"/>
          <w:szCs w:val="24"/>
        </w:rPr>
        <w:t>证券投资基金之法律意见书；</w:t>
      </w:r>
    </w:p>
    <w:p w:rsidR="0083019C" w:rsidRDefault="00BD161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83019C" w:rsidRDefault="00BD161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w:t>
      </w:r>
      <w:r w:rsidR="00CE7C3B">
        <w:rPr>
          <w:rFonts w:hint="eastAsia"/>
          <w:color w:val="000000"/>
          <w:sz w:val="24"/>
          <w:szCs w:val="24"/>
        </w:rPr>
        <w:t>混合型</w:t>
      </w:r>
      <w:r w:rsidRPr="00414345">
        <w:rPr>
          <w:color w:val="000000"/>
          <w:sz w:val="24"/>
          <w:szCs w:val="24"/>
        </w:rPr>
        <w:t>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3019C" w:rsidRDefault="00BD161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A1C" w:rsidRDefault="003F4A1C" w:rsidP="00876D65">
      <w:r>
        <w:separator/>
      </w:r>
    </w:p>
  </w:endnote>
  <w:endnote w:type="continuationSeparator" w:id="0">
    <w:p w:rsidR="003F4A1C" w:rsidRDefault="003F4A1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F36DA7">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F36DA7">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A1C" w:rsidRDefault="003F4A1C" w:rsidP="00876D65">
      <w:r>
        <w:separator/>
      </w:r>
    </w:p>
  </w:footnote>
  <w:footnote w:type="continuationSeparator" w:id="0">
    <w:p w:rsidR="003F4A1C" w:rsidRDefault="003F4A1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4A1C"/>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019C"/>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0400"/>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161A"/>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E7C3B"/>
    <w:rsid w:val="00CF04CF"/>
    <w:rsid w:val="00CF2D3E"/>
    <w:rsid w:val="00CF6572"/>
    <w:rsid w:val="00D01539"/>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6DA7"/>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F8C6D4-302F-4642-A017-F6DFCFD0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0F03-149E-41C8-9655-DA6D0385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562</cp:revision>
  <dcterms:created xsi:type="dcterms:W3CDTF">2012-10-16T06:07:00Z</dcterms:created>
  <dcterms:modified xsi:type="dcterms:W3CDTF">2015-10-22T07:15:00Z</dcterms:modified>
</cp:coreProperties>
</file>