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交银施罗德主题优选灵活配置混合型证券投资基金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二〇一五年十月二十七日</w:t>
      </w:r>
    </w:p>
    <w:p w:rsidR="004061AC" w:rsidRPr="00414345" w:rsidRDefault="004061AC" w:rsidP="00F323FF">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14A65" w:rsidRDefault="00BC74A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p>
    <w:p w:rsidR="00B14A65" w:rsidRDefault="00BC74A8">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26</w:t>
      </w:r>
      <w:r>
        <w:rPr>
          <w:color w:val="000000"/>
          <w:sz w:val="24"/>
          <w:szCs w:val="24"/>
        </w:rPr>
        <w:t xml:space="preserve">日复核了本报告中的财务指标、净值表现和投资组合报告等内容，保证复核内容不存在虚假记载、误导性陈述或者重大遗漏。　　</w:t>
      </w:r>
    </w:p>
    <w:p w:rsidR="00B14A65" w:rsidRDefault="00BC74A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p>
    <w:p w:rsidR="00B14A65" w:rsidRDefault="00BC74A8">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p>
    <w:p w:rsidR="00B14A65" w:rsidRDefault="00BC74A8">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交银主题优选混合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463,339,869.99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本基金力图通过前瞻性的主题优选，积极把握行业和个股投资机会，在控制风险并保持基金资产良好的流动性的前提下，力争实现基金资产的长期稳定增值。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中信标普全债指数收益率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本基金是一只灵活配置的混合型基金，属于基金中的中高风险品种，本基金的风险与预期收益介于股票型基金和债券型基金之间。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511B5" w:rsidRPr="00414345" w:rsidTr="003511B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3511B5" w:rsidRPr="00414345" w:rsidTr="003511B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-41,504,770.03</w:t>
            </w:r>
          </w:p>
        </w:tc>
      </w:tr>
      <w:tr w:rsidR="003511B5" w:rsidRPr="00414345" w:rsidTr="003511B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-161,893,174.01</w:t>
            </w:r>
          </w:p>
        </w:tc>
      </w:tr>
      <w:tr w:rsidR="003511B5" w:rsidRPr="00414345" w:rsidTr="003511B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-0.3451</w:t>
            </w:r>
          </w:p>
        </w:tc>
      </w:tr>
      <w:tr w:rsidR="003511B5" w:rsidRPr="00414345" w:rsidTr="003511B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694,881,365.81</w:t>
            </w:r>
          </w:p>
        </w:tc>
      </w:tr>
      <w:tr w:rsidR="003511B5" w:rsidRPr="00414345" w:rsidTr="003511B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1.500</w:t>
            </w:r>
          </w:p>
        </w:tc>
      </w:tr>
    </w:tbl>
    <w:p w:rsidR="00B14A65" w:rsidRDefault="00BC74A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14A65">
        <w:trPr>
          <w:jc w:val="center"/>
        </w:trPr>
        <w:tc>
          <w:tcPr>
            <w:tcW w:w="1701" w:type="dxa"/>
            <w:vAlign w:val="center"/>
          </w:tcPr>
          <w:p w:rsidR="00B14A65" w:rsidRDefault="00BC74A8">
            <w:pPr>
              <w:jc w:val="left"/>
            </w:pPr>
            <w:r>
              <w:rPr>
                <w:color w:val="000000"/>
                <w:sz w:val="24"/>
                <w:szCs w:val="24"/>
              </w:rPr>
              <w:t>过去三个月</w:t>
            </w:r>
          </w:p>
        </w:tc>
        <w:tc>
          <w:tcPr>
            <w:tcW w:w="1045" w:type="dxa"/>
            <w:vAlign w:val="center"/>
          </w:tcPr>
          <w:p w:rsidR="00B14A65" w:rsidRDefault="00BC74A8">
            <w:pPr>
              <w:jc w:val="center"/>
            </w:pPr>
            <w:r>
              <w:rPr>
                <w:color w:val="000000"/>
                <w:sz w:val="24"/>
                <w:szCs w:val="24"/>
              </w:rPr>
              <w:t>-15.92%</w:t>
            </w:r>
          </w:p>
        </w:tc>
        <w:tc>
          <w:tcPr>
            <w:tcW w:w="1344" w:type="dxa"/>
            <w:vAlign w:val="center"/>
          </w:tcPr>
          <w:p w:rsidR="00B14A65" w:rsidRDefault="00BC74A8">
            <w:pPr>
              <w:jc w:val="center"/>
            </w:pPr>
            <w:r>
              <w:rPr>
                <w:color w:val="000000"/>
                <w:sz w:val="24"/>
                <w:szCs w:val="24"/>
              </w:rPr>
              <w:t>3.49%</w:t>
            </w:r>
          </w:p>
        </w:tc>
        <w:tc>
          <w:tcPr>
            <w:tcW w:w="1194" w:type="dxa"/>
            <w:vAlign w:val="center"/>
          </w:tcPr>
          <w:p w:rsidR="00B14A65" w:rsidRDefault="00BC74A8">
            <w:pPr>
              <w:jc w:val="center"/>
            </w:pPr>
            <w:r>
              <w:rPr>
                <w:color w:val="000000"/>
                <w:sz w:val="24"/>
                <w:szCs w:val="24"/>
              </w:rPr>
              <w:t>-16.84%</w:t>
            </w:r>
          </w:p>
        </w:tc>
        <w:tc>
          <w:tcPr>
            <w:tcW w:w="1492" w:type="dxa"/>
            <w:vAlign w:val="center"/>
          </w:tcPr>
          <w:p w:rsidR="00B14A65" w:rsidRDefault="00BC74A8">
            <w:pPr>
              <w:jc w:val="center"/>
            </w:pPr>
            <w:r>
              <w:rPr>
                <w:color w:val="000000"/>
                <w:sz w:val="24"/>
                <w:szCs w:val="24"/>
              </w:rPr>
              <w:t>2.01%</w:t>
            </w:r>
          </w:p>
        </w:tc>
        <w:tc>
          <w:tcPr>
            <w:tcW w:w="1194" w:type="dxa"/>
            <w:vAlign w:val="center"/>
          </w:tcPr>
          <w:p w:rsidR="00B14A65" w:rsidRDefault="00BC74A8">
            <w:pPr>
              <w:jc w:val="center"/>
            </w:pPr>
            <w:r>
              <w:rPr>
                <w:color w:val="000000"/>
                <w:sz w:val="24"/>
                <w:szCs w:val="24"/>
              </w:rPr>
              <w:t>0.92%</w:t>
            </w:r>
          </w:p>
        </w:tc>
        <w:tc>
          <w:tcPr>
            <w:tcW w:w="898" w:type="dxa"/>
            <w:vAlign w:val="center"/>
          </w:tcPr>
          <w:p w:rsidR="00B14A65" w:rsidRDefault="00BC74A8">
            <w:pPr>
              <w:jc w:val="center"/>
            </w:pPr>
            <w:r>
              <w:rPr>
                <w:color w:val="000000"/>
                <w:sz w:val="24"/>
                <w:szCs w:val="24"/>
              </w:rPr>
              <w:t>1.48%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交银施罗德主题优选灵活配置混合型证券投资基金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E35C7A"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B926B1">
      <w:pPr>
        <w:autoSpaceDE w:val="0"/>
        <w:autoSpaceDN w:val="0"/>
        <w:adjustRightInd w:val="0"/>
        <w:spacing w:before="29" w:line="288" w:lineRule="auto"/>
        <w:jc w:val="left"/>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14A65">
        <w:trPr>
          <w:jc w:val="center"/>
        </w:trPr>
        <w:tc>
          <w:tcPr>
            <w:tcW w:w="846" w:type="dxa"/>
            <w:vAlign w:val="center"/>
          </w:tcPr>
          <w:p w:rsidR="00B14A65" w:rsidRDefault="00BC74A8">
            <w:pPr>
              <w:jc w:val="center"/>
            </w:pPr>
            <w:r>
              <w:rPr>
                <w:color w:val="000000"/>
                <w:sz w:val="24"/>
                <w:szCs w:val="24"/>
              </w:rPr>
              <w:t>沈楠</w:t>
            </w:r>
          </w:p>
        </w:tc>
        <w:tc>
          <w:tcPr>
            <w:tcW w:w="845" w:type="dxa"/>
            <w:vAlign w:val="center"/>
          </w:tcPr>
          <w:p w:rsidR="00B14A65" w:rsidRDefault="00BC74A8">
            <w:pPr>
              <w:jc w:val="center"/>
            </w:pPr>
            <w:r>
              <w:rPr>
                <w:color w:val="000000"/>
                <w:sz w:val="24"/>
                <w:szCs w:val="24"/>
              </w:rPr>
              <w:t>交银主题优选混合、交银国企改革灵活配置混合的基金经理</w:t>
            </w:r>
          </w:p>
        </w:tc>
        <w:tc>
          <w:tcPr>
            <w:tcW w:w="1549" w:type="dxa"/>
            <w:vAlign w:val="center"/>
          </w:tcPr>
          <w:p w:rsidR="00B14A65" w:rsidRDefault="00BC74A8">
            <w:pPr>
              <w:jc w:val="center"/>
            </w:pPr>
            <w:r>
              <w:rPr>
                <w:color w:val="000000"/>
                <w:sz w:val="24"/>
                <w:szCs w:val="24"/>
              </w:rPr>
              <w:t>2015-05-05</w:t>
            </w:r>
          </w:p>
        </w:tc>
        <w:tc>
          <w:tcPr>
            <w:tcW w:w="1548" w:type="dxa"/>
            <w:vAlign w:val="center"/>
          </w:tcPr>
          <w:p w:rsidR="00B14A65" w:rsidRDefault="00BC74A8">
            <w:pPr>
              <w:jc w:val="center"/>
            </w:pPr>
            <w:r>
              <w:rPr>
                <w:color w:val="000000"/>
                <w:sz w:val="24"/>
                <w:szCs w:val="24"/>
              </w:rPr>
              <w:t>-</w:t>
            </w:r>
          </w:p>
        </w:tc>
        <w:tc>
          <w:tcPr>
            <w:tcW w:w="1407" w:type="dxa"/>
            <w:vAlign w:val="center"/>
          </w:tcPr>
          <w:p w:rsidR="00B14A65" w:rsidRDefault="00BC74A8">
            <w:pPr>
              <w:jc w:val="center"/>
            </w:pPr>
            <w:r>
              <w:rPr>
                <w:color w:val="000000"/>
                <w:sz w:val="24"/>
                <w:szCs w:val="24"/>
              </w:rPr>
              <w:t>6</w:t>
            </w:r>
            <w:r>
              <w:rPr>
                <w:color w:val="000000"/>
                <w:sz w:val="24"/>
                <w:szCs w:val="24"/>
              </w:rPr>
              <w:t>年</w:t>
            </w:r>
          </w:p>
        </w:tc>
        <w:tc>
          <w:tcPr>
            <w:tcW w:w="2673" w:type="dxa"/>
            <w:vAlign w:val="center"/>
          </w:tcPr>
          <w:p w:rsidR="00B14A65" w:rsidRDefault="00BC74A8">
            <w:r>
              <w:rPr>
                <w:color w:val="000000"/>
                <w:sz w:val="24"/>
                <w:szCs w:val="24"/>
              </w:rPr>
              <w:t>沈楠先生，复旦大学硕士。历任长江证券高级分析师，</w:t>
            </w:r>
            <w:r>
              <w:rPr>
                <w:color w:val="000000"/>
                <w:sz w:val="24"/>
                <w:szCs w:val="24"/>
              </w:rPr>
              <w:t>2011</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14A65" w:rsidRDefault="00BC74A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14A65" w:rsidRDefault="00BC74A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14A65" w:rsidRDefault="00BC74A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14A65" w:rsidRDefault="00BC74A8">
      <w:pPr>
        <w:spacing w:before="29" w:line="288" w:lineRule="auto"/>
        <w:ind w:firstLineChars="200" w:firstLine="480"/>
        <w:rPr>
          <w:color w:val="000000"/>
          <w:sz w:val="24"/>
          <w:szCs w:val="24"/>
        </w:rPr>
      </w:pPr>
      <w:r>
        <w:rPr>
          <w:color w:val="000000"/>
          <w:sz w:val="24"/>
          <w:szCs w:val="24"/>
        </w:rPr>
        <w:t>三季度，经济内需延续疲软，通胀压力平稳，货币政策则进一步趋向宽松。随着监管部门对于过度杠杆的监管加强，</w:t>
      </w:r>
      <w:r>
        <w:rPr>
          <w:color w:val="000000"/>
          <w:sz w:val="24"/>
          <w:szCs w:val="24"/>
        </w:rPr>
        <w:t>A</w:t>
      </w:r>
      <w:r>
        <w:rPr>
          <w:color w:val="000000"/>
          <w:sz w:val="24"/>
          <w:szCs w:val="24"/>
        </w:rPr>
        <w:t>股市场出现了历史罕见的快速调整，绝大部分上市公司股价难以幸免。本季度经历大幅下跌后，部分个股已经逐步回归前两年的估值合理水平，未来将逐步具备投资价值。</w:t>
      </w:r>
    </w:p>
    <w:p w:rsidR="00B14A65" w:rsidRDefault="00BC74A8">
      <w:pPr>
        <w:spacing w:before="29" w:line="288" w:lineRule="auto"/>
        <w:ind w:firstLineChars="200" w:firstLine="480"/>
        <w:rPr>
          <w:color w:val="000000"/>
          <w:sz w:val="24"/>
          <w:szCs w:val="24"/>
        </w:rPr>
      </w:pPr>
      <w:r>
        <w:rPr>
          <w:color w:val="000000"/>
          <w:sz w:val="24"/>
          <w:szCs w:val="24"/>
        </w:rPr>
        <w:t>报告期内，本基金配置逐渐转向均衡配置，适度增加了国企改革类公司的配置比例，在市场大幅下跌后适度保持中性略高仓位。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展望四季度，产业创新方向不变，改革进程有望延续。我们对整体</w:t>
      </w:r>
      <w:r w:rsidRPr="00414345">
        <w:rPr>
          <w:color w:val="000000"/>
          <w:sz w:val="24"/>
          <w:szCs w:val="24"/>
        </w:rPr>
        <w:t>A</w:t>
      </w:r>
      <w:r w:rsidRPr="00414345">
        <w:rPr>
          <w:color w:val="000000"/>
          <w:sz w:val="24"/>
          <w:szCs w:val="24"/>
        </w:rPr>
        <w:t>股市场保持谨慎乐观，在传统行业中选择高分红率且需求稳定的行业公司，对新兴产业中集中持仓并挑选具备竞争壁垒和优势的细分领域龙头企业，同时本基金仍将适当参与相关改革主题。</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1.500</w:t>
      </w:r>
      <w:r w:rsidRPr="00414345">
        <w:rPr>
          <w:color w:val="000000"/>
          <w:sz w:val="24"/>
          <w:szCs w:val="24"/>
        </w:rPr>
        <w:t>元，本报告期份额净值增长率为</w:t>
      </w:r>
      <w:r w:rsidRPr="00414345">
        <w:rPr>
          <w:color w:val="000000"/>
          <w:sz w:val="24"/>
          <w:szCs w:val="24"/>
        </w:rPr>
        <w:t>-15.92%</w:t>
      </w:r>
      <w:r w:rsidRPr="00414345">
        <w:rPr>
          <w:color w:val="000000"/>
          <w:sz w:val="24"/>
          <w:szCs w:val="24"/>
        </w:rPr>
        <w:t>，同期业绩比较基准增长率为</w:t>
      </w:r>
      <w:r w:rsidRPr="00414345">
        <w:rPr>
          <w:color w:val="000000"/>
          <w:sz w:val="24"/>
          <w:szCs w:val="24"/>
        </w:rPr>
        <w:t>-16.84%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392,725,962.45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55.45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392,725,962.45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55.45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314,503,946.75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44.41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983,897.45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0.14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708,213,806.65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7,137,263.00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7,746,375.00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249,216,198.75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34,708,076.82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20,126,126.01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49,380,579.84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11,407,498.90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6,421,506.00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4,154,266.88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2,428,071.25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392,725,962.45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56.52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14A65">
        <w:trPr>
          <w:jc w:val="center"/>
        </w:trPr>
        <w:tc>
          <w:tcPr>
            <w:tcW w:w="855" w:type="dxa"/>
            <w:vAlign w:val="center"/>
          </w:tcPr>
          <w:p w:rsidR="00B14A65" w:rsidRDefault="00BC74A8">
            <w:pPr>
              <w:jc w:val="center"/>
            </w:pPr>
            <w:r>
              <w:rPr>
                <w:color w:val="000000"/>
                <w:sz w:val="24"/>
                <w:szCs w:val="24"/>
              </w:rPr>
              <w:t>1</w:t>
            </w:r>
          </w:p>
        </w:tc>
        <w:tc>
          <w:tcPr>
            <w:tcW w:w="1334" w:type="dxa"/>
            <w:vAlign w:val="center"/>
          </w:tcPr>
          <w:p w:rsidR="00B14A65" w:rsidRDefault="00BC74A8">
            <w:pPr>
              <w:jc w:val="center"/>
            </w:pPr>
            <w:r>
              <w:rPr>
                <w:color w:val="000000"/>
                <w:sz w:val="24"/>
                <w:szCs w:val="24"/>
              </w:rPr>
              <w:t>002717</w:t>
            </w:r>
          </w:p>
        </w:tc>
        <w:tc>
          <w:tcPr>
            <w:tcW w:w="1777" w:type="dxa"/>
            <w:vAlign w:val="center"/>
          </w:tcPr>
          <w:p w:rsidR="00B14A65" w:rsidRDefault="00BC74A8">
            <w:pPr>
              <w:jc w:val="center"/>
            </w:pPr>
            <w:r>
              <w:rPr>
                <w:color w:val="000000"/>
                <w:sz w:val="24"/>
                <w:szCs w:val="24"/>
              </w:rPr>
              <w:t>岭南园林</w:t>
            </w:r>
          </w:p>
        </w:tc>
        <w:tc>
          <w:tcPr>
            <w:tcW w:w="1334" w:type="dxa"/>
            <w:vAlign w:val="center"/>
          </w:tcPr>
          <w:p w:rsidR="00B14A65" w:rsidRDefault="00BC74A8">
            <w:pPr>
              <w:jc w:val="right"/>
            </w:pPr>
            <w:r>
              <w:rPr>
                <w:color w:val="000000"/>
                <w:sz w:val="24"/>
                <w:szCs w:val="24"/>
              </w:rPr>
              <w:t>1,960,591</w:t>
            </w:r>
          </w:p>
        </w:tc>
        <w:tc>
          <w:tcPr>
            <w:tcW w:w="1924" w:type="dxa"/>
            <w:vAlign w:val="center"/>
          </w:tcPr>
          <w:p w:rsidR="00B14A65" w:rsidRDefault="00BC74A8">
            <w:pPr>
              <w:jc w:val="right"/>
            </w:pPr>
            <w:r>
              <w:rPr>
                <w:color w:val="000000"/>
                <w:sz w:val="24"/>
                <w:szCs w:val="24"/>
              </w:rPr>
              <w:t>29,448,076.82</w:t>
            </w:r>
          </w:p>
        </w:tc>
        <w:tc>
          <w:tcPr>
            <w:tcW w:w="1644" w:type="dxa"/>
            <w:vAlign w:val="center"/>
          </w:tcPr>
          <w:p w:rsidR="00B14A65" w:rsidRDefault="00BC74A8">
            <w:pPr>
              <w:jc w:val="right"/>
            </w:pPr>
            <w:r>
              <w:rPr>
                <w:color w:val="000000"/>
                <w:sz w:val="24"/>
                <w:szCs w:val="24"/>
              </w:rPr>
              <w:t>4.24</w:t>
            </w:r>
          </w:p>
        </w:tc>
      </w:tr>
      <w:tr w:rsidR="00B14A65">
        <w:trPr>
          <w:jc w:val="center"/>
        </w:trPr>
        <w:tc>
          <w:tcPr>
            <w:tcW w:w="855" w:type="dxa"/>
            <w:vAlign w:val="center"/>
          </w:tcPr>
          <w:p w:rsidR="00B14A65" w:rsidRDefault="00BC74A8">
            <w:pPr>
              <w:jc w:val="center"/>
            </w:pPr>
            <w:r>
              <w:rPr>
                <w:color w:val="000000"/>
                <w:sz w:val="24"/>
                <w:szCs w:val="24"/>
              </w:rPr>
              <w:t>2</w:t>
            </w:r>
          </w:p>
        </w:tc>
        <w:tc>
          <w:tcPr>
            <w:tcW w:w="1334" w:type="dxa"/>
            <w:vAlign w:val="center"/>
          </w:tcPr>
          <w:p w:rsidR="00B14A65" w:rsidRDefault="00BC74A8">
            <w:pPr>
              <w:jc w:val="center"/>
            </w:pPr>
            <w:r>
              <w:rPr>
                <w:color w:val="000000"/>
                <w:sz w:val="24"/>
                <w:szCs w:val="24"/>
              </w:rPr>
              <w:t>002169</w:t>
            </w:r>
          </w:p>
        </w:tc>
        <w:tc>
          <w:tcPr>
            <w:tcW w:w="1777" w:type="dxa"/>
            <w:vAlign w:val="center"/>
          </w:tcPr>
          <w:p w:rsidR="00B14A65" w:rsidRDefault="00BC74A8">
            <w:pPr>
              <w:jc w:val="center"/>
            </w:pPr>
            <w:r>
              <w:rPr>
                <w:color w:val="000000"/>
                <w:sz w:val="24"/>
                <w:szCs w:val="24"/>
              </w:rPr>
              <w:t>智光电气</w:t>
            </w:r>
          </w:p>
        </w:tc>
        <w:tc>
          <w:tcPr>
            <w:tcW w:w="1334" w:type="dxa"/>
            <w:vAlign w:val="center"/>
          </w:tcPr>
          <w:p w:rsidR="00B14A65" w:rsidRDefault="00BC74A8">
            <w:pPr>
              <w:jc w:val="right"/>
            </w:pPr>
            <w:r>
              <w:rPr>
                <w:color w:val="000000"/>
                <w:sz w:val="24"/>
                <w:szCs w:val="24"/>
              </w:rPr>
              <w:t>1,215,923</w:t>
            </w:r>
          </w:p>
        </w:tc>
        <w:tc>
          <w:tcPr>
            <w:tcW w:w="1924" w:type="dxa"/>
            <w:vAlign w:val="center"/>
          </w:tcPr>
          <w:p w:rsidR="00B14A65" w:rsidRDefault="00BC74A8">
            <w:pPr>
              <w:jc w:val="right"/>
            </w:pPr>
            <w:r>
              <w:rPr>
                <w:color w:val="000000"/>
                <w:sz w:val="24"/>
                <w:szCs w:val="24"/>
              </w:rPr>
              <w:t>21,558,314.79</w:t>
            </w:r>
          </w:p>
        </w:tc>
        <w:tc>
          <w:tcPr>
            <w:tcW w:w="1644" w:type="dxa"/>
            <w:vAlign w:val="center"/>
          </w:tcPr>
          <w:p w:rsidR="00B14A65" w:rsidRDefault="00BC74A8">
            <w:pPr>
              <w:jc w:val="right"/>
            </w:pPr>
            <w:r>
              <w:rPr>
                <w:color w:val="000000"/>
                <w:sz w:val="24"/>
                <w:szCs w:val="24"/>
              </w:rPr>
              <w:t>3.10</w:t>
            </w:r>
          </w:p>
        </w:tc>
      </w:tr>
      <w:tr w:rsidR="00B14A65">
        <w:trPr>
          <w:jc w:val="center"/>
        </w:trPr>
        <w:tc>
          <w:tcPr>
            <w:tcW w:w="855" w:type="dxa"/>
            <w:vAlign w:val="center"/>
          </w:tcPr>
          <w:p w:rsidR="00B14A65" w:rsidRDefault="00BC74A8">
            <w:pPr>
              <w:jc w:val="center"/>
            </w:pPr>
            <w:r>
              <w:rPr>
                <w:color w:val="000000"/>
                <w:sz w:val="24"/>
                <w:szCs w:val="24"/>
              </w:rPr>
              <w:t>3</w:t>
            </w:r>
          </w:p>
        </w:tc>
        <w:tc>
          <w:tcPr>
            <w:tcW w:w="1334" w:type="dxa"/>
            <w:vAlign w:val="center"/>
          </w:tcPr>
          <w:p w:rsidR="00B14A65" w:rsidRDefault="00BC74A8">
            <w:pPr>
              <w:jc w:val="center"/>
            </w:pPr>
            <w:r>
              <w:rPr>
                <w:color w:val="000000"/>
                <w:sz w:val="24"/>
                <w:szCs w:val="24"/>
              </w:rPr>
              <w:t>002280</w:t>
            </w:r>
          </w:p>
        </w:tc>
        <w:tc>
          <w:tcPr>
            <w:tcW w:w="1777" w:type="dxa"/>
            <w:vAlign w:val="center"/>
          </w:tcPr>
          <w:p w:rsidR="00B14A65" w:rsidRDefault="00BC74A8">
            <w:pPr>
              <w:jc w:val="center"/>
            </w:pPr>
            <w:r>
              <w:rPr>
                <w:color w:val="000000"/>
                <w:sz w:val="24"/>
                <w:szCs w:val="24"/>
              </w:rPr>
              <w:t>联络互动</w:t>
            </w:r>
          </w:p>
        </w:tc>
        <w:tc>
          <w:tcPr>
            <w:tcW w:w="1334" w:type="dxa"/>
            <w:vAlign w:val="center"/>
          </w:tcPr>
          <w:p w:rsidR="00B14A65" w:rsidRDefault="00BC74A8">
            <w:pPr>
              <w:jc w:val="right"/>
            </w:pPr>
            <w:r>
              <w:rPr>
                <w:color w:val="000000"/>
                <w:sz w:val="24"/>
                <w:szCs w:val="24"/>
              </w:rPr>
              <w:t>506,114</w:t>
            </w:r>
          </w:p>
        </w:tc>
        <w:tc>
          <w:tcPr>
            <w:tcW w:w="1924" w:type="dxa"/>
            <w:vAlign w:val="center"/>
          </w:tcPr>
          <w:p w:rsidR="00B14A65" w:rsidRDefault="00BC74A8">
            <w:pPr>
              <w:jc w:val="right"/>
            </w:pPr>
            <w:r>
              <w:rPr>
                <w:color w:val="000000"/>
                <w:sz w:val="24"/>
                <w:szCs w:val="24"/>
              </w:rPr>
              <w:t>17,845,579.64</w:t>
            </w:r>
          </w:p>
        </w:tc>
        <w:tc>
          <w:tcPr>
            <w:tcW w:w="1644" w:type="dxa"/>
            <w:vAlign w:val="center"/>
          </w:tcPr>
          <w:p w:rsidR="00B14A65" w:rsidRDefault="00BC74A8">
            <w:pPr>
              <w:jc w:val="right"/>
            </w:pPr>
            <w:r>
              <w:rPr>
                <w:color w:val="000000"/>
                <w:sz w:val="24"/>
                <w:szCs w:val="24"/>
              </w:rPr>
              <w:t>2.57</w:t>
            </w:r>
          </w:p>
        </w:tc>
      </w:tr>
      <w:tr w:rsidR="00B14A65">
        <w:trPr>
          <w:jc w:val="center"/>
        </w:trPr>
        <w:tc>
          <w:tcPr>
            <w:tcW w:w="855" w:type="dxa"/>
            <w:vAlign w:val="center"/>
          </w:tcPr>
          <w:p w:rsidR="00B14A65" w:rsidRDefault="00BC74A8">
            <w:pPr>
              <w:jc w:val="center"/>
            </w:pPr>
            <w:r>
              <w:rPr>
                <w:color w:val="000000"/>
                <w:sz w:val="24"/>
                <w:szCs w:val="24"/>
              </w:rPr>
              <w:t>4</w:t>
            </w:r>
          </w:p>
        </w:tc>
        <w:tc>
          <w:tcPr>
            <w:tcW w:w="1334" w:type="dxa"/>
            <w:vAlign w:val="center"/>
          </w:tcPr>
          <w:p w:rsidR="00B14A65" w:rsidRDefault="00BC74A8">
            <w:pPr>
              <w:jc w:val="center"/>
            </w:pPr>
            <w:r>
              <w:rPr>
                <w:color w:val="000000"/>
                <w:sz w:val="24"/>
                <w:szCs w:val="24"/>
              </w:rPr>
              <w:t>002422</w:t>
            </w:r>
          </w:p>
        </w:tc>
        <w:tc>
          <w:tcPr>
            <w:tcW w:w="1777" w:type="dxa"/>
            <w:vAlign w:val="center"/>
          </w:tcPr>
          <w:p w:rsidR="00B14A65" w:rsidRDefault="00BC74A8">
            <w:pPr>
              <w:jc w:val="center"/>
            </w:pPr>
            <w:r>
              <w:rPr>
                <w:color w:val="000000"/>
                <w:sz w:val="24"/>
                <w:szCs w:val="24"/>
              </w:rPr>
              <w:t>科伦药业</w:t>
            </w:r>
          </w:p>
        </w:tc>
        <w:tc>
          <w:tcPr>
            <w:tcW w:w="1334" w:type="dxa"/>
            <w:vAlign w:val="center"/>
          </w:tcPr>
          <w:p w:rsidR="00B14A65" w:rsidRDefault="00BC74A8">
            <w:pPr>
              <w:jc w:val="right"/>
            </w:pPr>
            <w:r>
              <w:rPr>
                <w:color w:val="000000"/>
                <w:sz w:val="24"/>
                <w:szCs w:val="24"/>
              </w:rPr>
              <w:t>1,141,039</w:t>
            </w:r>
          </w:p>
        </w:tc>
        <w:tc>
          <w:tcPr>
            <w:tcW w:w="1924" w:type="dxa"/>
            <w:vAlign w:val="center"/>
          </w:tcPr>
          <w:p w:rsidR="00B14A65" w:rsidRDefault="00BC74A8">
            <w:pPr>
              <w:jc w:val="right"/>
            </w:pPr>
            <w:r>
              <w:rPr>
                <w:color w:val="000000"/>
                <w:sz w:val="24"/>
                <w:szCs w:val="24"/>
              </w:rPr>
              <w:t>16,990,070.71</w:t>
            </w:r>
          </w:p>
        </w:tc>
        <w:tc>
          <w:tcPr>
            <w:tcW w:w="1644" w:type="dxa"/>
            <w:vAlign w:val="center"/>
          </w:tcPr>
          <w:p w:rsidR="00B14A65" w:rsidRDefault="00BC74A8">
            <w:pPr>
              <w:jc w:val="right"/>
            </w:pPr>
            <w:r>
              <w:rPr>
                <w:color w:val="000000"/>
                <w:sz w:val="24"/>
                <w:szCs w:val="24"/>
              </w:rPr>
              <w:t>2.45</w:t>
            </w:r>
          </w:p>
        </w:tc>
      </w:tr>
      <w:tr w:rsidR="00B14A65">
        <w:trPr>
          <w:jc w:val="center"/>
        </w:trPr>
        <w:tc>
          <w:tcPr>
            <w:tcW w:w="855" w:type="dxa"/>
            <w:vAlign w:val="center"/>
          </w:tcPr>
          <w:p w:rsidR="00B14A65" w:rsidRDefault="00BC74A8">
            <w:pPr>
              <w:jc w:val="center"/>
            </w:pPr>
            <w:r>
              <w:rPr>
                <w:color w:val="000000"/>
                <w:sz w:val="24"/>
                <w:szCs w:val="24"/>
              </w:rPr>
              <w:t>5</w:t>
            </w:r>
          </w:p>
        </w:tc>
        <w:tc>
          <w:tcPr>
            <w:tcW w:w="1334" w:type="dxa"/>
            <w:vAlign w:val="center"/>
          </w:tcPr>
          <w:p w:rsidR="00B14A65" w:rsidRDefault="00BC74A8">
            <w:pPr>
              <w:jc w:val="center"/>
            </w:pPr>
            <w:r>
              <w:rPr>
                <w:color w:val="000000"/>
                <w:sz w:val="24"/>
                <w:szCs w:val="24"/>
              </w:rPr>
              <w:t>600501</w:t>
            </w:r>
          </w:p>
        </w:tc>
        <w:tc>
          <w:tcPr>
            <w:tcW w:w="1777" w:type="dxa"/>
            <w:vAlign w:val="center"/>
          </w:tcPr>
          <w:p w:rsidR="00B14A65" w:rsidRDefault="00BC74A8">
            <w:pPr>
              <w:jc w:val="center"/>
            </w:pPr>
            <w:r>
              <w:rPr>
                <w:color w:val="000000"/>
                <w:sz w:val="24"/>
                <w:szCs w:val="24"/>
              </w:rPr>
              <w:t>航天晨光</w:t>
            </w:r>
          </w:p>
        </w:tc>
        <w:tc>
          <w:tcPr>
            <w:tcW w:w="1334" w:type="dxa"/>
            <w:vAlign w:val="center"/>
          </w:tcPr>
          <w:p w:rsidR="00B14A65" w:rsidRDefault="00BC74A8">
            <w:pPr>
              <w:jc w:val="right"/>
            </w:pPr>
            <w:r>
              <w:rPr>
                <w:color w:val="000000"/>
                <w:sz w:val="24"/>
                <w:szCs w:val="24"/>
              </w:rPr>
              <w:t>1,000,000</w:t>
            </w:r>
          </w:p>
        </w:tc>
        <w:tc>
          <w:tcPr>
            <w:tcW w:w="1924" w:type="dxa"/>
            <w:vAlign w:val="center"/>
          </w:tcPr>
          <w:p w:rsidR="00B14A65" w:rsidRDefault="00BC74A8">
            <w:pPr>
              <w:jc w:val="right"/>
            </w:pPr>
            <w:r>
              <w:rPr>
                <w:color w:val="000000"/>
                <w:sz w:val="24"/>
                <w:szCs w:val="24"/>
              </w:rPr>
              <w:t>16,280,000.00</w:t>
            </w:r>
          </w:p>
        </w:tc>
        <w:tc>
          <w:tcPr>
            <w:tcW w:w="1644" w:type="dxa"/>
            <w:vAlign w:val="center"/>
          </w:tcPr>
          <w:p w:rsidR="00B14A65" w:rsidRDefault="00BC74A8">
            <w:pPr>
              <w:jc w:val="right"/>
            </w:pPr>
            <w:r>
              <w:rPr>
                <w:color w:val="000000"/>
                <w:sz w:val="24"/>
                <w:szCs w:val="24"/>
              </w:rPr>
              <w:t>2.34</w:t>
            </w:r>
          </w:p>
        </w:tc>
      </w:tr>
      <w:tr w:rsidR="00B14A65">
        <w:trPr>
          <w:jc w:val="center"/>
        </w:trPr>
        <w:tc>
          <w:tcPr>
            <w:tcW w:w="855" w:type="dxa"/>
            <w:vAlign w:val="center"/>
          </w:tcPr>
          <w:p w:rsidR="00B14A65" w:rsidRDefault="00BC74A8">
            <w:pPr>
              <w:jc w:val="center"/>
            </w:pPr>
            <w:r>
              <w:rPr>
                <w:color w:val="000000"/>
                <w:sz w:val="24"/>
                <w:szCs w:val="24"/>
              </w:rPr>
              <w:t>6</w:t>
            </w:r>
          </w:p>
        </w:tc>
        <w:tc>
          <w:tcPr>
            <w:tcW w:w="1334" w:type="dxa"/>
            <w:vAlign w:val="center"/>
          </w:tcPr>
          <w:p w:rsidR="00B14A65" w:rsidRDefault="00BC74A8">
            <w:pPr>
              <w:jc w:val="center"/>
            </w:pPr>
            <w:r>
              <w:rPr>
                <w:color w:val="000000"/>
                <w:sz w:val="24"/>
                <w:szCs w:val="24"/>
              </w:rPr>
              <w:t>300367</w:t>
            </w:r>
          </w:p>
        </w:tc>
        <w:tc>
          <w:tcPr>
            <w:tcW w:w="1777" w:type="dxa"/>
            <w:vAlign w:val="center"/>
          </w:tcPr>
          <w:p w:rsidR="00B14A65" w:rsidRDefault="00BC74A8">
            <w:pPr>
              <w:jc w:val="center"/>
            </w:pPr>
            <w:r>
              <w:rPr>
                <w:color w:val="000000"/>
                <w:sz w:val="24"/>
                <w:szCs w:val="24"/>
              </w:rPr>
              <w:t>东方网力</w:t>
            </w:r>
          </w:p>
        </w:tc>
        <w:tc>
          <w:tcPr>
            <w:tcW w:w="1334" w:type="dxa"/>
            <w:vAlign w:val="center"/>
          </w:tcPr>
          <w:p w:rsidR="00B14A65" w:rsidRDefault="00BC74A8">
            <w:pPr>
              <w:jc w:val="right"/>
            </w:pPr>
            <w:r>
              <w:rPr>
                <w:color w:val="000000"/>
                <w:sz w:val="24"/>
                <w:szCs w:val="24"/>
              </w:rPr>
              <w:t>288,533</w:t>
            </w:r>
          </w:p>
        </w:tc>
        <w:tc>
          <w:tcPr>
            <w:tcW w:w="1924" w:type="dxa"/>
            <w:vAlign w:val="center"/>
          </w:tcPr>
          <w:p w:rsidR="00B14A65" w:rsidRDefault="00BC74A8">
            <w:pPr>
              <w:jc w:val="right"/>
            </w:pPr>
            <w:r>
              <w:rPr>
                <w:color w:val="000000"/>
                <w:sz w:val="24"/>
                <w:szCs w:val="24"/>
              </w:rPr>
              <w:t>16,264,605.21</w:t>
            </w:r>
          </w:p>
        </w:tc>
        <w:tc>
          <w:tcPr>
            <w:tcW w:w="1644" w:type="dxa"/>
            <w:vAlign w:val="center"/>
          </w:tcPr>
          <w:p w:rsidR="00B14A65" w:rsidRDefault="00BC74A8">
            <w:pPr>
              <w:jc w:val="right"/>
            </w:pPr>
            <w:r>
              <w:rPr>
                <w:color w:val="000000"/>
                <w:sz w:val="24"/>
                <w:szCs w:val="24"/>
              </w:rPr>
              <w:t>2.34</w:t>
            </w:r>
          </w:p>
        </w:tc>
      </w:tr>
      <w:tr w:rsidR="00B14A65">
        <w:trPr>
          <w:jc w:val="center"/>
        </w:trPr>
        <w:tc>
          <w:tcPr>
            <w:tcW w:w="855" w:type="dxa"/>
            <w:vAlign w:val="center"/>
          </w:tcPr>
          <w:p w:rsidR="00B14A65" w:rsidRDefault="00BC74A8">
            <w:pPr>
              <w:jc w:val="center"/>
            </w:pPr>
            <w:r>
              <w:rPr>
                <w:color w:val="000000"/>
                <w:sz w:val="24"/>
                <w:szCs w:val="24"/>
              </w:rPr>
              <w:t>7</w:t>
            </w:r>
          </w:p>
        </w:tc>
        <w:tc>
          <w:tcPr>
            <w:tcW w:w="1334" w:type="dxa"/>
            <w:vAlign w:val="center"/>
          </w:tcPr>
          <w:p w:rsidR="00B14A65" w:rsidRDefault="00BC74A8">
            <w:pPr>
              <w:jc w:val="center"/>
            </w:pPr>
            <w:r>
              <w:rPr>
                <w:color w:val="000000"/>
                <w:sz w:val="24"/>
                <w:szCs w:val="24"/>
              </w:rPr>
              <w:t>300226</w:t>
            </w:r>
          </w:p>
        </w:tc>
        <w:tc>
          <w:tcPr>
            <w:tcW w:w="1777" w:type="dxa"/>
            <w:vAlign w:val="center"/>
          </w:tcPr>
          <w:p w:rsidR="00B14A65" w:rsidRDefault="00BC74A8">
            <w:pPr>
              <w:jc w:val="center"/>
            </w:pPr>
            <w:r>
              <w:rPr>
                <w:color w:val="000000"/>
                <w:sz w:val="24"/>
                <w:szCs w:val="24"/>
              </w:rPr>
              <w:t>上海钢联</w:t>
            </w:r>
          </w:p>
        </w:tc>
        <w:tc>
          <w:tcPr>
            <w:tcW w:w="1334" w:type="dxa"/>
            <w:vAlign w:val="center"/>
          </w:tcPr>
          <w:p w:rsidR="00B14A65" w:rsidRDefault="00BC74A8">
            <w:pPr>
              <w:jc w:val="right"/>
            </w:pPr>
            <w:r>
              <w:rPr>
                <w:color w:val="000000"/>
                <w:sz w:val="24"/>
                <w:szCs w:val="24"/>
              </w:rPr>
              <w:t>306,680</w:t>
            </w:r>
          </w:p>
        </w:tc>
        <w:tc>
          <w:tcPr>
            <w:tcW w:w="1924" w:type="dxa"/>
            <w:vAlign w:val="center"/>
          </w:tcPr>
          <w:p w:rsidR="00B14A65" w:rsidRDefault="00BC74A8">
            <w:pPr>
              <w:jc w:val="right"/>
            </w:pPr>
            <w:r>
              <w:rPr>
                <w:color w:val="000000"/>
                <w:sz w:val="24"/>
                <w:szCs w:val="24"/>
              </w:rPr>
              <w:t>16,235,639.20</w:t>
            </w:r>
          </w:p>
        </w:tc>
        <w:tc>
          <w:tcPr>
            <w:tcW w:w="1644" w:type="dxa"/>
            <w:vAlign w:val="center"/>
          </w:tcPr>
          <w:p w:rsidR="00B14A65" w:rsidRDefault="00BC74A8">
            <w:pPr>
              <w:jc w:val="right"/>
            </w:pPr>
            <w:r>
              <w:rPr>
                <w:color w:val="000000"/>
                <w:sz w:val="24"/>
                <w:szCs w:val="24"/>
              </w:rPr>
              <w:t>2.34</w:t>
            </w:r>
          </w:p>
        </w:tc>
      </w:tr>
      <w:tr w:rsidR="00B14A65">
        <w:trPr>
          <w:jc w:val="center"/>
        </w:trPr>
        <w:tc>
          <w:tcPr>
            <w:tcW w:w="855" w:type="dxa"/>
            <w:vAlign w:val="center"/>
          </w:tcPr>
          <w:p w:rsidR="00B14A65" w:rsidRDefault="00BC74A8">
            <w:pPr>
              <w:jc w:val="center"/>
            </w:pPr>
            <w:r>
              <w:rPr>
                <w:color w:val="000000"/>
                <w:sz w:val="24"/>
                <w:szCs w:val="24"/>
              </w:rPr>
              <w:t>8</w:t>
            </w:r>
          </w:p>
        </w:tc>
        <w:tc>
          <w:tcPr>
            <w:tcW w:w="1334" w:type="dxa"/>
            <w:vAlign w:val="center"/>
          </w:tcPr>
          <w:p w:rsidR="00B14A65" w:rsidRDefault="00BC74A8">
            <w:pPr>
              <w:jc w:val="center"/>
            </w:pPr>
            <w:r>
              <w:rPr>
                <w:color w:val="000000"/>
                <w:sz w:val="24"/>
                <w:szCs w:val="24"/>
              </w:rPr>
              <w:t>600976</w:t>
            </w:r>
          </w:p>
        </w:tc>
        <w:tc>
          <w:tcPr>
            <w:tcW w:w="1777" w:type="dxa"/>
            <w:vAlign w:val="center"/>
          </w:tcPr>
          <w:p w:rsidR="00B14A65" w:rsidRDefault="00BC74A8">
            <w:pPr>
              <w:jc w:val="center"/>
            </w:pPr>
            <w:r>
              <w:rPr>
                <w:color w:val="000000"/>
                <w:sz w:val="24"/>
                <w:szCs w:val="24"/>
              </w:rPr>
              <w:t>健民集团</w:t>
            </w:r>
          </w:p>
        </w:tc>
        <w:tc>
          <w:tcPr>
            <w:tcW w:w="1334" w:type="dxa"/>
            <w:vAlign w:val="center"/>
          </w:tcPr>
          <w:p w:rsidR="00B14A65" w:rsidRDefault="00BC74A8">
            <w:pPr>
              <w:jc w:val="right"/>
            </w:pPr>
            <w:r>
              <w:rPr>
                <w:color w:val="000000"/>
                <w:sz w:val="24"/>
                <w:szCs w:val="24"/>
              </w:rPr>
              <w:t>587,335</w:t>
            </w:r>
          </w:p>
        </w:tc>
        <w:tc>
          <w:tcPr>
            <w:tcW w:w="1924" w:type="dxa"/>
            <w:vAlign w:val="center"/>
          </w:tcPr>
          <w:p w:rsidR="00B14A65" w:rsidRDefault="00BC74A8">
            <w:pPr>
              <w:jc w:val="right"/>
            </w:pPr>
            <w:r>
              <w:rPr>
                <w:color w:val="000000"/>
                <w:sz w:val="24"/>
                <w:szCs w:val="24"/>
              </w:rPr>
              <w:t>15,840,424.95</w:t>
            </w:r>
          </w:p>
        </w:tc>
        <w:tc>
          <w:tcPr>
            <w:tcW w:w="1644" w:type="dxa"/>
            <w:vAlign w:val="center"/>
          </w:tcPr>
          <w:p w:rsidR="00B14A65" w:rsidRDefault="00BC74A8">
            <w:pPr>
              <w:jc w:val="right"/>
            </w:pPr>
            <w:r>
              <w:rPr>
                <w:color w:val="000000"/>
                <w:sz w:val="24"/>
                <w:szCs w:val="24"/>
              </w:rPr>
              <w:t>2.28</w:t>
            </w:r>
          </w:p>
        </w:tc>
      </w:tr>
      <w:tr w:rsidR="00B14A65">
        <w:trPr>
          <w:jc w:val="center"/>
        </w:trPr>
        <w:tc>
          <w:tcPr>
            <w:tcW w:w="855" w:type="dxa"/>
            <w:vAlign w:val="center"/>
          </w:tcPr>
          <w:p w:rsidR="00B14A65" w:rsidRDefault="00BC74A8">
            <w:pPr>
              <w:jc w:val="center"/>
            </w:pPr>
            <w:r>
              <w:rPr>
                <w:color w:val="000000"/>
                <w:sz w:val="24"/>
                <w:szCs w:val="24"/>
              </w:rPr>
              <w:t>9</w:t>
            </w:r>
          </w:p>
        </w:tc>
        <w:tc>
          <w:tcPr>
            <w:tcW w:w="1334" w:type="dxa"/>
            <w:vAlign w:val="center"/>
          </w:tcPr>
          <w:p w:rsidR="00B14A65" w:rsidRDefault="00BC74A8">
            <w:pPr>
              <w:jc w:val="center"/>
            </w:pPr>
            <w:r>
              <w:rPr>
                <w:color w:val="000000"/>
                <w:sz w:val="24"/>
                <w:szCs w:val="24"/>
              </w:rPr>
              <w:t>002053</w:t>
            </w:r>
          </w:p>
        </w:tc>
        <w:tc>
          <w:tcPr>
            <w:tcW w:w="1777" w:type="dxa"/>
            <w:vAlign w:val="center"/>
          </w:tcPr>
          <w:p w:rsidR="00B14A65" w:rsidRDefault="00BC74A8">
            <w:pPr>
              <w:jc w:val="center"/>
            </w:pPr>
            <w:r>
              <w:rPr>
                <w:color w:val="000000"/>
                <w:sz w:val="24"/>
                <w:szCs w:val="24"/>
              </w:rPr>
              <w:t>云南盐化</w:t>
            </w:r>
          </w:p>
        </w:tc>
        <w:tc>
          <w:tcPr>
            <w:tcW w:w="1334" w:type="dxa"/>
            <w:vAlign w:val="center"/>
          </w:tcPr>
          <w:p w:rsidR="00B14A65" w:rsidRDefault="00BC74A8">
            <w:pPr>
              <w:jc w:val="right"/>
            </w:pPr>
            <w:r>
              <w:rPr>
                <w:color w:val="000000"/>
                <w:sz w:val="24"/>
                <w:szCs w:val="24"/>
              </w:rPr>
              <w:t>835,158</w:t>
            </w:r>
          </w:p>
        </w:tc>
        <w:tc>
          <w:tcPr>
            <w:tcW w:w="1924" w:type="dxa"/>
            <w:vAlign w:val="center"/>
          </w:tcPr>
          <w:p w:rsidR="00B14A65" w:rsidRDefault="00BC74A8">
            <w:pPr>
              <w:jc w:val="right"/>
            </w:pPr>
            <w:r>
              <w:rPr>
                <w:color w:val="000000"/>
                <w:sz w:val="24"/>
                <w:szCs w:val="24"/>
              </w:rPr>
              <w:t>15,759,431.46</w:t>
            </w:r>
          </w:p>
        </w:tc>
        <w:tc>
          <w:tcPr>
            <w:tcW w:w="1644" w:type="dxa"/>
            <w:vAlign w:val="center"/>
          </w:tcPr>
          <w:p w:rsidR="00B14A65" w:rsidRDefault="00BC74A8">
            <w:pPr>
              <w:jc w:val="right"/>
            </w:pPr>
            <w:r>
              <w:rPr>
                <w:color w:val="000000"/>
                <w:sz w:val="24"/>
                <w:szCs w:val="24"/>
              </w:rPr>
              <w:t>2.27</w:t>
            </w:r>
          </w:p>
        </w:tc>
      </w:tr>
      <w:tr w:rsidR="00B14A65">
        <w:trPr>
          <w:jc w:val="center"/>
        </w:trPr>
        <w:tc>
          <w:tcPr>
            <w:tcW w:w="855" w:type="dxa"/>
            <w:vAlign w:val="center"/>
          </w:tcPr>
          <w:p w:rsidR="00B14A65" w:rsidRDefault="00BC74A8">
            <w:pPr>
              <w:jc w:val="center"/>
            </w:pPr>
            <w:r>
              <w:rPr>
                <w:color w:val="000000"/>
                <w:sz w:val="24"/>
                <w:szCs w:val="24"/>
              </w:rPr>
              <w:t>10</w:t>
            </w:r>
          </w:p>
        </w:tc>
        <w:tc>
          <w:tcPr>
            <w:tcW w:w="1334" w:type="dxa"/>
            <w:vAlign w:val="center"/>
          </w:tcPr>
          <w:p w:rsidR="00B14A65" w:rsidRDefault="00BC74A8">
            <w:pPr>
              <w:jc w:val="center"/>
            </w:pPr>
            <w:r>
              <w:rPr>
                <w:color w:val="000000"/>
                <w:sz w:val="24"/>
                <w:szCs w:val="24"/>
              </w:rPr>
              <w:t>600446</w:t>
            </w:r>
          </w:p>
        </w:tc>
        <w:tc>
          <w:tcPr>
            <w:tcW w:w="1777" w:type="dxa"/>
            <w:vAlign w:val="center"/>
          </w:tcPr>
          <w:p w:rsidR="00B14A65" w:rsidRDefault="00BC74A8">
            <w:pPr>
              <w:jc w:val="center"/>
            </w:pPr>
            <w:r>
              <w:rPr>
                <w:color w:val="000000"/>
                <w:sz w:val="24"/>
                <w:szCs w:val="24"/>
              </w:rPr>
              <w:t>金证股份</w:t>
            </w:r>
          </w:p>
        </w:tc>
        <w:tc>
          <w:tcPr>
            <w:tcW w:w="1334" w:type="dxa"/>
            <w:vAlign w:val="center"/>
          </w:tcPr>
          <w:p w:rsidR="00B14A65" w:rsidRDefault="00BC74A8">
            <w:pPr>
              <w:jc w:val="right"/>
            </w:pPr>
            <w:r>
              <w:rPr>
                <w:color w:val="000000"/>
                <w:sz w:val="24"/>
                <w:szCs w:val="24"/>
              </w:rPr>
              <w:t>602,100</w:t>
            </w:r>
          </w:p>
        </w:tc>
        <w:tc>
          <w:tcPr>
            <w:tcW w:w="1924" w:type="dxa"/>
            <w:vAlign w:val="center"/>
          </w:tcPr>
          <w:p w:rsidR="00B14A65" w:rsidRDefault="00BC74A8">
            <w:pPr>
              <w:jc w:val="right"/>
            </w:pPr>
            <w:r>
              <w:rPr>
                <w:color w:val="000000"/>
                <w:sz w:val="24"/>
                <w:szCs w:val="24"/>
              </w:rPr>
              <w:t>15,299,361.00</w:t>
            </w:r>
          </w:p>
        </w:tc>
        <w:tc>
          <w:tcPr>
            <w:tcW w:w="1644" w:type="dxa"/>
            <w:vAlign w:val="center"/>
          </w:tcPr>
          <w:p w:rsidR="00B14A65" w:rsidRDefault="00BC74A8">
            <w:pPr>
              <w:jc w:val="right"/>
            </w:pPr>
            <w:r>
              <w:rPr>
                <w:color w:val="000000"/>
                <w:sz w:val="24"/>
                <w:szCs w:val="24"/>
              </w:rPr>
              <w:t>2.20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报告期内本基金投资的前十名证券的发行主体除科伦药业（证券代码：</w:t>
      </w:r>
      <w:r w:rsidRPr="00BE5388">
        <w:rPr>
          <w:bCs/>
          <w:color w:val="000000"/>
          <w:kern w:val="0"/>
          <w:sz w:val="24"/>
          <w:szCs w:val="24"/>
        </w:rPr>
        <w:t>002422</w:t>
      </w:r>
      <w:r w:rsidRPr="00BE5388">
        <w:rPr>
          <w:bCs/>
          <w:color w:val="000000"/>
          <w:kern w:val="0"/>
          <w:sz w:val="24"/>
          <w:szCs w:val="24"/>
        </w:rPr>
        <w:t>）外，未出现被监管部门立案调查，或在报告编制日前一年内受到公开谴责、处罚的情形。</w:t>
      </w:r>
    </w:p>
    <w:p w:rsidR="00B14A65" w:rsidRDefault="00BC74A8">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报告期内本基金投资的前十名证券之一科伦药业（证券代码：</w:t>
      </w:r>
      <w:r>
        <w:rPr>
          <w:bCs/>
          <w:color w:val="000000"/>
          <w:kern w:val="0"/>
          <w:sz w:val="24"/>
          <w:szCs w:val="24"/>
        </w:rPr>
        <w:t>002422</w:t>
      </w:r>
      <w:r>
        <w:rPr>
          <w:bCs/>
          <w:color w:val="000000"/>
          <w:kern w:val="0"/>
          <w:sz w:val="24"/>
          <w:szCs w:val="24"/>
        </w:rPr>
        <w:t>）于</w:t>
      </w:r>
      <w:r>
        <w:rPr>
          <w:bCs/>
          <w:color w:val="000000"/>
          <w:kern w:val="0"/>
          <w:sz w:val="24"/>
          <w:szCs w:val="24"/>
        </w:rPr>
        <w:t>2015</w:t>
      </w:r>
      <w:r>
        <w:rPr>
          <w:bCs/>
          <w:color w:val="000000"/>
          <w:kern w:val="0"/>
          <w:sz w:val="24"/>
          <w:szCs w:val="24"/>
        </w:rPr>
        <w:t>年</w:t>
      </w:r>
      <w:r>
        <w:rPr>
          <w:bCs/>
          <w:color w:val="000000"/>
          <w:kern w:val="0"/>
          <w:sz w:val="24"/>
          <w:szCs w:val="24"/>
        </w:rPr>
        <w:t>4</w:t>
      </w:r>
      <w:r>
        <w:rPr>
          <w:bCs/>
          <w:color w:val="000000"/>
          <w:kern w:val="0"/>
          <w:sz w:val="24"/>
          <w:szCs w:val="24"/>
        </w:rPr>
        <w:t>月</w:t>
      </w:r>
      <w:r>
        <w:rPr>
          <w:bCs/>
          <w:color w:val="000000"/>
          <w:kern w:val="0"/>
          <w:sz w:val="24"/>
          <w:szCs w:val="24"/>
        </w:rPr>
        <w:t>23</w:t>
      </w:r>
      <w:r>
        <w:rPr>
          <w:bCs/>
          <w:color w:val="000000"/>
          <w:kern w:val="0"/>
          <w:sz w:val="24"/>
          <w:szCs w:val="24"/>
        </w:rPr>
        <w:t>日公告，公司因信息披露违法违规于</w:t>
      </w:r>
      <w:r>
        <w:rPr>
          <w:bCs/>
          <w:color w:val="000000"/>
          <w:kern w:val="0"/>
          <w:sz w:val="24"/>
          <w:szCs w:val="24"/>
        </w:rPr>
        <w:t>2015</w:t>
      </w:r>
      <w:r>
        <w:rPr>
          <w:bCs/>
          <w:color w:val="000000"/>
          <w:kern w:val="0"/>
          <w:sz w:val="24"/>
          <w:szCs w:val="24"/>
        </w:rPr>
        <w:t>年</w:t>
      </w:r>
      <w:r>
        <w:rPr>
          <w:bCs/>
          <w:color w:val="000000"/>
          <w:kern w:val="0"/>
          <w:sz w:val="24"/>
          <w:szCs w:val="24"/>
        </w:rPr>
        <w:t>4</w:t>
      </w:r>
      <w:r>
        <w:rPr>
          <w:bCs/>
          <w:color w:val="000000"/>
          <w:kern w:val="0"/>
          <w:sz w:val="24"/>
          <w:szCs w:val="24"/>
        </w:rPr>
        <w:t>月</w:t>
      </w:r>
      <w:r>
        <w:rPr>
          <w:bCs/>
          <w:color w:val="000000"/>
          <w:kern w:val="0"/>
          <w:sz w:val="24"/>
          <w:szCs w:val="24"/>
        </w:rPr>
        <w:t>22</w:t>
      </w:r>
      <w:r>
        <w:rPr>
          <w:bCs/>
          <w:color w:val="000000"/>
          <w:kern w:val="0"/>
          <w:sz w:val="24"/>
          <w:szCs w:val="24"/>
        </w:rPr>
        <w:t>日收到《中国证券监督管理委员会四川监管局行政处罚决定书》。据此，四川证监局决定对公司给予警告，并处</w:t>
      </w:r>
      <w:r>
        <w:rPr>
          <w:bCs/>
          <w:color w:val="000000"/>
          <w:kern w:val="0"/>
          <w:sz w:val="24"/>
          <w:szCs w:val="24"/>
        </w:rPr>
        <w:t>60</w:t>
      </w:r>
      <w:r>
        <w:rPr>
          <w:bCs/>
          <w:color w:val="000000"/>
          <w:kern w:val="0"/>
          <w:sz w:val="24"/>
          <w:szCs w:val="24"/>
        </w:rPr>
        <w:t>万元罚款。</w:t>
      </w:r>
    </w:p>
    <w:p w:rsidR="00B14A65" w:rsidRDefault="00BC74A8">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此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648,134.22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51,675.65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284,087.58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983,897.45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B14A65">
        <w:trPr>
          <w:jc w:val="center"/>
        </w:trPr>
        <w:tc>
          <w:tcPr>
            <w:tcW w:w="1129" w:type="dxa"/>
            <w:vAlign w:val="center"/>
          </w:tcPr>
          <w:p w:rsidR="00B14A65" w:rsidRDefault="00BC74A8">
            <w:pPr>
              <w:jc w:val="center"/>
            </w:pPr>
            <w:r>
              <w:rPr>
                <w:color w:val="000000"/>
                <w:sz w:val="24"/>
                <w:szCs w:val="24"/>
              </w:rPr>
              <w:t>1</w:t>
            </w:r>
          </w:p>
        </w:tc>
        <w:tc>
          <w:tcPr>
            <w:tcW w:w="1356" w:type="dxa"/>
            <w:vAlign w:val="center"/>
          </w:tcPr>
          <w:p w:rsidR="00B14A65" w:rsidRDefault="00BC74A8">
            <w:pPr>
              <w:jc w:val="center"/>
            </w:pPr>
            <w:r>
              <w:rPr>
                <w:color w:val="000000"/>
                <w:sz w:val="24"/>
                <w:szCs w:val="24"/>
              </w:rPr>
              <w:t>600446</w:t>
            </w:r>
          </w:p>
        </w:tc>
        <w:tc>
          <w:tcPr>
            <w:tcW w:w="1355" w:type="dxa"/>
            <w:vAlign w:val="center"/>
          </w:tcPr>
          <w:p w:rsidR="00B14A65" w:rsidRDefault="00BC74A8">
            <w:pPr>
              <w:jc w:val="center"/>
            </w:pPr>
            <w:r>
              <w:rPr>
                <w:color w:val="000000"/>
                <w:sz w:val="24"/>
                <w:szCs w:val="24"/>
              </w:rPr>
              <w:t>金证股份</w:t>
            </w:r>
          </w:p>
        </w:tc>
        <w:tc>
          <w:tcPr>
            <w:tcW w:w="1880" w:type="dxa"/>
            <w:vAlign w:val="center"/>
          </w:tcPr>
          <w:p w:rsidR="00B14A65" w:rsidRDefault="00BC74A8">
            <w:pPr>
              <w:jc w:val="right"/>
            </w:pPr>
            <w:r>
              <w:rPr>
                <w:color w:val="000000"/>
                <w:sz w:val="24"/>
                <w:szCs w:val="24"/>
              </w:rPr>
              <w:t>15,299,361.00</w:t>
            </w:r>
          </w:p>
        </w:tc>
        <w:tc>
          <w:tcPr>
            <w:tcW w:w="1724" w:type="dxa"/>
            <w:vAlign w:val="center"/>
          </w:tcPr>
          <w:p w:rsidR="00B14A65" w:rsidRDefault="00BC74A8">
            <w:pPr>
              <w:jc w:val="right"/>
            </w:pPr>
            <w:r>
              <w:rPr>
                <w:color w:val="000000"/>
                <w:sz w:val="24"/>
                <w:szCs w:val="24"/>
              </w:rPr>
              <w:t>2.20</w:t>
            </w:r>
          </w:p>
        </w:tc>
        <w:tc>
          <w:tcPr>
            <w:tcW w:w="1424" w:type="dxa"/>
            <w:vAlign w:val="center"/>
          </w:tcPr>
          <w:p w:rsidR="00B14A65" w:rsidRDefault="00BC74A8">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531,696,396.68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75,864,016.69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144,220,543.38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463,339,869.99</w:t>
            </w:r>
          </w:p>
        </w:tc>
      </w:tr>
    </w:tbl>
    <w:p w:rsidR="00B14A65" w:rsidRDefault="00BC74A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F323FF">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177,778,105.88</w:t>
            </w:r>
          </w:p>
        </w:tc>
      </w:tr>
      <w:tr w:rsidR="003511B5" w:rsidRPr="00ED2620" w:rsidTr="00B926B1">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3511B5" w:rsidRPr="00ED2620" w:rsidRDefault="003511B5" w:rsidP="003511B5">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hideMark/>
          </w:tcPr>
          <w:p w:rsidR="003511B5" w:rsidRPr="00ED2620" w:rsidRDefault="003511B5" w:rsidP="003511B5">
            <w:pPr>
              <w:spacing w:line="288" w:lineRule="auto"/>
              <w:jc w:val="right"/>
              <w:rPr>
                <w:rFonts w:eastAsiaTheme="minorEastAsia"/>
                <w:color w:val="000000"/>
                <w:kern w:val="0"/>
                <w:sz w:val="24"/>
                <w:szCs w:val="24"/>
              </w:rPr>
            </w:pPr>
            <w:r w:rsidRPr="00BE101A">
              <w:t>-</w:t>
            </w:r>
          </w:p>
        </w:tc>
      </w:tr>
      <w:tr w:rsidR="003511B5" w:rsidRPr="00ED2620" w:rsidTr="00B926B1">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3511B5" w:rsidRPr="00ED2620" w:rsidRDefault="003511B5" w:rsidP="003511B5">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hideMark/>
          </w:tcPr>
          <w:p w:rsidR="003511B5" w:rsidRPr="00ED2620" w:rsidRDefault="003511B5" w:rsidP="003511B5">
            <w:pPr>
              <w:spacing w:line="288" w:lineRule="auto"/>
              <w:jc w:val="right"/>
              <w:rPr>
                <w:rFonts w:eastAsiaTheme="minorEastAsia"/>
                <w:color w:val="000000"/>
                <w:kern w:val="0"/>
                <w:sz w:val="24"/>
                <w:szCs w:val="24"/>
              </w:rPr>
            </w:pPr>
            <w:r w:rsidRPr="00BE101A">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177,778,105.88</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38.37</w:t>
            </w:r>
          </w:p>
        </w:tc>
      </w:tr>
    </w:tbl>
    <w:p w:rsidR="00B14A65" w:rsidRDefault="00BC74A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B926B1">
      <w:pPr>
        <w:autoSpaceDE w:val="0"/>
        <w:autoSpaceDN w:val="0"/>
        <w:adjustRightInd w:val="0"/>
        <w:spacing w:before="29" w:line="288" w:lineRule="auto"/>
        <w:ind w:firstLineChars="200" w:firstLine="480"/>
        <w:jc w:val="left"/>
        <w:rPr>
          <w:rFonts w:eastAsiaTheme="minorEastAsia"/>
          <w:color w:val="000000"/>
          <w:sz w:val="24"/>
        </w:rPr>
      </w:pPr>
      <w:r w:rsidRPr="00ED2620">
        <w:rPr>
          <w:rFonts w:eastAsiaTheme="minorEastAsia"/>
          <w:color w:val="000000"/>
          <w:sz w:val="24"/>
        </w:rPr>
        <w:t>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3044A6" w:rsidRPr="00B926B1" w:rsidRDefault="003044A6" w:rsidP="00B926B1">
      <w:pPr>
        <w:spacing w:line="288" w:lineRule="auto"/>
        <w:jc w:val="left"/>
        <w:rPr>
          <w:b/>
          <w:sz w:val="24"/>
        </w:rPr>
      </w:pPr>
      <w:r w:rsidRPr="00B926B1">
        <w:rPr>
          <w:b/>
          <w:sz w:val="24"/>
        </w:rPr>
        <w:t xml:space="preserve">7.2 </w:t>
      </w:r>
      <w:r w:rsidRPr="00B926B1">
        <w:rPr>
          <w:rFonts w:hint="eastAsia"/>
          <w:b/>
          <w:sz w:val="24"/>
        </w:rPr>
        <w:t>基金管理人运用固有资金投资本基金交易明细</w:t>
      </w:r>
    </w:p>
    <w:p w:rsidR="003044A6" w:rsidRDefault="003044A6" w:rsidP="003044A6">
      <w:pPr>
        <w:autoSpaceDE w:val="0"/>
        <w:autoSpaceDN w:val="0"/>
        <w:adjustRightInd w:val="0"/>
        <w:spacing w:before="29" w:line="288" w:lineRule="auto"/>
        <w:jc w:val="left"/>
        <w:rPr>
          <w:rFonts w:eastAsiaTheme="minorEastAsia"/>
          <w:color w:val="000000"/>
          <w:sz w:val="24"/>
        </w:rPr>
      </w:pPr>
      <w:r w:rsidRPr="003044A6">
        <w:rPr>
          <w:rFonts w:eastAsiaTheme="minorEastAsia" w:hint="eastAsia"/>
          <w:color w:val="000000"/>
          <w:sz w:val="24"/>
        </w:rPr>
        <w:t>本基金管理人本报告期内未进行本基金的申购、赎回、红利再投等。</w:t>
      </w:r>
    </w:p>
    <w:p w:rsidR="00E35C7A" w:rsidRPr="003044A6" w:rsidRDefault="00E35C7A" w:rsidP="003044A6">
      <w:pPr>
        <w:autoSpaceDE w:val="0"/>
        <w:autoSpaceDN w:val="0"/>
        <w:adjustRightInd w:val="0"/>
        <w:spacing w:before="29" w:line="288" w:lineRule="auto"/>
        <w:jc w:val="left"/>
        <w:rPr>
          <w:rFonts w:eastAsiaTheme="minorEastAsia"/>
          <w:color w:val="000000"/>
          <w:sz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鉴于交银施罗德主题优选灵活配置混合型证券投资基金的业绩比较基准的指数停止计算编制，本基金管理人根据基金合同的相关约定，经与基金托管人协商一致，并报中国证监会备案，决定自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日起将交银施罗德主题优选灵活配置混合型证券投资基金的业绩比较基准由原</w:t>
      </w:r>
      <w:r w:rsidRPr="00414345">
        <w:rPr>
          <w:color w:val="000000"/>
          <w:sz w:val="24"/>
          <w:szCs w:val="24"/>
        </w:rPr>
        <w:t>“60%</w:t>
      </w:r>
      <w:r w:rsidR="00E62BC3" w:rsidRPr="00414345">
        <w:rPr>
          <w:color w:val="000000"/>
          <w:kern w:val="0"/>
          <w:sz w:val="24"/>
          <w:szCs w:val="24"/>
        </w:rPr>
        <w:t>×</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00E62BC3" w:rsidRPr="00414345">
        <w:rPr>
          <w:color w:val="000000"/>
          <w:kern w:val="0"/>
          <w:sz w:val="24"/>
          <w:szCs w:val="24"/>
        </w:rPr>
        <w:t>×</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00E62BC3" w:rsidRPr="00414345">
        <w:rPr>
          <w:color w:val="000000"/>
          <w:kern w:val="0"/>
          <w:sz w:val="24"/>
          <w:szCs w:val="24"/>
        </w:rPr>
        <w:t>×</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00E62BC3" w:rsidRPr="00414345">
        <w:rPr>
          <w:color w:val="000000"/>
          <w:kern w:val="0"/>
          <w:sz w:val="24"/>
          <w:szCs w:val="24"/>
        </w:rPr>
        <w:t>×</w:t>
      </w:r>
      <w:r w:rsidRPr="00414345">
        <w:rPr>
          <w:color w:val="000000"/>
          <w:sz w:val="24"/>
          <w:szCs w:val="24"/>
        </w:rPr>
        <w:t>中证综合债券指数收益率</w:t>
      </w:r>
      <w:r w:rsidRPr="00414345">
        <w:rPr>
          <w:color w:val="000000"/>
          <w:sz w:val="24"/>
          <w:szCs w:val="24"/>
        </w:rPr>
        <w:t>”</w:t>
      </w:r>
      <w:r w:rsidRPr="00414345">
        <w:rPr>
          <w:color w:val="000000"/>
          <w:sz w:val="24"/>
          <w:szCs w:val="24"/>
        </w:rPr>
        <w:t>，并相应修改基金合同的有关内容。详情请见本基金管理人于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B14A65" w:rsidRDefault="00BC74A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、中国证监会批准交银施罗德主题优选灵活配置混合型证券投资基金募集的文件；</w:t>
      </w:r>
      <w:r>
        <w:rPr>
          <w:color w:val="000000"/>
          <w:sz w:val="24"/>
          <w:szCs w:val="24"/>
        </w:rPr>
        <w:t xml:space="preserve"> </w:t>
      </w:r>
    </w:p>
    <w:p w:rsidR="00B14A65" w:rsidRDefault="00BC74A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、《交银施罗德主题优选灵活配置混合型证券投资基金基金合同》；</w:t>
      </w:r>
      <w:r>
        <w:rPr>
          <w:color w:val="000000"/>
          <w:sz w:val="24"/>
          <w:szCs w:val="24"/>
        </w:rPr>
        <w:t xml:space="preserve"> </w:t>
      </w:r>
    </w:p>
    <w:p w:rsidR="00B14A65" w:rsidRDefault="00BC74A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、《交银施罗德主题优选灵活配置混合型证券投资基金招募说明书》；</w:t>
      </w:r>
    </w:p>
    <w:p w:rsidR="00B14A65" w:rsidRDefault="00BC74A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、《交银施罗德主题优选灵活配置混合型证券投资基金托管协议》；</w:t>
      </w:r>
      <w:r>
        <w:rPr>
          <w:color w:val="000000"/>
          <w:sz w:val="24"/>
          <w:szCs w:val="24"/>
        </w:rPr>
        <w:t xml:space="preserve"> </w:t>
      </w:r>
    </w:p>
    <w:p w:rsidR="00B14A65" w:rsidRDefault="00BC74A8">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、关于募集交银施罗德主题优选灵活配置混合型证券投资基金之法律意见书；</w:t>
      </w:r>
      <w:r>
        <w:rPr>
          <w:color w:val="000000"/>
          <w:sz w:val="24"/>
          <w:szCs w:val="24"/>
        </w:rPr>
        <w:t xml:space="preserve"> </w:t>
      </w:r>
    </w:p>
    <w:p w:rsidR="00B14A65" w:rsidRDefault="00BC74A8">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B14A65" w:rsidRDefault="00BC74A8">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、报告期内交银施罗德主题优选灵活配置混合型证券投资基金在指定报刊上各项公告的原稿。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B14A65" w:rsidRDefault="00BC74A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C2F" w:rsidRDefault="00224C2F" w:rsidP="00876D65">
      <w:r>
        <w:separator/>
      </w:r>
    </w:p>
  </w:endnote>
  <w:endnote w:type="continuationSeparator" w:id="0">
    <w:p w:rsidR="00224C2F" w:rsidRDefault="00224C2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9734BB">
      <w:rPr>
        <w:kern w:val="0"/>
        <w:szCs w:val="21"/>
      </w:rPr>
      <w:fldChar w:fldCharType="begin"/>
    </w:r>
    <w:r>
      <w:rPr>
        <w:kern w:val="0"/>
        <w:szCs w:val="21"/>
      </w:rPr>
      <w:instrText xml:space="preserve"> PAGE </w:instrText>
    </w:r>
    <w:r w:rsidR="009734BB">
      <w:rPr>
        <w:kern w:val="0"/>
        <w:szCs w:val="21"/>
      </w:rPr>
      <w:fldChar w:fldCharType="separate"/>
    </w:r>
    <w:r w:rsidR="00B926B1">
      <w:rPr>
        <w:noProof/>
        <w:kern w:val="0"/>
        <w:szCs w:val="21"/>
      </w:rPr>
      <w:t>1</w:t>
    </w:r>
    <w:r w:rsidR="009734BB">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9734BB">
      <w:rPr>
        <w:kern w:val="0"/>
        <w:szCs w:val="21"/>
      </w:rPr>
      <w:fldChar w:fldCharType="begin"/>
    </w:r>
    <w:r>
      <w:rPr>
        <w:kern w:val="0"/>
        <w:szCs w:val="21"/>
      </w:rPr>
      <w:instrText xml:space="preserve"> NUMPAGES </w:instrText>
    </w:r>
    <w:r w:rsidR="009734BB">
      <w:rPr>
        <w:kern w:val="0"/>
        <w:szCs w:val="21"/>
      </w:rPr>
      <w:fldChar w:fldCharType="separate"/>
    </w:r>
    <w:r w:rsidR="00B926B1">
      <w:rPr>
        <w:noProof/>
        <w:kern w:val="0"/>
        <w:szCs w:val="21"/>
      </w:rPr>
      <w:t>11</w:t>
    </w:r>
    <w:r w:rsidR="009734BB">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C2F" w:rsidRDefault="00224C2F" w:rsidP="00876D65">
      <w:r>
        <w:separator/>
      </w:r>
    </w:p>
  </w:footnote>
  <w:footnote w:type="continuationSeparator" w:id="0">
    <w:p w:rsidR="00224C2F" w:rsidRDefault="00224C2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4C2F"/>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4A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11B5"/>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4A65"/>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6B1"/>
    <w:rsid w:val="00B92FF5"/>
    <w:rsid w:val="00B959E6"/>
    <w:rsid w:val="00BA604D"/>
    <w:rsid w:val="00BB5DA7"/>
    <w:rsid w:val="00BB5E0E"/>
    <w:rsid w:val="00BC14B3"/>
    <w:rsid w:val="00BC216C"/>
    <w:rsid w:val="00BC4585"/>
    <w:rsid w:val="00BC50F1"/>
    <w:rsid w:val="00BC73E5"/>
    <w:rsid w:val="00BC74A8"/>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D5891"/>
    <w:rsid w:val="00DE27F7"/>
    <w:rsid w:val="00DE4B43"/>
    <w:rsid w:val="00E02660"/>
    <w:rsid w:val="00E215BA"/>
    <w:rsid w:val="00E35C7A"/>
    <w:rsid w:val="00E36549"/>
    <w:rsid w:val="00E40D31"/>
    <w:rsid w:val="00E41260"/>
    <w:rsid w:val="00E44E18"/>
    <w:rsid w:val="00E52DBC"/>
    <w:rsid w:val="00E54301"/>
    <w:rsid w:val="00E54BF5"/>
    <w:rsid w:val="00E554A1"/>
    <w:rsid w:val="00E55ABD"/>
    <w:rsid w:val="00E60817"/>
    <w:rsid w:val="00E62BC3"/>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71057"/>
    <w:rsid w:val="00F71A4B"/>
    <w:rsid w:val="00F728CF"/>
    <w:rsid w:val="00F743D4"/>
    <w:rsid w:val="00F76E88"/>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C7D988F-BEED-4695-B5C2-ACB69B77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AB7ED-EFC2-4335-BA8E-F45FC911F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11</Pages>
  <Words>1045</Words>
  <Characters>5960</Characters>
  <Application>Microsoft Office Word</Application>
  <DocSecurity>0</DocSecurity>
  <Lines>49</Lines>
  <Paragraphs>13</Paragraphs>
  <ScaleCrop>false</ScaleCrop>
  <Company/>
  <LinksUpToDate>false</LinksUpToDate>
  <CharactersWithSpaces>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565</cp:revision>
  <dcterms:created xsi:type="dcterms:W3CDTF">2012-10-16T06:07:00Z</dcterms:created>
  <dcterms:modified xsi:type="dcterms:W3CDTF">2015-10-22T06:52:00Z</dcterms:modified>
</cp:coreProperties>
</file>