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2015</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2015</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二〇一五年十月二十七日</w:t>
      </w:r>
    </w:p>
    <w:p w:rsidR="00220542" w:rsidRPr="00324C76" w:rsidRDefault="00220542" w:rsidP="004F1DD8">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516141" w:rsidRDefault="003C0FE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516141" w:rsidRDefault="003C0FE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日复核了本报告中的财务指标、净值表现和投资组合报告等内容，保证复核内容不存在虚假记载、误导性陈述或者重大遗漏。</w:t>
      </w:r>
    </w:p>
    <w:p w:rsidR="00516141" w:rsidRDefault="003C0FE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516141" w:rsidRDefault="003C0FE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516141" w:rsidRDefault="003C0FE7">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2015</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538,125,856.75</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3C0FE7" w:rsidRPr="00324C76" w:rsidTr="003C0FE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2015</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-2015</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3C0FE7" w:rsidRPr="00324C76" w:rsidTr="003C0FE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101,043,257.33</w:t>
            </w:r>
          </w:p>
        </w:tc>
      </w:tr>
      <w:tr w:rsidR="003C0FE7" w:rsidRPr="00324C76" w:rsidTr="003C0FE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-227,754,736.09</w:t>
            </w:r>
          </w:p>
        </w:tc>
      </w:tr>
      <w:tr w:rsidR="003C0FE7" w:rsidRPr="00324C76" w:rsidTr="003C0FE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-0.3760</w:t>
            </w:r>
          </w:p>
        </w:tc>
      </w:tr>
      <w:tr w:rsidR="003C0FE7" w:rsidRPr="00324C76" w:rsidTr="003C0FE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559,288,428.27</w:t>
            </w:r>
          </w:p>
        </w:tc>
      </w:tr>
      <w:tr w:rsidR="003C0FE7" w:rsidRPr="00324C76" w:rsidTr="003C0FE7">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1.039</w:t>
            </w:r>
          </w:p>
        </w:tc>
      </w:tr>
    </w:tbl>
    <w:p w:rsidR="00516141" w:rsidRDefault="003C0FE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516141">
        <w:trPr>
          <w:jc w:val="center"/>
        </w:trPr>
        <w:tc>
          <w:tcPr>
            <w:tcW w:w="1469" w:type="dxa"/>
            <w:vAlign w:val="center"/>
          </w:tcPr>
          <w:p w:rsidR="00516141" w:rsidRDefault="003C0FE7">
            <w:pPr>
              <w:jc w:val="left"/>
            </w:pPr>
            <w:r>
              <w:rPr>
                <w:color w:val="000000"/>
                <w:sz w:val="24"/>
              </w:rPr>
              <w:t>过去三个月</w:t>
            </w:r>
          </w:p>
        </w:tc>
        <w:tc>
          <w:tcPr>
            <w:tcW w:w="1150" w:type="dxa"/>
            <w:vAlign w:val="center"/>
          </w:tcPr>
          <w:p w:rsidR="00516141" w:rsidRDefault="003C0FE7">
            <w:pPr>
              <w:jc w:val="center"/>
            </w:pPr>
            <w:r>
              <w:rPr>
                <w:color w:val="000000"/>
                <w:sz w:val="24"/>
              </w:rPr>
              <w:t>-25.09%</w:t>
            </w:r>
          </w:p>
        </w:tc>
        <w:tc>
          <w:tcPr>
            <w:tcW w:w="1223" w:type="dxa"/>
            <w:vAlign w:val="center"/>
          </w:tcPr>
          <w:p w:rsidR="00516141" w:rsidRDefault="003C0FE7">
            <w:pPr>
              <w:jc w:val="center"/>
            </w:pPr>
            <w:r>
              <w:rPr>
                <w:color w:val="000000"/>
                <w:sz w:val="24"/>
              </w:rPr>
              <w:t>3.10%</w:t>
            </w:r>
          </w:p>
        </w:tc>
        <w:tc>
          <w:tcPr>
            <w:tcW w:w="1244" w:type="dxa"/>
            <w:vAlign w:val="center"/>
          </w:tcPr>
          <w:p w:rsidR="00516141" w:rsidRDefault="003C0FE7">
            <w:pPr>
              <w:jc w:val="center"/>
            </w:pPr>
            <w:r>
              <w:rPr>
                <w:color w:val="000000"/>
                <w:sz w:val="24"/>
              </w:rPr>
              <w:t>-26.30%</w:t>
            </w:r>
          </w:p>
        </w:tc>
        <w:tc>
          <w:tcPr>
            <w:tcW w:w="1251" w:type="dxa"/>
            <w:vAlign w:val="center"/>
          </w:tcPr>
          <w:p w:rsidR="00516141" w:rsidRDefault="003C0FE7">
            <w:pPr>
              <w:jc w:val="center"/>
            </w:pPr>
            <w:r>
              <w:rPr>
                <w:color w:val="000000"/>
                <w:sz w:val="24"/>
              </w:rPr>
              <w:t>3.19%</w:t>
            </w:r>
          </w:p>
        </w:tc>
        <w:tc>
          <w:tcPr>
            <w:tcW w:w="1263" w:type="dxa"/>
            <w:vAlign w:val="center"/>
          </w:tcPr>
          <w:p w:rsidR="00516141" w:rsidRDefault="003C0FE7">
            <w:pPr>
              <w:jc w:val="center"/>
            </w:pPr>
            <w:r>
              <w:rPr>
                <w:color w:val="000000"/>
                <w:sz w:val="24"/>
              </w:rPr>
              <w:t>1.21%</w:t>
            </w:r>
          </w:p>
        </w:tc>
        <w:tc>
          <w:tcPr>
            <w:tcW w:w="1268" w:type="dxa"/>
            <w:vAlign w:val="center"/>
          </w:tcPr>
          <w:p w:rsidR="00516141" w:rsidRDefault="003C0FE7">
            <w:pPr>
              <w:jc w:val="center"/>
            </w:pPr>
            <w:r>
              <w:rPr>
                <w:color w:val="000000"/>
                <w:sz w:val="24"/>
              </w:rPr>
              <w:t>-0.09%</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2015</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516141">
        <w:trPr>
          <w:jc w:val="center"/>
        </w:trPr>
        <w:tc>
          <w:tcPr>
            <w:tcW w:w="846" w:type="dxa"/>
            <w:vAlign w:val="center"/>
          </w:tcPr>
          <w:p w:rsidR="00516141" w:rsidRDefault="003C0FE7">
            <w:pPr>
              <w:jc w:val="center"/>
            </w:pPr>
            <w:r>
              <w:rPr>
                <w:color w:val="000000"/>
                <w:sz w:val="24"/>
              </w:rPr>
              <w:t>蔡铮</w:t>
            </w:r>
          </w:p>
        </w:tc>
        <w:tc>
          <w:tcPr>
            <w:tcW w:w="845" w:type="dxa"/>
            <w:vAlign w:val="center"/>
          </w:tcPr>
          <w:p w:rsidR="00516141" w:rsidRDefault="003C0FE7">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516141" w:rsidRDefault="003C0FE7">
            <w:pPr>
              <w:jc w:val="center"/>
            </w:pPr>
            <w:r>
              <w:rPr>
                <w:color w:val="000000"/>
                <w:sz w:val="24"/>
              </w:rPr>
              <w:t>2012-12-27</w:t>
            </w:r>
          </w:p>
        </w:tc>
        <w:tc>
          <w:tcPr>
            <w:tcW w:w="1548" w:type="dxa"/>
            <w:vAlign w:val="center"/>
          </w:tcPr>
          <w:p w:rsidR="00516141" w:rsidRDefault="003C0FE7">
            <w:pPr>
              <w:jc w:val="center"/>
            </w:pPr>
            <w:r>
              <w:rPr>
                <w:color w:val="000000"/>
                <w:sz w:val="24"/>
              </w:rPr>
              <w:t>-</w:t>
            </w:r>
          </w:p>
        </w:tc>
        <w:tc>
          <w:tcPr>
            <w:tcW w:w="1407" w:type="dxa"/>
            <w:vAlign w:val="center"/>
          </w:tcPr>
          <w:p w:rsidR="00516141" w:rsidRDefault="003C0FE7">
            <w:pPr>
              <w:jc w:val="center"/>
            </w:pPr>
            <w:r>
              <w:rPr>
                <w:color w:val="000000"/>
                <w:sz w:val="24"/>
              </w:rPr>
              <w:t>6</w:t>
            </w:r>
            <w:r>
              <w:rPr>
                <w:color w:val="000000"/>
                <w:sz w:val="24"/>
              </w:rPr>
              <w:t>年</w:t>
            </w:r>
          </w:p>
        </w:tc>
        <w:tc>
          <w:tcPr>
            <w:tcW w:w="2673" w:type="dxa"/>
            <w:vAlign w:val="center"/>
          </w:tcPr>
          <w:p w:rsidR="00516141" w:rsidRDefault="003C0FE7">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516141" w:rsidRDefault="003C0FE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16141" w:rsidRDefault="003C0FE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16141" w:rsidRDefault="003C0FE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516141" w:rsidRDefault="003C0FE7">
      <w:pPr>
        <w:spacing w:before="29" w:line="288" w:lineRule="auto"/>
        <w:ind w:firstLineChars="200" w:firstLine="480"/>
        <w:rPr>
          <w:color w:val="000000"/>
          <w:sz w:val="24"/>
        </w:rPr>
      </w:pPr>
      <w:r>
        <w:rPr>
          <w:color w:val="000000"/>
          <w:sz w:val="24"/>
        </w:rPr>
        <w:t>2015</w:t>
      </w:r>
      <w:r>
        <w:rPr>
          <w:color w:val="000000"/>
          <w:sz w:val="24"/>
        </w:rPr>
        <w:t>年第三季度，国内经济增速弱企稳，内需疲软，经济基本面对资本市场的支持力度较为有限。工业增加值和</w:t>
      </w:r>
      <w:r>
        <w:rPr>
          <w:color w:val="000000"/>
          <w:sz w:val="24"/>
        </w:rPr>
        <w:t>PPI</w:t>
      </w:r>
      <w:r>
        <w:rPr>
          <w:color w:val="000000"/>
          <w:sz w:val="24"/>
        </w:rPr>
        <w:t>继续回落，经济增长和企业盈利下行压力较大，同时货币政策延续宽松。随着监管层扩大清理配资范围以及人民币贬值影响，市场出现大幅下跌。作为跟踪基准指数的指数基金，在第三季度基金总体呈现出下跌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展望第四季度，宽松的货币政策环境有望持续，但经过此轮调整，市场风险偏好会急剧下降。总体而言，预计产业创新的发展思路不会改变，负面因素逐渐被市场所消化反应，因此对</w:t>
      </w:r>
      <w:r w:rsidRPr="00324C76">
        <w:rPr>
          <w:color w:val="000000"/>
          <w:sz w:val="24"/>
        </w:rPr>
        <w:t>A</w:t>
      </w:r>
      <w:r w:rsidRPr="00324C76">
        <w:rPr>
          <w:color w:val="000000"/>
          <w:sz w:val="24"/>
        </w:rPr>
        <w:t>股市场保持谨慎乐观的态度。</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2015</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w:t>
      </w:r>
      <w:r w:rsidR="006F29C8">
        <w:rPr>
          <w:color w:val="000000"/>
          <w:sz w:val="24"/>
        </w:rPr>
        <w:t>039</w:t>
      </w:r>
      <w:bookmarkStart w:id="1" w:name="_GoBack"/>
      <w:bookmarkEnd w:id="1"/>
      <w:r w:rsidRPr="00324C76">
        <w:rPr>
          <w:color w:val="000000"/>
          <w:sz w:val="24"/>
        </w:rPr>
        <w:t>元，本报告期份额净值增长率为</w:t>
      </w:r>
      <w:r w:rsidRPr="00324C76">
        <w:rPr>
          <w:color w:val="000000"/>
          <w:sz w:val="24"/>
        </w:rPr>
        <w:t>-25.09%</w:t>
      </w:r>
      <w:r w:rsidRPr="00324C76">
        <w:rPr>
          <w:color w:val="000000"/>
          <w:sz w:val="24"/>
        </w:rPr>
        <w:t>，同期业绩比较基准增长率为</w:t>
      </w:r>
      <w:r w:rsidR="000E6262">
        <w:rPr>
          <w:color w:val="000000"/>
          <w:sz w:val="24"/>
        </w:rPr>
        <w:t>-26.30%</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9,503,617.24</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1.69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9,503,617.24</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1.69</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518,392,846.58</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92.38</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32,774,519.19</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5.84</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454,303.25</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0.08</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561,125,286.26</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516141">
        <w:trPr>
          <w:jc w:val="center"/>
        </w:trPr>
        <w:tc>
          <w:tcPr>
            <w:tcW w:w="1265" w:type="dxa"/>
            <w:vAlign w:val="center"/>
          </w:tcPr>
          <w:p w:rsidR="00516141" w:rsidRDefault="003C0FE7">
            <w:pPr>
              <w:jc w:val="center"/>
            </w:pPr>
            <w:r>
              <w:rPr>
                <w:sz w:val="24"/>
              </w:rPr>
              <w:t>1</w:t>
            </w:r>
          </w:p>
        </w:tc>
        <w:tc>
          <w:tcPr>
            <w:tcW w:w="1266" w:type="dxa"/>
            <w:vAlign w:val="center"/>
          </w:tcPr>
          <w:p w:rsidR="00516141" w:rsidRDefault="003C0FE7">
            <w:pPr>
              <w:jc w:val="center"/>
            </w:pPr>
            <w:r>
              <w:rPr>
                <w:sz w:val="24"/>
              </w:rPr>
              <w:t>上证</w:t>
            </w:r>
            <w:r>
              <w:rPr>
                <w:sz w:val="24"/>
              </w:rPr>
              <w:t>180</w:t>
            </w:r>
            <w:r>
              <w:rPr>
                <w:sz w:val="24"/>
              </w:rPr>
              <w:t>公司治理交易型开放式指数证券投资基金</w:t>
            </w:r>
          </w:p>
        </w:tc>
        <w:tc>
          <w:tcPr>
            <w:tcW w:w="1267" w:type="dxa"/>
            <w:vAlign w:val="center"/>
          </w:tcPr>
          <w:p w:rsidR="00516141" w:rsidRDefault="003C0FE7">
            <w:pPr>
              <w:jc w:val="center"/>
            </w:pPr>
            <w:r>
              <w:rPr>
                <w:sz w:val="24"/>
              </w:rPr>
              <w:t>股票型</w:t>
            </w:r>
          </w:p>
        </w:tc>
        <w:tc>
          <w:tcPr>
            <w:tcW w:w="1267" w:type="dxa"/>
            <w:vAlign w:val="center"/>
          </w:tcPr>
          <w:p w:rsidR="00516141" w:rsidRDefault="003C0FE7">
            <w:pPr>
              <w:jc w:val="center"/>
            </w:pPr>
            <w:r>
              <w:rPr>
                <w:sz w:val="24"/>
              </w:rPr>
              <w:t>交易型开放式</w:t>
            </w:r>
          </w:p>
        </w:tc>
        <w:tc>
          <w:tcPr>
            <w:tcW w:w="1267" w:type="dxa"/>
            <w:vAlign w:val="center"/>
          </w:tcPr>
          <w:p w:rsidR="00516141" w:rsidRDefault="003C0FE7">
            <w:pPr>
              <w:jc w:val="center"/>
            </w:pPr>
            <w:r>
              <w:rPr>
                <w:sz w:val="24"/>
              </w:rPr>
              <w:t>交银施罗德基金管理有限公司</w:t>
            </w:r>
          </w:p>
        </w:tc>
        <w:tc>
          <w:tcPr>
            <w:tcW w:w="1268" w:type="dxa"/>
            <w:vAlign w:val="center"/>
          </w:tcPr>
          <w:p w:rsidR="00516141" w:rsidRDefault="003C0FE7">
            <w:pPr>
              <w:jc w:val="right"/>
            </w:pPr>
            <w:r>
              <w:rPr>
                <w:sz w:val="24"/>
              </w:rPr>
              <w:t>518,392,846.58</w:t>
            </w:r>
          </w:p>
        </w:tc>
        <w:tc>
          <w:tcPr>
            <w:tcW w:w="1268" w:type="dxa"/>
            <w:vAlign w:val="center"/>
          </w:tcPr>
          <w:p w:rsidR="00516141" w:rsidRDefault="003C0FE7">
            <w:pPr>
              <w:jc w:val="right"/>
            </w:pPr>
            <w:r>
              <w:rPr>
                <w:sz w:val="24"/>
              </w:rPr>
              <w:t>92.69</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19,953.00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466,937.40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2,248,390.44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0.40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553,374.82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773,337.54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408,423.76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309,815.71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311,999.32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4,076,605.72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0.73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251,841.29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82,938.24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9,503,617.24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1.70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516141">
        <w:trPr>
          <w:jc w:val="center"/>
        </w:trPr>
        <w:tc>
          <w:tcPr>
            <w:tcW w:w="849" w:type="dxa"/>
            <w:vAlign w:val="center"/>
          </w:tcPr>
          <w:p w:rsidR="00516141" w:rsidRDefault="003C0FE7">
            <w:pPr>
              <w:jc w:val="center"/>
            </w:pPr>
            <w:r>
              <w:rPr>
                <w:color w:val="000000"/>
                <w:sz w:val="24"/>
              </w:rPr>
              <w:t>1</w:t>
            </w:r>
          </w:p>
        </w:tc>
        <w:tc>
          <w:tcPr>
            <w:tcW w:w="1327" w:type="dxa"/>
            <w:vAlign w:val="center"/>
          </w:tcPr>
          <w:p w:rsidR="00516141" w:rsidRDefault="003C0FE7">
            <w:pPr>
              <w:jc w:val="center"/>
            </w:pPr>
            <w:r>
              <w:rPr>
                <w:color w:val="000000"/>
                <w:sz w:val="24"/>
              </w:rPr>
              <w:t>600036</w:t>
            </w:r>
          </w:p>
        </w:tc>
        <w:tc>
          <w:tcPr>
            <w:tcW w:w="1621" w:type="dxa"/>
            <w:vAlign w:val="center"/>
          </w:tcPr>
          <w:p w:rsidR="00516141" w:rsidRDefault="003C0FE7">
            <w:pPr>
              <w:jc w:val="center"/>
            </w:pPr>
            <w:r>
              <w:rPr>
                <w:color w:val="000000"/>
                <w:sz w:val="24"/>
              </w:rPr>
              <w:t>招商银行</w:t>
            </w:r>
          </w:p>
        </w:tc>
        <w:tc>
          <w:tcPr>
            <w:tcW w:w="1769" w:type="dxa"/>
            <w:vAlign w:val="center"/>
          </w:tcPr>
          <w:p w:rsidR="00516141" w:rsidRDefault="003C0FE7">
            <w:pPr>
              <w:jc w:val="right"/>
            </w:pPr>
            <w:r>
              <w:rPr>
                <w:color w:val="000000"/>
                <w:sz w:val="24"/>
              </w:rPr>
              <w:t>37,018</w:t>
            </w:r>
          </w:p>
        </w:tc>
        <w:tc>
          <w:tcPr>
            <w:tcW w:w="2211" w:type="dxa"/>
            <w:vAlign w:val="center"/>
          </w:tcPr>
          <w:p w:rsidR="00516141" w:rsidRDefault="003C0FE7">
            <w:pPr>
              <w:jc w:val="right"/>
            </w:pPr>
            <w:r>
              <w:rPr>
                <w:color w:val="000000"/>
                <w:sz w:val="24"/>
              </w:rPr>
              <w:t>657,809.86</w:t>
            </w:r>
          </w:p>
        </w:tc>
        <w:tc>
          <w:tcPr>
            <w:tcW w:w="1091" w:type="dxa"/>
            <w:vAlign w:val="center"/>
          </w:tcPr>
          <w:p w:rsidR="00516141" w:rsidRDefault="003C0FE7">
            <w:pPr>
              <w:jc w:val="right"/>
            </w:pPr>
            <w:r>
              <w:rPr>
                <w:color w:val="000000"/>
                <w:sz w:val="24"/>
              </w:rPr>
              <w:t>0.12</w:t>
            </w:r>
          </w:p>
        </w:tc>
      </w:tr>
      <w:tr w:rsidR="00516141">
        <w:trPr>
          <w:jc w:val="center"/>
        </w:trPr>
        <w:tc>
          <w:tcPr>
            <w:tcW w:w="849" w:type="dxa"/>
            <w:vAlign w:val="center"/>
          </w:tcPr>
          <w:p w:rsidR="00516141" w:rsidRDefault="003C0FE7">
            <w:pPr>
              <w:jc w:val="center"/>
            </w:pPr>
            <w:r>
              <w:rPr>
                <w:color w:val="000000"/>
                <w:sz w:val="24"/>
              </w:rPr>
              <w:t>2</w:t>
            </w:r>
          </w:p>
        </w:tc>
        <w:tc>
          <w:tcPr>
            <w:tcW w:w="1327" w:type="dxa"/>
            <w:vAlign w:val="center"/>
          </w:tcPr>
          <w:p w:rsidR="00516141" w:rsidRDefault="003C0FE7">
            <w:pPr>
              <w:jc w:val="center"/>
            </w:pPr>
            <w:r>
              <w:rPr>
                <w:color w:val="000000"/>
                <w:sz w:val="24"/>
              </w:rPr>
              <w:t>600016</w:t>
            </w:r>
          </w:p>
        </w:tc>
        <w:tc>
          <w:tcPr>
            <w:tcW w:w="1621" w:type="dxa"/>
            <w:vAlign w:val="center"/>
          </w:tcPr>
          <w:p w:rsidR="00516141" w:rsidRDefault="003C0FE7">
            <w:pPr>
              <w:jc w:val="center"/>
            </w:pPr>
            <w:r>
              <w:rPr>
                <w:color w:val="000000"/>
                <w:sz w:val="24"/>
              </w:rPr>
              <w:t>民生银行</w:t>
            </w:r>
          </w:p>
        </w:tc>
        <w:tc>
          <w:tcPr>
            <w:tcW w:w="1769" w:type="dxa"/>
            <w:vAlign w:val="center"/>
          </w:tcPr>
          <w:p w:rsidR="00516141" w:rsidRDefault="003C0FE7">
            <w:pPr>
              <w:jc w:val="right"/>
            </w:pPr>
            <w:r>
              <w:rPr>
                <w:color w:val="000000"/>
                <w:sz w:val="24"/>
              </w:rPr>
              <w:t>66,177</w:t>
            </w:r>
          </w:p>
        </w:tc>
        <w:tc>
          <w:tcPr>
            <w:tcW w:w="2211" w:type="dxa"/>
            <w:vAlign w:val="center"/>
          </w:tcPr>
          <w:p w:rsidR="00516141" w:rsidRDefault="003C0FE7">
            <w:pPr>
              <w:jc w:val="right"/>
            </w:pPr>
            <w:r>
              <w:rPr>
                <w:color w:val="000000"/>
                <w:sz w:val="24"/>
              </w:rPr>
              <w:t>559,195.65</w:t>
            </w:r>
          </w:p>
        </w:tc>
        <w:tc>
          <w:tcPr>
            <w:tcW w:w="1091" w:type="dxa"/>
            <w:vAlign w:val="center"/>
          </w:tcPr>
          <w:p w:rsidR="00516141" w:rsidRDefault="003C0FE7">
            <w:pPr>
              <w:jc w:val="right"/>
            </w:pPr>
            <w:r>
              <w:rPr>
                <w:color w:val="000000"/>
                <w:sz w:val="24"/>
              </w:rPr>
              <w:t>0.10</w:t>
            </w:r>
          </w:p>
        </w:tc>
      </w:tr>
      <w:tr w:rsidR="00516141">
        <w:trPr>
          <w:jc w:val="center"/>
        </w:trPr>
        <w:tc>
          <w:tcPr>
            <w:tcW w:w="849" w:type="dxa"/>
            <w:vAlign w:val="center"/>
          </w:tcPr>
          <w:p w:rsidR="00516141" w:rsidRDefault="003C0FE7">
            <w:pPr>
              <w:jc w:val="center"/>
            </w:pPr>
            <w:r>
              <w:rPr>
                <w:color w:val="000000"/>
                <w:sz w:val="24"/>
              </w:rPr>
              <w:t>3</w:t>
            </w:r>
          </w:p>
        </w:tc>
        <w:tc>
          <w:tcPr>
            <w:tcW w:w="1327" w:type="dxa"/>
            <w:vAlign w:val="center"/>
          </w:tcPr>
          <w:p w:rsidR="00516141" w:rsidRDefault="003C0FE7">
            <w:pPr>
              <w:jc w:val="center"/>
            </w:pPr>
            <w:r>
              <w:rPr>
                <w:color w:val="000000"/>
                <w:sz w:val="24"/>
              </w:rPr>
              <w:t>600000</w:t>
            </w:r>
          </w:p>
        </w:tc>
        <w:tc>
          <w:tcPr>
            <w:tcW w:w="1621" w:type="dxa"/>
            <w:vAlign w:val="center"/>
          </w:tcPr>
          <w:p w:rsidR="00516141" w:rsidRDefault="003C0FE7">
            <w:pPr>
              <w:jc w:val="center"/>
            </w:pPr>
            <w:r>
              <w:rPr>
                <w:color w:val="000000"/>
                <w:sz w:val="24"/>
              </w:rPr>
              <w:t>浦发银行</w:t>
            </w:r>
          </w:p>
        </w:tc>
        <w:tc>
          <w:tcPr>
            <w:tcW w:w="1769" w:type="dxa"/>
            <w:vAlign w:val="center"/>
          </w:tcPr>
          <w:p w:rsidR="00516141" w:rsidRDefault="003C0FE7">
            <w:pPr>
              <w:jc w:val="right"/>
            </w:pPr>
            <w:r>
              <w:rPr>
                <w:color w:val="000000"/>
                <w:sz w:val="24"/>
              </w:rPr>
              <w:t>25,100</w:t>
            </w:r>
          </w:p>
        </w:tc>
        <w:tc>
          <w:tcPr>
            <w:tcW w:w="2211" w:type="dxa"/>
            <w:vAlign w:val="center"/>
          </w:tcPr>
          <w:p w:rsidR="00516141" w:rsidRDefault="003C0FE7">
            <w:pPr>
              <w:jc w:val="right"/>
            </w:pPr>
            <w:r>
              <w:rPr>
                <w:color w:val="000000"/>
                <w:sz w:val="24"/>
              </w:rPr>
              <w:t>417,413.00</w:t>
            </w:r>
          </w:p>
        </w:tc>
        <w:tc>
          <w:tcPr>
            <w:tcW w:w="1091" w:type="dxa"/>
            <w:vAlign w:val="center"/>
          </w:tcPr>
          <w:p w:rsidR="00516141" w:rsidRDefault="003C0FE7">
            <w:pPr>
              <w:jc w:val="right"/>
            </w:pPr>
            <w:r>
              <w:rPr>
                <w:color w:val="000000"/>
                <w:sz w:val="24"/>
              </w:rPr>
              <w:t>0.07</w:t>
            </w:r>
          </w:p>
        </w:tc>
      </w:tr>
      <w:tr w:rsidR="00516141">
        <w:trPr>
          <w:jc w:val="center"/>
        </w:trPr>
        <w:tc>
          <w:tcPr>
            <w:tcW w:w="849" w:type="dxa"/>
            <w:vAlign w:val="center"/>
          </w:tcPr>
          <w:p w:rsidR="00516141" w:rsidRDefault="003C0FE7">
            <w:pPr>
              <w:jc w:val="center"/>
            </w:pPr>
            <w:r>
              <w:rPr>
                <w:color w:val="000000"/>
                <w:sz w:val="24"/>
              </w:rPr>
              <w:t>4</w:t>
            </w:r>
          </w:p>
        </w:tc>
        <w:tc>
          <w:tcPr>
            <w:tcW w:w="1327" w:type="dxa"/>
            <w:vAlign w:val="center"/>
          </w:tcPr>
          <w:p w:rsidR="00516141" w:rsidRDefault="003C0FE7">
            <w:pPr>
              <w:jc w:val="center"/>
            </w:pPr>
            <w:r>
              <w:rPr>
                <w:color w:val="000000"/>
                <w:sz w:val="24"/>
              </w:rPr>
              <w:t>601166</w:t>
            </w:r>
          </w:p>
        </w:tc>
        <w:tc>
          <w:tcPr>
            <w:tcW w:w="1621" w:type="dxa"/>
            <w:vAlign w:val="center"/>
          </w:tcPr>
          <w:p w:rsidR="00516141" w:rsidRDefault="003C0FE7">
            <w:pPr>
              <w:jc w:val="center"/>
            </w:pPr>
            <w:r>
              <w:rPr>
                <w:color w:val="000000"/>
                <w:sz w:val="24"/>
              </w:rPr>
              <w:t>兴业银行</w:t>
            </w:r>
          </w:p>
        </w:tc>
        <w:tc>
          <w:tcPr>
            <w:tcW w:w="1769" w:type="dxa"/>
            <w:vAlign w:val="center"/>
          </w:tcPr>
          <w:p w:rsidR="00516141" w:rsidRDefault="003C0FE7">
            <w:pPr>
              <w:jc w:val="right"/>
            </w:pPr>
            <w:r>
              <w:rPr>
                <w:color w:val="000000"/>
                <w:sz w:val="24"/>
              </w:rPr>
              <w:t>25,643</w:t>
            </w:r>
          </w:p>
        </w:tc>
        <w:tc>
          <w:tcPr>
            <w:tcW w:w="2211" w:type="dxa"/>
            <w:vAlign w:val="center"/>
          </w:tcPr>
          <w:p w:rsidR="00516141" w:rsidRDefault="003C0FE7">
            <w:pPr>
              <w:jc w:val="right"/>
            </w:pPr>
            <w:r>
              <w:rPr>
                <w:color w:val="000000"/>
                <w:sz w:val="24"/>
              </w:rPr>
              <w:t>373,362.08</w:t>
            </w:r>
          </w:p>
        </w:tc>
        <w:tc>
          <w:tcPr>
            <w:tcW w:w="1091" w:type="dxa"/>
            <w:vAlign w:val="center"/>
          </w:tcPr>
          <w:p w:rsidR="00516141" w:rsidRDefault="003C0FE7">
            <w:pPr>
              <w:jc w:val="right"/>
            </w:pPr>
            <w:r>
              <w:rPr>
                <w:color w:val="000000"/>
                <w:sz w:val="24"/>
              </w:rPr>
              <w:t>0.07</w:t>
            </w:r>
          </w:p>
        </w:tc>
      </w:tr>
      <w:tr w:rsidR="00516141">
        <w:trPr>
          <w:jc w:val="center"/>
        </w:trPr>
        <w:tc>
          <w:tcPr>
            <w:tcW w:w="849" w:type="dxa"/>
            <w:vAlign w:val="center"/>
          </w:tcPr>
          <w:p w:rsidR="00516141" w:rsidRDefault="003C0FE7">
            <w:pPr>
              <w:jc w:val="center"/>
            </w:pPr>
            <w:r>
              <w:rPr>
                <w:color w:val="000000"/>
                <w:sz w:val="24"/>
              </w:rPr>
              <w:t>5</w:t>
            </w:r>
          </w:p>
        </w:tc>
        <w:tc>
          <w:tcPr>
            <w:tcW w:w="1327" w:type="dxa"/>
            <w:vAlign w:val="center"/>
          </w:tcPr>
          <w:p w:rsidR="00516141" w:rsidRDefault="003C0FE7">
            <w:pPr>
              <w:jc w:val="center"/>
            </w:pPr>
            <w:r>
              <w:rPr>
                <w:color w:val="000000"/>
                <w:sz w:val="24"/>
              </w:rPr>
              <w:t>600739</w:t>
            </w:r>
          </w:p>
        </w:tc>
        <w:tc>
          <w:tcPr>
            <w:tcW w:w="1621" w:type="dxa"/>
            <w:vAlign w:val="center"/>
          </w:tcPr>
          <w:p w:rsidR="00516141" w:rsidRDefault="003C0FE7">
            <w:pPr>
              <w:jc w:val="center"/>
            </w:pPr>
            <w:r>
              <w:rPr>
                <w:color w:val="000000"/>
                <w:sz w:val="24"/>
              </w:rPr>
              <w:t>辽宁成大</w:t>
            </w:r>
          </w:p>
        </w:tc>
        <w:tc>
          <w:tcPr>
            <w:tcW w:w="1769" w:type="dxa"/>
            <w:vAlign w:val="center"/>
          </w:tcPr>
          <w:p w:rsidR="00516141" w:rsidRDefault="003C0FE7">
            <w:pPr>
              <w:jc w:val="right"/>
            </w:pPr>
            <w:r>
              <w:rPr>
                <w:color w:val="000000"/>
                <w:sz w:val="24"/>
              </w:rPr>
              <w:t>23,400</w:t>
            </w:r>
          </w:p>
        </w:tc>
        <w:tc>
          <w:tcPr>
            <w:tcW w:w="2211" w:type="dxa"/>
            <w:vAlign w:val="center"/>
          </w:tcPr>
          <w:p w:rsidR="00516141" w:rsidRDefault="003C0FE7">
            <w:pPr>
              <w:jc w:val="right"/>
            </w:pPr>
            <w:r>
              <w:rPr>
                <w:color w:val="000000"/>
                <w:sz w:val="24"/>
              </w:rPr>
              <w:t>370,422.00</w:t>
            </w:r>
          </w:p>
        </w:tc>
        <w:tc>
          <w:tcPr>
            <w:tcW w:w="1091" w:type="dxa"/>
            <w:vAlign w:val="center"/>
          </w:tcPr>
          <w:p w:rsidR="00516141" w:rsidRDefault="003C0FE7">
            <w:pPr>
              <w:jc w:val="right"/>
            </w:pPr>
            <w:r>
              <w:rPr>
                <w:color w:val="000000"/>
                <w:sz w:val="24"/>
              </w:rPr>
              <w:t>0.07</w:t>
            </w:r>
          </w:p>
        </w:tc>
      </w:tr>
      <w:tr w:rsidR="00516141">
        <w:trPr>
          <w:jc w:val="center"/>
        </w:trPr>
        <w:tc>
          <w:tcPr>
            <w:tcW w:w="849" w:type="dxa"/>
            <w:vAlign w:val="center"/>
          </w:tcPr>
          <w:p w:rsidR="00516141" w:rsidRDefault="003C0FE7">
            <w:pPr>
              <w:jc w:val="center"/>
            </w:pPr>
            <w:r>
              <w:rPr>
                <w:color w:val="000000"/>
                <w:sz w:val="24"/>
              </w:rPr>
              <w:t>6</w:t>
            </w:r>
          </w:p>
        </w:tc>
        <w:tc>
          <w:tcPr>
            <w:tcW w:w="1327" w:type="dxa"/>
            <w:vAlign w:val="center"/>
          </w:tcPr>
          <w:p w:rsidR="00516141" w:rsidRDefault="003C0FE7">
            <w:pPr>
              <w:jc w:val="center"/>
            </w:pPr>
            <w:r>
              <w:rPr>
                <w:color w:val="000000"/>
                <w:sz w:val="24"/>
              </w:rPr>
              <w:t>600879</w:t>
            </w:r>
          </w:p>
        </w:tc>
        <w:tc>
          <w:tcPr>
            <w:tcW w:w="1621" w:type="dxa"/>
            <w:vAlign w:val="center"/>
          </w:tcPr>
          <w:p w:rsidR="00516141" w:rsidRDefault="003C0FE7">
            <w:pPr>
              <w:jc w:val="center"/>
            </w:pPr>
            <w:r>
              <w:rPr>
                <w:color w:val="000000"/>
                <w:sz w:val="24"/>
              </w:rPr>
              <w:t>航天电子</w:t>
            </w:r>
          </w:p>
        </w:tc>
        <w:tc>
          <w:tcPr>
            <w:tcW w:w="1769" w:type="dxa"/>
            <w:vAlign w:val="center"/>
          </w:tcPr>
          <w:p w:rsidR="00516141" w:rsidRDefault="003C0FE7">
            <w:pPr>
              <w:jc w:val="right"/>
            </w:pPr>
            <w:r>
              <w:rPr>
                <w:color w:val="000000"/>
                <w:sz w:val="24"/>
              </w:rPr>
              <w:t>18,695</w:t>
            </w:r>
          </w:p>
        </w:tc>
        <w:tc>
          <w:tcPr>
            <w:tcW w:w="2211" w:type="dxa"/>
            <w:vAlign w:val="center"/>
          </w:tcPr>
          <w:p w:rsidR="00516141" w:rsidRDefault="003C0FE7">
            <w:pPr>
              <w:jc w:val="right"/>
            </w:pPr>
            <w:r>
              <w:rPr>
                <w:color w:val="000000"/>
                <w:sz w:val="24"/>
              </w:rPr>
              <w:t>297,624.40</w:t>
            </w:r>
          </w:p>
        </w:tc>
        <w:tc>
          <w:tcPr>
            <w:tcW w:w="1091" w:type="dxa"/>
            <w:vAlign w:val="center"/>
          </w:tcPr>
          <w:p w:rsidR="00516141" w:rsidRDefault="003C0FE7">
            <w:pPr>
              <w:jc w:val="right"/>
            </w:pPr>
            <w:r>
              <w:rPr>
                <w:color w:val="000000"/>
                <w:sz w:val="24"/>
              </w:rPr>
              <w:t>0.05</w:t>
            </w:r>
          </w:p>
        </w:tc>
      </w:tr>
      <w:tr w:rsidR="00516141">
        <w:trPr>
          <w:jc w:val="center"/>
        </w:trPr>
        <w:tc>
          <w:tcPr>
            <w:tcW w:w="849" w:type="dxa"/>
            <w:vAlign w:val="center"/>
          </w:tcPr>
          <w:p w:rsidR="00516141" w:rsidRDefault="003C0FE7">
            <w:pPr>
              <w:jc w:val="center"/>
            </w:pPr>
            <w:r>
              <w:rPr>
                <w:color w:val="000000"/>
                <w:sz w:val="24"/>
              </w:rPr>
              <w:t>7</w:t>
            </w:r>
          </w:p>
        </w:tc>
        <w:tc>
          <w:tcPr>
            <w:tcW w:w="1327" w:type="dxa"/>
            <w:vAlign w:val="center"/>
          </w:tcPr>
          <w:p w:rsidR="00516141" w:rsidRDefault="003C0FE7">
            <w:pPr>
              <w:jc w:val="center"/>
            </w:pPr>
            <w:r>
              <w:rPr>
                <w:color w:val="000000"/>
                <w:sz w:val="24"/>
              </w:rPr>
              <w:t>601766</w:t>
            </w:r>
          </w:p>
        </w:tc>
        <w:tc>
          <w:tcPr>
            <w:tcW w:w="1621" w:type="dxa"/>
            <w:vAlign w:val="center"/>
          </w:tcPr>
          <w:p w:rsidR="00516141" w:rsidRDefault="003C0FE7">
            <w:pPr>
              <w:jc w:val="center"/>
            </w:pPr>
            <w:r>
              <w:rPr>
                <w:color w:val="000000"/>
                <w:sz w:val="24"/>
              </w:rPr>
              <w:t>中国中车</w:t>
            </w:r>
          </w:p>
        </w:tc>
        <w:tc>
          <w:tcPr>
            <w:tcW w:w="1769" w:type="dxa"/>
            <w:vAlign w:val="center"/>
          </w:tcPr>
          <w:p w:rsidR="00516141" w:rsidRDefault="003C0FE7">
            <w:pPr>
              <w:jc w:val="right"/>
            </w:pPr>
            <w:r>
              <w:rPr>
                <w:color w:val="000000"/>
                <w:sz w:val="24"/>
              </w:rPr>
              <w:t>20,596</w:t>
            </w:r>
          </w:p>
        </w:tc>
        <w:tc>
          <w:tcPr>
            <w:tcW w:w="2211" w:type="dxa"/>
            <w:vAlign w:val="center"/>
          </w:tcPr>
          <w:p w:rsidR="00516141" w:rsidRDefault="003C0FE7">
            <w:pPr>
              <w:jc w:val="right"/>
            </w:pPr>
            <w:r>
              <w:rPr>
                <w:color w:val="000000"/>
                <w:sz w:val="24"/>
              </w:rPr>
              <w:t>267,130.12</w:t>
            </w:r>
          </w:p>
        </w:tc>
        <w:tc>
          <w:tcPr>
            <w:tcW w:w="1091" w:type="dxa"/>
            <w:vAlign w:val="center"/>
          </w:tcPr>
          <w:p w:rsidR="00516141" w:rsidRDefault="003C0FE7">
            <w:pPr>
              <w:jc w:val="right"/>
            </w:pPr>
            <w:r>
              <w:rPr>
                <w:color w:val="000000"/>
                <w:sz w:val="24"/>
              </w:rPr>
              <w:t>0.05</w:t>
            </w:r>
          </w:p>
        </w:tc>
      </w:tr>
      <w:tr w:rsidR="00516141">
        <w:trPr>
          <w:jc w:val="center"/>
        </w:trPr>
        <w:tc>
          <w:tcPr>
            <w:tcW w:w="849" w:type="dxa"/>
            <w:vAlign w:val="center"/>
          </w:tcPr>
          <w:p w:rsidR="00516141" w:rsidRDefault="003C0FE7">
            <w:pPr>
              <w:jc w:val="center"/>
            </w:pPr>
            <w:r>
              <w:rPr>
                <w:color w:val="000000"/>
                <w:sz w:val="24"/>
              </w:rPr>
              <w:t>8</w:t>
            </w:r>
          </w:p>
        </w:tc>
        <w:tc>
          <w:tcPr>
            <w:tcW w:w="1327" w:type="dxa"/>
            <w:vAlign w:val="center"/>
          </w:tcPr>
          <w:p w:rsidR="00516141" w:rsidRDefault="003C0FE7">
            <w:pPr>
              <w:jc w:val="center"/>
            </w:pPr>
            <w:r>
              <w:rPr>
                <w:color w:val="000000"/>
                <w:sz w:val="24"/>
              </w:rPr>
              <w:t>600030</w:t>
            </w:r>
          </w:p>
        </w:tc>
        <w:tc>
          <w:tcPr>
            <w:tcW w:w="1621" w:type="dxa"/>
            <w:vAlign w:val="center"/>
          </w:tcPr>
          <w:p w:rsidR="00516141" w:rsidRDefault="003C0FE7">
            <w:pPr>
              <w:jc w:val="center"/>
            </w:pPr>
            <w:r>
              <w:rPr>
                <w:color w:val="000000"/>
                <w:sz w:val="24"/>
              </w:rPr>
              <w:t>中信证券</w:t>
            </w:r>
          </w:p>
        </w:tc>
        <w:tc>
          <w:tcPr>
            <w:tcW w:w="1769" w:type="dxa"/>
            <w:vAlign w:val="center"/>
          </w:tcPr>
          <w:p w:rsidR="00516141" w:rsidRDefault="003C0FE7">
            <w:pPr>
              <w:jc w:val="right"/>
            </w:pPr>
            <w:r>
              <w:rPr>
                <w:color w:val="000000"/>
                <w:sz w:val="24"/>
              </w:rPr>
              <w:t>17,692</w:t>
            </w:r>
          </w:p>
        </w:tc>
        <w:tc>
          <w:tcPr>
            <w:tcW w:w="2211" w:type="dxa"/>
            <w:vAlign w:val="center"/>
          </w:tcPr>
          <w:p w:rsidR="00516141" w:rsidRDefault="003C0FE7">
            <w:pPr>
              <w:jc w:val="right"/>
            </w:pPr>
            <w:r>
              <w:rPr>
                <w:color w:val="000000"/>
                <w:sz w:val="24"/>
              </w:rPr>
              <w:t>240,257.36</w:t>
            </w:r>
          </w:p>
        </w:tc>
        <w:tc>
          <w:tcPr>
            <w:tcW w:w="1091" w:type="dxa"/>
            <w:vAlign w:val="center"/>
          </w:tcPr>
          <w:p w:rsidR="00516141" w:rsidRDefault="003C0FE7">
            <w:pPr>
              <w:jc w:val="right"/>
            </w:pPr>
            <w:r>
              <w:rPr>
                <w:color w:val="000000"/>
                <w:sz w:val="24"/>
              </w:rPr>
              <w:t>0.04</w:t>
            </w:r>
          </w:p>
        </w:tc>
      </w:tr>
      <w:tr w:rsidR="00516141">
        <w:trPr>
          <w:jc w:val="center"/>
        </w:trPr>
        <w:tc>
          <w:tcPr>
            <w:tcW w:w="849" w:type="dxa"/>
            <w:vAlign w:val="center"/>
          </w:tcPr>
          <w:p w:rsidR="00516141" w:rsidRDefault="003C0FE7">
            <w:pPr>
              <w:jc w:val="center"/>
            </w:pPr>
            <w:r>
              <w:rPr>
                <w:color w:val="000000"/>
                <w:sz w:val="24"/>
              </w:rPr>
              <w:t>9</w:t>
            </w:r>
          </w:p>
        </w:tc>
        <w:tc>
          <w:tcPr>
            <w:tcW w:w="1327" w:type="dxa"/>
            <w:vAlign w:val="center"/>
          </w:tcPr>
          <w:p w:rsidR="00516141" w:rsidRDefault="003C0FE7">
            <w:pPr>
              <w:jc w:val="center"/>
            </w:pPr>
            <w:r>
              <w:rPr>
                <w:color w:val="000000"/>
                <w:sz w:val="24"/>
              </w:rPr>
              <w:t>601398</w:t>
            </w:r>
          </w:p>
        </w:tc>
        <w:tc>
          <w:tcPr>
            <w:tcW w:w="1621" w:type="dxa"/>
            <w:vAlign w:val="center"/>
          </w:tcPr>
          <w:p w:rsidR="00516141" w:rsidRDefault="003C0FE7">
            <w:pPr>
              <w:jc w:val="center"/>
            </w:pPr>
            <w:r>
              <w:rPr>
                <w:color w:val="000000"/>
                <w:sz w:val="24"/>
              </w:rPr>
              <w:t>工商银行</w:t>
            </w:r>
          </w:p>
        </w:tc>
        <w:tc>
          <w:tcPr>
            <w:tcW w:w="1769" w:type="dxa"/>
            <w:vAlign w:val="center"/>
          </w:tcPr>
          <w:p w:rsidR="00516141" w:rsidRDefault="003C0FE7">
            <w:pPr>
              <w:jc w:val="right"/>
            </w:pPr>
            <w:r>
              <w:rPr>
                <w:color w:val="000000"/>
                <w:sz w:val="24"/>
              </w:rPr>
              <w:t>54,362</w:t>
            </w:r>
          </w:p>
        </w:tc>
        <w:tc>
          <w:tcPr>
            <w:tcW w:w="2211" w:type="dxa"/>
            <w:vAlign w:val="center"/>
          </w:tcPr>
          <w:p w:rsidR="00516141" w:rsidRDefault="003C0FE7">
            <w:pPr>
              <w:jc w:val="right"/>
            </w:pPr>
            <w:r>
              <w:rPr>
                <w:color w:val="000000"/>
                <w:sz w:val="24"/>
              </w:rPr>
              <w:t>234,843.84</w:t>
            </w:r>
          </w:p>
        </w:tc>
        <w:tc>
          <w:tcPr>
            <w:tcW w:w="1091" w:type="dxa"/>
            <w:vAlign w:val="center"/>
          </w:tcPr>
          <w:p w:rsidR="00516141" w:rsidRDefault="003C0FE7">
            <w:pPr>
              <w:jc w:val="right"/>
            </w:pPr>
            <w:r>
              <w:rPr>
                <w:color w:val="000000"/>
                <w:sz w:val="24"/>
              </w:rPr>
              <w:t>0.04</w:t>
            </w:r>
          </w:p>
        </w:tc>
      </w:tr>
      <w:tr w:rsidR="00516141">
        <w:trPr>
          <w:jc w:val="center"/>
        </w:trPr>
        <w:tc>
          <w:tcPr>
            <w:tcW w:w="849" w:type="dxa"/>
            <w:vAlign w:val="center"/>
          </w:tcPr>
          <w:p w:rsidR="00516141" w:rsidRDefault="003C0FE7">
            <w:pPr>
              <w:jc w:val="center"/>
            </w:pPr>
            <w:r>
              <w:rPr>
                <w:color w:val="000000"/>
                <w:sz w:val="24"/>
              </w:rPr>
              <w:t>10</w:t>
            </w:r>
          </w:p>
        </w:tc>
        <w:tc>
          <w:tcPr>
            <w:tcW w:w="1327" w:type="dxa"/>
            <w:vAlign w:val="center"/>
          </w:tcPr>
          <w:p w:rsidR="00516141" w:rsidRDefault="003C0FE7">
            <w:pPr>
              <w:jc w:val="center"/>
            </w:pPr>
            <w:r>
              <w:rPr>
                <w:color w:val="000000"/>
                <w:sz w:val="24"/>
              </w:rPr>
              <w:t>600837</w:t>
            </w:r>
          </w:p>
        </w:tc>
        <w:tc>
          <w:tcPr>
            <w:tcW w:w="1621" w:type="dxa"/>
            <w:vAlign w:val="center"/>
          </w:tcPr>
          <w:p w:rsidR="00516141" w:rsidRDefault="003C0FE7">
            <w:pPr>
              <w:jc w:val="center"/>
            </w:pPr>
            <w:r>
              <w:rPr>
                <w:color w:val="000000"/>
                <w:sz w:val="24"/>
              </w:rPr>
              <w:t>海通证券</w:t>
            </w:r>
          </w:p>
        </w:tc>
        <w:tc>
          <w:tcPr>
            <w:tcW w:w="1769" w:type="dxa"/>
            <w:vAlign w:val="center"/>
          </w:tcPr>
          <w:p w:rsidR="00516141" w:rsidRDefault="003C0FE7">
            <w:pPr>
              <w:jc w:val="right"/>
            </w:pPr>
            <w:r>
              <w:rPr>
                <w:color w:val="000000"/>
                <w:sz w:val="24"/>
              </w:rPr>
              <w:t>18,116</w:t>
            </w:r>
          </w:p>
        </w:tc>
        <w:tc>
          <w:tcPr>
            <w:tcW w:w="2211" w:type="dxa"/>
            <w:vAlign w:val="center"/>
          </w:tcPr>
          <w:p w:rsidR="00516141" w:rsidRDefault="003C0FE7">
            <w:pPr>
              <w:jc w:val="right"/>
            </w:pPr>
            <w:r>
              <w:rPr>
                <w:color w:val="000000"/>
                <w:sz w:val="24"/>
              </w:rPr>
              <w:t>230,979.00</w:t>
            </w:r>
          </w:p>
        </w:tc>
        <w:tc>
          <w:tcPr>
            <w:tcW w:w="1091" w:type="dxa"/>
            <w:vAlign w:val="center"/>
          </w:tcPr>
          <w:p w:rsidR="00516141" w:rsidRDefault="003C0FE7">
            <w:pPr>
              <w:jc w:val="right"/>
            </w:pPr>
            <w:r>
              <w:rPr>
                <w:color w:val="000000"/>
                <w:sz w:val="24"/>
              </w:rPr>
              <w:t>0.04</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924478" w:rsidRPr="0040394A" w:rsidRDefault="00924478" w:rsidP="0040394A">
      <w:pPr>
        <w:autoSpaceDE w:val="0"/>
        <w:autoSpaceDN w:val="0"/>
        <w:adjustRightInd w:val="0"/>
        <w:spacing w:before="29" w:line="288" w:lineRule="auto"/>
        <w:rPr>
          <w:kern w:val="0"/>
          <w:sz w:val="24"/>
        </w:rPr>
      </w:pPr>
      <w:r>
        <w:rPr>
          <w:rFonts w:hint="eastAsia"/>
          <w:kern w:val="0"/>
          <w:sz w:val="24"/>
        </w:rPr>
        <w:t>5.12.1</w:t>
      </w:r>
      <w:r w:rsidRPr="0040394A">
        <w:rPr>
          <w:rFonts w:hint="eastAsia"/>
          <w:kern w:val="0"/>
          <w:sz w:val="24"/>
        </w:rPr>
        <w:t>报告期内本基金投资的前十名证券的发行主体除中信证券（证券代码：</w:t>
      </w:r>
      <w:r w:rsidRPr="0040394A">
        <w:rPr>
          <w:kern w:val="0"/>
          <w:sz w:val="24"/>
        </w:rPr>
        <w:t>600030</w:t>
      </w:r>
      <w:r w:rsidRPr="0040394A">
        <w:rPr>
          <w:rFonts w:hint="eastAsia"/>
          <w:kern w:val="0"/>
          <w:sz w:val="24"/>
        </w:rPr>
        <w:t>）、海通证券（证券代码：</w:t>
      </w:r>
      <w:r w:rsidRPr="0040394A">
        <w:rPr>
          <w:kern w:val="0"/>
          <w:sz w:val="24"/>
        </w:rPr>
        <w:t>600837</w:t>
      </w:r>
      <w:r w:rsidRPr="0040394A">
        <w:rPr>
          <w:rFonts w:hint="eastAsia"/>
          <w:kern w:val="0"/>
          <w:sz w:val="24"/>
        </w:rPr>
        <w:t>）外，未出现被监管部门立案调查，或在报告编制日前一年内受到公开谴责、处罚的情形。</w:t>
      </w:r>
    </w:p>
    <w:p w:rsidR="00924478" w:rsidRPr="0040394A" w:rsidRDefault="00924478" w:rsidP="0040394A">
      <w:pPr>
        <w:autoSpaceDE w:val="0"/>
        <w:autoSpaceDN w:val="0"/>
        <w:adjustRightInd w:val="0"/>
        <w:spacing w:before="29" w:line="288" w:lineRule="auto"/>
        <w:rPr>
          <w:kern w:val="0"/>
          <w:sz w:val="24"/>
        </w:rPr>
      </w:pPr>
      <w:r w:rsidRPr="0040394A">
        <w:rPr>
          <w:rFonts w:hint="eastAsia"/>
          <w:kern w:val="0"/>
          <w:sz w:val="24"/>
        </w:rPr>
        <w:t>报告期内本基金投资的前十名证券之一中信证券（证券代码：</w:t>
      </w:r>
      <w:r w:rsidRPr="0040394A">
        <w:rPr>
          <w:kern w:val="0"/>
          <w:sz w:val="24"/>
        </w:rPr>
        <w:t>600030</w:t>
      </w:r>
      <w:r w:rsidRPr="0040394A">
        <w:rPr>
          <w:rFonts w:hint="eastAsia"/>
          <w:kern w:val="0"/>
          <w:sz w:val="24"/>
        </w:rPr>
        <w:t>）于</w:t>
      </w:r>
      <w:r w:rsidRPr="0040394A">
        <w:rPr>
          <w:kern w:val="0"/>
          <w:sz w:val="24"/>
        </w:rPr>
        <w:t>2015</w:t>
      </w:r>
      <w:r w:rsidRPr="0040394A">
        <w:rPr>
          <w:rFonts w:hint="eastAsia"/>
          <w:kern w:val="0"/>
          <w:sz w:val="24"/>
        </w:rPr>
        <w:t>年</w:t>
      </w:r>
      <w:r w:rsidRPr="0040394A">
        <w:rPr>
          <w:kern w:val="0"/>
          <w:sz w:val="24"/>
        </w:rPr>
        <w:t>1</w:t>
      </w:r>
      <w:r w:rsidRPr="0040394A">
        <w:rPr>
          <w:rFonts w:hint="eastAsia"/>
          <w:kern w:val="0"/>
          <w:sz w:val="24"/>
        </w:rPr>
        <w:t>月</w:t>
      </w:r>
      <w:r w:rsidRPr="0040394A">
        <w:rPr>
          <w:kern w:val="0"/>
          <w:sz w:val="24"/>
        </w:rPr>
        <w:t>18</w:t>
      </w:r>
      <w:r w:rsidRPr="0040394A">
        <w:rPr>
          <w:rFonts w:hint="eastAsia"/>
          <w:kern w:val="0"/>
          <w:sz w:val="24"/>
        </w:rPr>
        <w:t>日公告，公司因存在为到期融资融券合约展期的问题，被中国证监会采取暂停新开融资融券客户信用账户</w:t>
      </w:r>
      <w:r w:rsidRPr="0040394A">
        <w:rPr>
          <w:kern w:val="0"/>
          <w:sz w:val="24"/>
        </w:rPr>
        <w:t>3</w:t>
      </w:r>
      <w:r w:rsidRPr="0040394A">
        <w:rPr>
          <w:rFonts w:hint="eastAsia"/>
          <w:kern w:val="0"/>
          <w:sz w:val="24"/>
        </w:rPr>
        <w:t>个月的行政监管措施。</w:t>
      </w:r>
    </w:p>
    <w:p w:rsidR="00924478" w:rsidRPr="0040394A" w:rsidRDefault="00924478" w:rsidP="0040394A">
      <w:pPr>
        <w:autoSpaceDE w:val="0"/>
        <w:autoSpaceDN w:val="0"/>
        <w:adjustRightInd w:val="0"/>
        <w:spacing w:before="29" w:line="288" w:lineRule="auto"/>
        <w:rPr>
          <w:kern w:val="0"/>
          <w:sz w:val="24"/>
        </w:rPr>
      </w:pPr>
      <w:r w:rsidRPr="0040394A">
        <w:rPr>
          <w:rFonts w:hint="eastAsia"/>
          <w:kern w:val="0"/>
          <w:sz w:val="24"/>
        </w:rPr>
        <w:t>报告期内本基金投资的前十名证券之一海通证券（证券代码：</w:t>
      </w:r>
      <w:r w:rsidRPr="0040394A">
        <w:rPr>
          <w:kern w:val="0"/>
          <w:sz w:val="24"/>
        </w:rPr>
        <w:t>600837</w:t>
      </w:r>
      <w:r w:rsidRPr="0040394A">
        <w:rPr>
          <w:rFonts w:hint="eastAsia"/>
          <w:kern w:val="0"/>
          <w:sz w:val="24"/>
        </w:rPr>
        <w:t>）于</w:t>
      </w:r>
      <w:r w:rsidRPr="0040394A">
        <w:rPr>
          <w:kern w:val="0"/>
          <w:sz w:val="24"/>
        </w:rPr>
        <w:t>2015</w:t>
      </w:r>
      <w:r w:rsidRPr="0040394A">
        <w:rPr>
          <w:rFonts w:hint="eastAsia"/>
          <w:kern w:val="0"/>
          <w:sz w:val="24"/>
        </w:rPr>
        <w:t>年</w:t>
      </w:r>
      <w:r w:rsidRPr="0040394A">
        <w:rPr>
          <w:kern w:val="0"/>
          <w:sz w:val="24"/>
        </w:rPr>
        <w:t>8</w:t>
      </w:r>
      <w:r w:rsidRPr="0040394A">
        <w:rPr>
          <w:rFonts w:hint="eastAsia"/>
          <w:kern w:val="0"/>
          <w:sz w:val="24"/>
        </w:rPr>
        <w:t>月</w:t>
      </w:r>
      <w:r w:rsidRPr="0040394A">
        <w:rPr>
          <w:kern w:val="0"/>
          <w:sz w:val="24"/>
        </w:rPr>
        <w:t>25</w:t>
      </w:r>
      <w:r w:rsidRPr="0040394A">
        <w:rPr>
          <w:rFonts w:hint="eastAsia"/>
          <w:kern w:val="0"/>
          <w:sz w:val="24"/>
        </w:rPr>
        <w:t>日公告，公司于</w:t>
      </w:r>
      <w:r w:rsidRPr="0040394A">
        <w:rPr>
          <w:kern w:val="0"/>
          <w:sz w:val="24"/>
        </w:rPr>
        <w:t>2015</w:t>
      </w:r>
      <w:r w:rsidRPr="0040394A">
        <w:rPr>
          <w:rFonts w:hint="eastAsia"/>
          <w:kern w:val="0"/>
          <w:sz w:val="24"/>
        </w:rPr>
        <w:t>年</w:t>
      </w:r>
      <w:r w:rsidRPr="0040394A">
        <w:rPr>
          <w:kern w:val="0"/>
          <w:sz w:val="24"/>
        </w:rPr>
        <w:t>8</w:t>
      </w:r>
      <w:r w:rsidRPr="0040394A">
        <w:rPr>
          <w:rFonts w:hint="eastAsia"/>
          <w:kern w:val="0"/>
          <w:sz w:val="24"/>
        </w:rPr>
        <w:t>月</w:t>
      </w:r>
      <w:r w:rsidRPr="0040394A">
        <w:rPr>
          <w:kern w:val="0"/>
          <w:sz w:val="24"/>
        </w:rPr>
        <w:t>24</w:t>
      </w:r>
      <w:r w:rsidRPr="0040394A">
        <w:rPr>
          <w:rFonts w:hint="eastAsia"/>
          <w:kern w:val="0"/>
          <w:sz w:val="24"/>
        </w:rPr>
        <w:t>日收到中国证监会《调查通知书》。公司因涉嫌未按规定审查、了解客户身份等违法违规行为，根据《中华人民共和国证券法》的有关规定，中国证监会决定对公司进行立案调查；公司于</w:t>
      </w:r>
      <w:r w:rsidRPr="0040394A">
        <w:rPr>
          <w:kern w:val="0"/>
          <w:sz w:val="24"/>
        </w:rPr>
        <w:t>2015</w:t>
      </w:r>
      <w:r w:rsidRPr="0040394A">
        <w:rPr>
          <w:rFonts w:hint="eastAsia"/>
          <w:kern w:val="0"/>
          <w:sz w:val="24"/>
        </w:rPr>
        <w:t>年</w:t>
      </w:r>
      <w:r w:rsidRPr="0040394A">
        <w:rPr>
          <w:kern w:val="0"/>
          <w:sz w:val="24"/>
        </w:rPr>
        <w:t>1</w:t>
      </w:r>
      <w:r w:rsidRPr="0040394A">
        <w:rPr>
          <w:rFonts w:hint="eastAsia"/>
          <w:kern w:val="0"/>
          <w:sz w:val="24"/>
        </w:rPr>
        <w:t>月</w:t>
      </w:r>
      <w:r w:rsidRPr="0040394A">
        <w:rPr>
          <w:kern w:val="0"/>
          <w:sz w:val="24"/>
        </w:rPr>
        <w:t>19</w:t>
      </w:r>
      <w:r w:rsidRPr="0040394A">
        <w:rPr>
          <w:rFonts w:hint="eastAsia"/>
          <w:kern w:val="0"/>
          <w:sz w:val="24"/>
        </w:rPr>
        <w:t>日公告，公司因存在违规为到期融资融券合约展期问题，被中国证监会采取暂停新开融资融券客户信用账户</w:t>
      </w:r>
      <w:r w:rsidRPr="0040394A">
        <w:rPr>
          <w:kern w:val="0"/>
          <w:sz w:val="24"/>
        </w:rPr>
        <w:t>3</w:t>
      </w:r>
      <w:r w:rsidRPr="0040394A">
        <w:rPr>
          <w:rFonts w:hint="eastAsia"/>
          <w:kern w:val="0"/>
          <w:sz w:val="24"/>
        </w:rPr>
        <w:t>个月的行政监管措施。</w:t>
      </w:r>
    </w:p>
    <w:p w:rsidR="00924478" w:rsidRPr="0040394A" w:rsidRDefault="00924478" w:rsidP="0040394A">
      <w:pPr>
        <w:autoSpaceDE w:val="0"/>
        <w:autoSpaceDN w:val="0"/>
        <w:adjustRightInd w:val="0"/>
        <w:spacing w:before="29" w:line="288" w:lineRule="auto"/>
        <w:rPr>
          <w:kern w:val="0"/>
          <w:sz w:val="24"/>
        </w:rPr>
      </w:pPr>
      <w:r w:rsidRPr="0040394A">
        <w:rPr>
          <w:rFonts w:hint="eastAsia"/>
          <w:kern w:val="0"/>
          <w:sz w:val="24"/>
        </w:rPr>
        <w:t>本基金遵循指数化投资理念，本基金通过把全部或接近全部的基金资产投资于目标</w:t>
      </w:r>
      <w:r w:rsidRPr="0040394A">
        <w:rPr>
          <w:kern w:val="0"/>
          <w:sz w:val="24"/>
        </w:rPr>
        <w:t>ETF</w:t>
      </w:r>
      <w:r w:rsidRPr="0040394A">
        <w:rPr>
          <w:rFonts w:hint="eastAsia"/>
          <w:kern w:val="0"/>
          <w:sz w:val="24"/>
        </w:rPr>
        <w:t>、标的指数成份股和备选成份股进行被动式指数化投资。本基金对上述证券的投资遵守本基金管理人基金投资管理相关制度及被动式指数化投资策略。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413,383.06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6,865.96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34,054.23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454,303.25</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516141">
        <w:trPr>
          <w:jc w:val="center"/>
        </w:trPr>
        <w:tc>
          <w:tcPr>
            <w:tcW w:w="1129" w:type="dxa"/>
            <w:vAlign w:val="center"/>
          </w:tcPr>
          <w:p w:rsidR="00516141" w:rsidRDefault="003C0FE7">
            <w:pPr>
              <w:jc w:val="center"/>
            </w:pPr>
            <w:r>
              <w:rPr>
                <w:color w:val="000000"/>
                <w:sz w:val="24"/>
              </w:rPr>
              <w:t>1</w:t>
            </w:r>
          </w:p>
        </w:tc>
        <w:tc>
          <w:tcPr>
            <w:tcW w:w="1356" w:type="dxa"/>
            <w:vAlign w:val="center"/>
          </w:tcPr>
          <w:p w:rsidR="00516141" w:rsidRDefault="003C0FE7">
            <w:pPr>
              <w:jc w:val="center"/>
            </w:pPr>
            <w:r>
              <w:rPr>
                <w:color w:val="000000"/>
                <w:sz w:val="24"/>
              </w:rPr>
              <w:t>600739</w:t>
            </w:r>
          </w:p>
        </w:tc>
        <w:tc>
          <w:tcPr>
            <w:tcW w:w="1355" w:type="dxa"/>
            <w:vAlign w:val="center"/>
          </w:tcPr>
          <w:p w:rsidR="00516141" w:rsidRDefault="003C0FE7">
            <w:pPr>
              <w:jc w:val="center"/>
            </w:pPr>
            <w:r>
              <w:rPr>
                <w:color w:val="000000"/>
                <w:sz w:val="24"/>
              </w:rPr>
              <w:t>辽宁成大</w:t>
            </w:r>
          </w:p>
        </w:tc>
        <w:tc>
          <w:tcPr>
            <w:tcW w:w="1880" w:type="dxa"/>
            <w:vAlign w:val="center"/>
          </w:tcPr>
          <w:p w:rsidR="00516141" w:rsidRDefault="003C0FE7">
            <w:pPr>
              <w:jc w:val="right"/>
            </w:pPr>
            <w:r>
              <w:rPr>
                <w:color w:val="000000"/>
                <w:sz w:val="24"/>
              </w:rPr>
              <w:t>370,422.00</w:t>
            </w:r>
          </w:p>
        </w:tc>
        <w:tc>
          <w:tcPr>
            <w:tcW w:w="1724" w:type="dxa"/>
            <w:vAlign w:val="center"/>
          </w:tcPr>
          <w:p w:rsidR="00516141" w:rsidRDefault="003C0FE7">
            <w:pPr>
              <w:jc w:val="right"/>
            </w:pPr>
            <w:r>
              <w:rPr>
                <w:color w:val="000000"/>
                <w:sz w:val="24"/>
              </w:rPr>
              <w:t>0.07</w:t>
            </w:r>
          </w:p>
        </w:tc>
        <w:tc>
          <w:tcPr>
            <w:tcW w:w="1424" w:type="dxa"/>
            <w:vAlign w:val="center"/>
          </w:tcPr>
          <w:p w:rsidR="00516141" w:rsidRDefault="003C0FE7">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835,753,792.06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50,809,976.05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348,437,911.36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538,125,856.75</w:t>
            </w:r>
          </w:p>
        </w:tc>
      </w:tr>
    </w:tbl>
    <w:p w:rsidR="00516141" w:rsidRDefault="003C0FE7">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4F1DD8">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4F1DD8">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516141" w:rsidRDefault="003C0FE7">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516141" w:rsidRDefault="003C0FE7">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516141" w:rsidRDefault="003C0FE7">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516141" w:rsidRDefault="003C0FE7">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516141" w:rsidRDefault="003C0FE7">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516141" w:rsidRDefault="003C0FE7">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16141" w:rsidRDefault="003C0FE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516141" w:rsidRDefault="003C0FE7">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7D" w:rsidRDefault="00C76C7D">
      <w:r>
        <w:separator/>
      </w:r>
    </w:p>
  </w:endnote>
  <w:endnote w:type="continuationSeparator" w:id="0">
    <w:p w:rsidR="00C76C7D" w:rsidRDefault="00C7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024528">
      <w:rPr>
        <w:kern w:val="0"/>
        <w:szCs w:val="21"/>
      </w:rPr>
      <w:fldChar w:fldCharType="begin"/>
    </w:r>
    <w:r>
      <w:rPr>
        <w:kern w:val="0"/>
        <w:szCs w:val="21"/>
      </w:rPr>
      <w:instrText xml:space="preserve"> PAGE </w:instrText>
    </w:r>
    <w:r w:rsidR="00024528">
      <w:rPr>
        <w:kern w:val="0"/>
        <w:szCs w:val="21"/>
      </w:rPr>
      <w:fldChar w:fldCharType="separate"/>
    </w:r>
    <w:r w:rsidR="006F29C8">
      <w:rPr>
        <w:noProof/>
        <w:kern w:val="0"/>
        <w:szCs w:val="21"/>
      </w:rPr>
      <w:t>7</w:t>
    </w:r>
    <w:r w:rsidR="00024528">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024528">
      <w:rPr>
        <w:kern w:val="0"/>
        <w:szCs w:val="21"/>
      </w:rPr>
      <w:fldChar w:fldCharType="begin"/>
    </w:r>
    <w:r>
      <w:rPr>
        <w:kern w:val="0"/>
        <w:szCs w:val="21"/>
      </w:rPr>
      <w:instrText xml:space="preserve"> NUMPAGES </w:instrText>
    </w:r>
    <w:r w:rsidR="00024528">
      <w:rPr>
        <w:kern w:val="0"/>
        <w:szCs w:val="21"/>
      </w:rPr>
      <w:fldChar w:fldCharType="separate"/>
    </w:r>
    <w:r w:rsidR="006F29C8">
      <w:rPr>
        <w:noProof/>
        <w:kern w:val="0"/>
        <w:szCs w:val="21"/>
      </w:rPr>
      <w:t>13</w:t>
    </w:r>
    <w:r w:rsidR="00024528">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02452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7D" w:rsidRDefault="00C76C7D">
      <w:r>
        <w:separator/>
      </w:r>
    </w:p>
  </w:footnote>
  <w:footnote w:type="continuationSeparator" w:id="0">
    <w:p w:rsidR="00C76C7D" w:rsidRDefault="00C76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3E74"/>
    <w:rsid w:val="000C4107"/>
    <w:rsid w:val="000C45E7"/>
    <w:rsid w:val="000C6634"/>
    <w:rsid w:val="000D01F4"/>
    <w:rsid w:val="000D1519"/>
    <w:rsid w:val="000D1C1A"/>
    <w:rsid w:val="000D1E9C"/>
    <w:rsid w:val="000E0611"/>
    <w:rsid w:val="000E186B"/>
    <w:rsid w:val="000E4456"/>
    <w:rsid w:val="000E6262"/>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0FE7"/>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394A"/>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141"/>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9C8"/>
    <w:rsid w:val="006F2F56"/>
    <w:rsid w:val="006F4CD8"/>
    <w:rsid w:val="006F53D9"/>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4478"/>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7DF4"/>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6C7D"/>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A570DBF-7686-430E-B63F-96E84B73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4DA49-4EB4-420C-A8CD-9896846A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322</TotalTime>
  <Pages>13</Pages>
  <Words>1111</Words>
  <Characters>6335</Characters>
  <Application>Microsoft Office Word</Application>
  <DocSecurity>0</DocSecurity>
  <Lines>52</Lines>
  <Paragraphs>14</Paragraphs>
  <ScaleCrop>false</ScaleCrop>
  <Company>TRT. Ltd. Co.</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393</cp:revision>
  <cp:lastPrinted>2007-07-19T00:46:00Z</cp:lastPrinted>
  <dcterms:created xsi:type="dcterms:W3CDTF">2012-11-13T02:08:00Z</dcterms:created>
  <dcterms:modified xsi:type="dcterms:W3CDTF">2015-10-23T02:50:00Z</dcterms:modified>
</cp:coreProperties>
</file>