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二〇一五年十月二十七日</w:t>
      </w:r>
    </w:p>
    <w:p w:rsidR="00220542" w:rsidRPr="0036023B" w:rsidRDefault="00220542" w:rsidP="002942A1">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46C61" w:rsidRDefault="0034114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546C61" w:rsidRDefault="0034114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546C61" w:rsidRDefault="0034114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546C61" w:rsidRDefault="0034114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546C61" w:rsidRDefault="00341149">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611,524,362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00F49" w:rsidRPr="0036023B" w:rsidTr="00100F4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100F49" w:rsidRPr="0036023B" w:rsidTr="00100F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-215,775,801.34</w:t>
            </w:r>
          </w:p>
        </w:tc>
      </w:tr>
      <w:tr w:rsidR="00100F49" w:rsidRPr="0036023B" w:rsidTr="00100F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-235,443,242.65</w:t>
            </w:r>
          </w:p>
        </w:tc>
      </w:tr>
      <w:tr w:rsidR="00100F49" w:rsidRPr="0036023B" w:rsidTr="00100F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-0.3432</w:t>
            </w:r>
          </w:p>
        </w:tc>
      </w:tr>
      <w:tr w:rsidR="00100F49" w:rsidRPr="0036023B" w:rsidTr="00100F4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565,615,684.36</w:t>
            </w:r>
          </w:p>
        </w:tc>
      </w:tr>
      <w:tr w:rsidR="00100F49" w:rsidRPr="0036023B" w:rsidTr="00100F4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0.925</w:t>
            </w:r>
          </w:p>
        </w:tc>
      </w:tr>
    </w:tbl>
    <w:p w:rsidR="00546C61" w:rsidRDefault="003411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46C61">
        <w:trPr>
          <w:jc w:val="center"/>
        </w:trPr>
        <w:tc>
          <w:tcPr>
            <w:tcW w:w="1469" w:type="dxa"/>
            <w:vAlign w:val="center"/>
          </w:tcPr>
          <w:p w:rsidR="00546C61" w:rsidRDefault="00341149">
            <w:pPr>
              <w:jc w:val="left"/>
            </w:pPr>
            <w:r>
              <w:rPr>
                <w:color w:val="000000"/>
                <w:sz w:val="24"/>
              </w:rPr>
              <w:t>过去三个月</w:t>
            </w:r>
          </w:p>
        </w:tc>
        <w:tc>
          <w:tcPr>
            <w:tcW w:w="1150" w:type="dxa"/>
            <w:vAlign w:val="center"/>
          </w:tcPr>
          <w:p w:rsidR="00546C61" w:rsidRDefault="00341149">
            <w:pPr>
              <w:jc w:val="center"/>
            </w:pPr>
            <w:r>
              <w:rPr>
                <w:color w:val="000000"/>
                <w:sz w:val="24"/>
              </w:rPr>
              <w:t>-26.35%</w:t>
            </w:r>
          </w:p>
        </w:tc>
        <w:tc>
          <w:tcPr>
            <w:tcW w:w="1223" w:type="dxa"/>
            <w:vAlign w:val="center"/>
          </w:tcPr>
          <w:p w:rsidR="00546C61" w:rsidRDefault="00341149">
            <w:pPr>
              <w:jc w:val="center"/>
            </w:pPr>
            <w:r>
              <w:rPr>
                <w:color w:val="000000"/>
                <w:sz w:val="24"/>
              </w:rPr>
              <w:t>3.30%</w:t>
            </w:r>
          </w:p>
        </w:tc>
        <w:tc>
          <w:tcPr>
            <w:tcW w:w="1244" w:type="dxa"/>
            <w:vAlign w:val="center"/>
          </w:tcPr>
          <w:p w:rsidR="00546C61" w:rsidRDefault="00341149">
            <w:pPr>
              <w:jc w:val="center"/>
            </w:pPr>
            <w:r>
              <w:rPr>
                <w:color w:val="000000"/>
                <w:sz w:val="24"/>
              </w:rPr>
              <w:t>-27.62%</w:t>
            </w:r>
          </w:p>
        </w:tc>
        <w:tc>
          <w:tcPr>
            <w:tcW w:w="1251" w:type="dxa"/>
            <w:vAlign w:val="center"/>
          </w:tcPr>
          <w:p w:rsidR="00546C61" w:rsidRDefault="00341149">
            <w:pPr>
              <w:jc w:val="center"/>
            </w:pPr>
            <w:r>
              <w:rPr>
                <w:color w:val="000000"/>
                <w:sz w:val="24"/>
              </w:rPr>
              <w:t>3.36%</w:t>
            </w:r>
          </w:p>
        </w:tc>
        <w:tc>
          <w:tcPr>
            <w:tcW w:w="1263" w:type="dxa"/>
            <w:vAlign w:val="center"/>
          </w:tcPr>
          <w:p w:rsidR="00546C61" w:rsidRDefault="00341149">
            <w:pPr>
              <w:jc w:val="center"/>
            </w:pPr>
            <w:r>
              <w:rPr>
                <w:color w:val="000000"/>
                <w:sz w:val="24"/>
              </w:rPr>
              <w:t>1.27%</w:t>
            </w:r>
          </w:p>
        </w:tc>
        <w:tc>
          <w:tcPr>
            <w:tcW w:w="1268" w:type="dxa"/>
            <w:vAlign w:val="center"/>
          </w:tcPr>
          <w:p w:rsidR="00546C61" w:rsidRDefault="00341149">
            <w:pPr>
              <w:jc w:val="center"/>
            </w:pPr>
            <w:r>
              <w:rPr>
                <w:color w:val="000000"/>
                <w:sz w:val="24"/>
              </w:rPr>
              <w:t>-0.06%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46C61">
        <w:trPr>
          <w:jc w:val="center"/>
        </w:trPr>
        <w:tc>
          <w:tcPr>
            <w:tcW w:w="846" w:type="dxa"/>
            <w:vAlign w:val="center"/>
          </w:tcPr>
          <w:p w:rsidR="00546C61" w:rsidRDefault="00341149">
            <w:pPr>
              <w:jc w:val="center"/>
            </w:pPr>
            <w:r>
              <w:rPr>
                <w:color w:val="000000"/>
                <w:sz w:val="24"/>
              </w:rPr>
              <w:t>蔡铮</w:t>
            </w:r>
          </w:p>
        </w:tc>
        <w:tc>
          <w:tcPr>
            <w:tcW w:w="845" w:type="dxa"/>
            <w:vAlign w:val="center"/>
          </w:tcPr>
          <w:p w:rsidR="00546C61" w:rsidRDefault="0034114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546C61" w:rsidRDefault="00341149">
            <w:pPr>
              <w:jc w:val="center"/>
            </w:pPr>
            <w:r>
              <w:rPr>
                <w:color w:val="000000"/>
                <w:sz w:val="24"/>
              </w:rPr>
              <w:t>2012-12-27</w:t>
            </w:r>
          </w:p>
        </w:tc>
        <w:tc>
          <w:tcPr>
            <w:tcW w:w="1548" w:type="dxa"/>
            <w:vAlign w:val="center"/>
          </w:tcPr>
          <w:p w:rsidR="00546C61" w:rsidRDefault="00341149">
            <w:pPr>
              <w:jc w:val="center"/>
            </w:pPr>
            <w:r>
              <w:rPr>
                <w:color w:val="000000"/>
                <w:sz w:val="24"/>
              </w:rPr>
              <w:t>-</w:t>
            </w:r>
          </w:p>
        </w:tc>
        <w:tc>
          <w:tcPr>
            <w:tcW w:w="1407" w:type="dxa"/>
            <w:vAlign w:val="center"/>
          </w:tcPr>
          <w:p w:rsidR="00546C61" w:rsidRDefault="00341149">
            <w:pPr>
              <w:jc w:val="center"/>
            </w:pPr>
            <w:r>
              <w:rPr>
                <w:color w:val="000000"/>
                <w:sz w:val="24"/>
              </w:rPr>
              <w:t>6</w:t>
            </w:r>
            <w:r>
              <w:rPr>
                <w:color w:val="000000"/>
                <w:sz w:val="24"/>
              </w:rPr>
              <w:t>年</w:t>
            </w:r>
          </w:p>
        </w:tc>
        <w:tc>
          <w:tcPr>
            <w:tcW w:w="2673" w:type="dxa"/>
            <w:vAlign w:val="center"/>
          </w:tcPr>
          <w:p w:rsidR="00546C61" w:rsidRDefault="0034114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546C61" w:rsidRDefault="0034114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6C61" w:rsidRDefault="0034114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46C61" w:rsidRDefault="0034114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46C61" w:rsidRDefault="00341149">
      <w:pPr>
        <w:spacing w:before="29" w:line="288" w:lineRule="auto"/>
        <w:ind w:firstLineChars="200" w:firstLine="480"/>
        <w:rPr>
          <w:color w:val="000000"/>
          <w:sz w:val="24"/>
        </w:rPr>
      </w:pPr>
      <w:r>
        <w:rPr>
          <w:color w:val="000000"/>
          <w:sz w:val="24"/>
        </w:rPr>
        <w:t>2015</w:t>
      </w:r>
      <w:r>
        <w:rPr>
          <w:color w:val="000000"/>
          <w:sz w:val="24"/>
        </w:rPr>
        <w:t>年第三季度，国内经济增速弱企稳，内需疲软，经济基本面对资本市场的支持力度较为有限。工业增加值和</w:t>
      </w:r>
      <w:r>
        <w:rPr>
          <w:color w:val="000000"/>
          <w:sz w:val="24"/>
        </w:rPr>
        <w:t>PPI</w:t>
      </w:r>
      <w:r>
        <w:rPr>
          <w:color w:val="000000"/>
          <w:sz w:val="24"/>
        </w:rPr>
        <w:t>继续回落，经济增长和企业盈利下行压力较大，同时货币政策延续宽松。随着监管层扩大清理配资范围以及人民币贬值影响，市场出现大幅下跌。作为跟踪基准指数的指数基金，在第三季度基金总体呈现出下跌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展望第四季度，宽松的货币政策环境有望持续，但经过此轮调整，市场风险偏好会急剧下降。总体而言，预计产业创新的发展思路不会改变，负面因素逐渐被市场所消化反应，因此对</w:t>
      </w:r>
      <w:r w:rsidRPr="0036023B">
        <w:rPr>
          <w:color w:val="000000"/>
          <w:sz w:val="24"/>
        </w:rPr>
        <w:t>A</w:t>
      </w:r>
      <w:r w:rsidRPr="0036023B">
        <w:rPr>
          <w:color w:val="000000"/>
          <w:sz w:val="24"/>
        </w:rPr>
        <w:t>股市场保持谨慎乐观的态度。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0.925</w:t>
      </w:r>
      <w:r w:rsidRPr="0036023B">
        <w:rPr>
          <w:color w:val="000000"/>
          <w:sz w:val="24"/>
        </w:rPr>
        <w:t>元，本报告期份额净值增长率为</w:t>
      </w:r>
      <w:r w:rsidRPr="0036023B">
        <w:rPr>
          <w:color w:val="000000"/>
          <w:sz w:val="24"/>
        </w:rPr>
        <w:t>-26.35%</w:t>
      </w:r>
      <w:r w:rsidRPr="0036023B">
        <w:rPr>
          <w:color w:val="000000"/>
          <w:sz w:val="24"/>
        </w:rPr>
        <w:t>，同期业绩比较基准增长率为</w:t>
      </w:r>
      <w:r w:rsidRPr="0036023B">
        <w:rPr>
          <w:color w:val="000000"/>
          <w:sz w:val="24"/>
        </w:rPr>
        <w:t>-27.62%</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559,483,887.18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98.79</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559,483,887.18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98.79</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6,754,383.89</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1.19</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106,401.99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566,344,673.06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5.2.1</w:t>
      </w:r>
      <w:r w:rsidRPr="0036023B">
        <w:rPr>
          <w:color w:val="000000"/>
          <w:sz w:val="24"/>
        </w:rPr>
        <w:t>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3,276,850.20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0.58</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3,276,850.20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0.58</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1,259,381.63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26,956,964.27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4.77</w:t>
            </w:r>
          </w:p>
        </w:tc>
      </w:tr>
      <w:tr w:rsidR="00100F49"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100F49" w:rsidRPr="0036023B" w:rsidRDefault="00100F49" w:rsidP="00100F49">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100F49" w:rsidRPr="0036023B" w:rsidRDefault="00100F49" w:rsidP="00100F49">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100F49" w:rsidRPr="00100F49" w:rsidRDefault="00100F49" w:rsidP="00100F49">
            <w:pPr>
              <w:spacing w:before="29" w:line="288" w:lineRule="auto"/>
              <w:jc w:val="right"/>
              <w:rPr>
                <w:sz w:val="24"/>
              </w:rPr>
            </w:pPr>
            <w:r w:rsidRPr="00993F67">
              <w:rPr>
                <w:sz w:val="24"/>
              </w:rPr>
              <w:t>120,849,874.18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100F49" w:rsidRPr="00100F49" w:rsidRDefault="00100F49" w:rsidP="005B7F3D">
            <w:pPr>
              <w:spacing w:before="29" w:line="288" w:lineRule="auto"/>
              <w:jc w:val="right"/>
              <w:rPr>
                <w:sz w:val="24"/>
              </w:rPr>
            </w:pPr>
            <w:r w:rsidRPr="00993F67">
              <w:rPr>
                <w:sz w:val="24"/>
              </w:rPr>
              <w:t>21.3</w:t>
            </w:r>
            <w:r w:rsidR="005B7F3D">
              <w:rPr>
                <w:sz w:val="24"/>
              </w:rPr>
              <w:t>7</w:t>
            </w:r>
            <w:bookmarkStart w:id="0" w:name="_GoBack"/>
            <w:bookmarkEnd w:id="0"/>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38,410,207.42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6.79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43,976,278.82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4,621,695.99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20,337,073.29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15,850,272.45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262,914,231.34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15,802,835.62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2.79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5,228,221.97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100F49"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100F49" w:rsidRPr="0036023B" w:rsidRDefault="00100F49" w:rsidP="00100F49">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100F49" w:rsidRPr="0036023B" w:rsidRDefault="00100F49" w:rsidP="00100F49">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100F49" w:rsidRPr="00100F49" w:rsidRDefault="00100F49" w:rsidP="00100F49">
            <w:pPr>
              <w:spacing w:before="29" w:line="288" w:lineRule="auto"/>
              <w:jc w:val="right"/>
              <w:rPr>
                <w:sz w:val="24"/>
              </w:rPr>
            </w:pPr>
            <w:r w:rsidRPr="00993F67">
              <w:rPr>
                <w:sz w:val="24"/>
              </w:rPr>
              <w:t>556,207,036.98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100F49" w:rsidRPr="00100F49" w:rsidRDefault="00100F49" w:rsidP="00100F49">
            <w:pPr>
              <w:spacing w:before="29" w:line="288" w:lineRule="auto"/>
              <w:jc w:val="right"/>
              <w:rPr>
                <w:sz w:val="24"/>
              </w:rPr>
            </w:pPr>
            <w:r w:rsidRPr="00993F67">
              <w:rPr>
                <w:sz w:val="24"/>
              </w:rPr>
              <w:t>98.34</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46C61">
        <w:trPr>
          <w:jc w:val="center"/>
        </w:trPr>
        <w:tc>
          <w:tcPr>
            <w:tcW w:w="850" w:type="dxa"/>
            <w:vAlign w:val="center"/>
          </w:tcPr>
          <w:p w:rsidR="00546C61" w:rsidRDefault="00341149">
            <w:pPr>
              <w:jc w:val="center"/>
            </w:pPr>
            <w:r>
              <w:rPr>
                <w:color w:val="000000"/>
                <w:sz w:val="24"/>
              </w:rPr>
              <w:t>1</w:t>
            </w:r>
          </w:p>
        </w:tc>
        <w:tc>
          <w:tcPr>
            <w:tcW w:w="1327" w:type="dxa"/>
            <w:vAlign w:val="center"/>
          </w:tcPr>
          <w:p w:rsidR="00546C61" w:rsidRDefault="00341149">
            <w:pPr>
              <w:jc w:val="center"/>
            </w:pPr>
            <w:r>
              <w:rPr>
                <w:color w:val="000000"/>
                <w:sz w:val="24"/>
              </w:rPr>
              <w:t>600036</w:t>
            </w:r>
          </w:p>
        </w:tc>
        <w:tc>
          <w:tcPr>
            <w:tcW w:w="1769" w:type="dxa"/>
            <w:vAlign w:val="center"/>
          </w:tcPr>
          <w:p w:rsidR="00546C61" w:rsidRDefault="00341149">
            <w:pPr>
              <w:jc w:val="center"/>
            </w:pPr>
            <w:r>
              <w:rPr>
                <w:color w:val="000000"/>
                <w:sz w:val="24"/>
              </w:rPr>
              <w:t>招商银行</w:t>
            </w:r>
          </w:p>
        </w:tc>
        <w:tc>
          <w:tcPr>
            <w:tcW w:w="1327" w:type="dxa"/>
            <w:vAlign w:val="center"/>
          </w:tcPr>
          <w:p w:rsidR="00546C61" w:rsidRDefault="00341149">
            <w:pPr>
              <w:jc w:val="right"/>
            </w:pPr>
            <w:r>
              <w:rPr>
                <w:color w:val="000000"/>
                <w:sz w:val="24"/>
              </w:rPr>
              <w:t>2,385,482</w:t>
            </w:r>
          </w:p>
        </w:tc>
        <w:tc>
          <w:tcPr>
            <w:tcW w:w="1915" w:type="dxa"/>
            <w:vAlign w:val="center"/>
          </w:tcPr>
          <w:p w:rsidR="00546C61" w:rsidRDefault="00341149">
            <w:pPr>
              <w:jc w:val="right"/>
            </w:pPr>
            <w:r>
              <w:rPr>
                <w:color w:val="000000"/>
                <w:sz w:val="24"/>
              </w:rPr>
              <w:t>42,390,015.14</w:t>
            </w:r>
          </w:p>
        </w:tc>
        <w:tc>
          <w:tcPr>
            <w:tcW w:w="1680" w:type="dxa"/>
            <w:vAlign w:val="center"/>
          </w:tcPr>
          <w:p w:rsidR="00546C61" w:rsidRDefault="00341149">
            <w:pPr>
              <w:jc w:val="right"/>
            </w:pPr>
            <w:r>
              <w:rPr>
                <w:color w:val="000000"/>
                <w:sz w:val="24"/>
              </w:rPr>
              <w:t>7.49</w:t>
            </w:r>
          </w:p>
        </w:tc>
      </w:tr>
      <w:tr w:rsidR="00546C61">
        <w:trPr>
          <w:jc w:val="center"/>
        </w:trPr>
        <w:tc>
          <w:tcPr>
            <w:tcW w:w="850" w:type="dxa"/>
            <w:vAlign w:val="center"/>
          </w:tcPr>
          <w:p w:rsidR="00546C61" w:rsidRDefault="00341149">
            <w:pPr>
              <w:jc w:val="center"/>
            </w:pPr>
            <w:r>
              <w:rPr>
                <w:color w:val="000000"/>
                <w:sz w:val="24"/>
              </w:rPr>
              <w:t>2</w:t>
            </w:r>
          </w:p>
        </w:tc>
        <w:tc>
          <w:tcPr>
            <w:tcW w:w="1327" w:type="dxa"/>
            <w:vAlign w:val="center"/>
          </w:tcPr>
          <w:p w:rsidR="00546C61" w:rsidRDefault="00341149">
            <w:pPr>
              <w:jc w:val="center"/>
            </w:pPr>
            <w:r>
              <w:rPr>
                <w:color w:val="000000"/>
                <w:sz w:val="24"/>
              </w:rPr>
              <w:t>600016</w:t>
            </w:r>
          </w:p>
        </w:tc>
        <w:tc>
          <w:tcPr>
            <w:tcW w:w="1769" w:type="dxa"/>
            <w:vAlign w:val="center"/>
          </w:tcPr>
          <w:p w:rsidR="00546C61" w:rsidRDefault="00341149">
            <w:pPr>
              <w:jc w:val="center"/>
            </w:pPr>
            <w:r>
              <w:rPr>
                <w:color w:val="000000"/>
                <w:sz w:val="24"/>
              </w:rPr>
              <w:t>民生银行</w:t>
            </w:r>
          </w:p>
        </w:tc>
        <w:tc>
          <w:tcPr>
            <w:tcW w:w="1327" w:type="dxa"/>
            <w:vAlign w:val="center"/>
          </w:tcPr>
          <w:p w:rsidR="00546C61" w:rsidRDefault="00341149">
            <w:pPr>
              <w:jc w:val="right"/>
            </w:pPr>
            <w:r>
              <w:rPr>
                <w:color w:val="000000"/>
                <w:sz w:val="24"/>
              </w:rPr>
              <w:t>4,276,319</w:t>
            </w:r>
          </w:p>
        </w:tc>
        <w:tc>
          <w:tcPr>
            <w:tcW w:w="1915" w:type="dxa"/>
            <w:vAlign w:val="center"/>
          </w:tcPr>
          <w:p w:rsidR="00546C61" w:rsidRDefault="00341149">
            <w:pPr>
              <w:jc w:val="right"/>
            </w:pPr>
            <w:r>
              <w:rPr>
                <w:color w:val="000000"/>
                <w:sz w:val="24"/>
              </w:rPr>
              <w:t>36,134,895.55</w:t>
            </w:r>
          </w:p>
        </w:tc>
        <w:tc>
          <w:tcPr>
            <w:tcW w:w="1680" w:type="dxa"/>
            <w:vAlign w:val="center"/>
          </w:tcPr>
          <w:p w:rsidR="00546C61" w:rsidRDefault="00341149">
            <w:pPr>
              <w:jc w:val="right"/>
            </w:pPr>
            <w:r>
              <w:rPr>
                <w:color w:val="000000"/>
                <w:sz w:val="24"/>
              </w:rPr>
              <w:t>6.39</w:t>
            </w:r>
          </w:p>
        </w:tc>
      </w:tr>
      <w:tr w:rsidR="00546C61">
        <w:trPr>
          <w:jc w:val="center"/>
        </w:trPr>
        <w:tc>
          <w:tcPr>
            <w:tcW w:w="850" w:type="dxa"/>
            <w:vAlign w:val="center"/>
          </w:tcPr>
          <w:p w:rsidR="00546C61" w:rsidRDefault="00341149">
            <w:pPr>
              <w:jc w:val="center"/>
            </w:pPr>
            <w:r>
              <w:rPr>
                <w:color w:val="000000"/>
                <w:sz w:val="24"/>
              </w:rPr>
              <w:t>3</w:t>
            </w:r>
          </w:p>
        </w:tc>
        <w:tc>
          <w:tcPr>
            <w:tcW w:w="1327" w:type="dxa"/>
            <w:vAlign w:val="center"/>
          </w:tcPr>
          <w:p w:rsidR="00546C61" w:rsidRDefault="00341149">
            <w:pPr>
              <w:jc w:val="center"/>
            </w:pPr>
            <w:r>
              <w:rPr>
                <w:color w:val="000000"/>
                <w:sz w:val="24"/>
              </w:rPr>
              <w:t>600000</w:t>
            </w:r>
          </w:p>
        </w:tc>
        <w:tc>
          <w:tcPr>
            <w:tcW w:w="1769" w:type="dxa"/>
            <w:vAlign w:val="center"/>
          </w:tcPr>
          <w:p w:rsidR="00546C61" w:rsidRDefault="00341149">
            <w:pPr>
              <w:jc w:val="center"/>
            </w:pPr>
            <w:r>
              <w:rPr>
                <w:color w:val="000000"/>
                <w:sz w:val="24"/>
              </w:rPr>
              <w:t>浦发银行</w:t>
            </w:r>
          </w:p>
        </w:tc>
        <w:tc>
          <w:tcPr>
            <w:tcW w:w="1327" w:type="dxa"/>
            <w:vAlign w:val="center"/>
          </w:tcPr>
          <w:p w:rsidR="00546C61" w:rsidRDefault="00341149">
            <w:pPr>
              <w:jc w:val="right"/>
            </w:pPr>
            <w:r>
              <w:rPr>
                <w:color w:val="000000"/>
                <w:sz w:val="24"/>
              </w:rPr>
              <w:t>1,617,785</w:t>
            </w:r>
          </w:p>
        </w:tc>
        <w:tc>
          <w:tcPr>
            <w:tcW w:w="1915" w:type="dxa"/>
            <w:vAlign w:val="center"/>
          </w:tcPr>
          <w:p w:rsidR="00546C61" w:rsidRDefault="00341149">
            <w:pPr>
              <w:jc w:val="right"/>
            </w:pPr>
            <w:r>
              <w:rPr>
                <w:color w:val="000000"/>
                <w:sz w:val="24"/>
              </w:rPr>
              <w:t>26,903,764.55</w:t>
            </w:r>
          </w:p>
        </w:tc>
        <w:tc>
          <w:tcPr>
            <w:tcW w:w="1680" w:type="dxa"/>
            <w:vAlign w:val="center"/>
          </w:tcPr>
          <w:p w:rsidR="00546C61" w:rsidRDefault="00341149">
            <w:pPr>
              <w:jc w:val="right"/>
            </w:pPr>
            <w:r>
              <w:rPr>
                <w:color w:val="000000"/>
                <w:sz w:val="24"/>
              </w:rPr>
              <w:t>4.76</w:t>
            </w:r>
          </w:p>
        </w:tc>
      </w:tr>
      <w:tr w:rsidR="00546C61">
        <w:trPr>
          <w:jc w:val="center"/>
        </w:trPr>
        <w:tc>
          <w:tcPr>
            <w:tcW w:w="850" w:type="dxa"/>
            <w:vAlign w:val="center"/>
          </w:tcPr>
          <w:p w:rsidR="00546C61" w:rsidRDefault="00341149">
            <w:pPr>
              <w:jc w:val="center"/>
            </w:pPr>
            <w:r>
              <w:rPr>
                <w:color w:val="000000"/>
                <w:sz w:val="24"/>
              </w:rPr>
              <w:t>4</w:t>
            </w:r>
          </w:p>
        </w:tc>
        <w:tc>
          <w:tcPr>
            <w:tcW w:w="1327" w:type="dxa"/>
            <w:vAlign w:val="center"/>
          </w:tcPr>
          <w:p w:rsidR="00546C61" w:rsidRDefault="00341149">
            <w:pPr>
              <w:jc w:val="center"/>
            </w:pPr>
            <w:r>
              <w:rPr>
                <w:color w:val="000000"/>
                <w:sz w:val="24"/>
              </w:rPr>
              <w:t>601166</w:t>
            </w:r>
          </w:p>
        </w:tc>
        <w:tc>
          <w:tcPr>
            <w:tcW w:w="1769" w:type="dxa"/>
            <w:vAlign w:val="center"/>
          </w:tcPr>
          <w:p w:rsidR="00546C61" w:rsidRDefault="00341149">
            <w:pPr>
              <w:jc w:val="center"/>
            </w:pPr>
            <w:r>
              <w:rPr>
                <w:color w:val="000000"/>
                <w:sz w:val="24"/>
              </w:rPr>
              <w:t>兴业银行</w:t>
            </w:r>
          </w:p>
        </w:tc>
        <w:tc>
          <w:tcPr>
            <w:tcW w:w="1327" w:type="dxa"/>
            <w:vAlign w:val="center"/>
          </w:tcPr>
          <w:p w:rsidR="00546C61" w:rsidRDefault="00341149">
            <w:pPr>
              <w:jc w:val="right"/>
            </w:pPr>
            <w:r>
              <w:rPr>
                <w:color w:val="000000"/>
                <w:sz w:val="24"/>
              </w:rPr>
              <w:t>1,652,262</w:t>
            </w:r>
          </w:p>
        </w:tc>
        <w:tc>
          <w:tcPr>
            <w:tcW w:w="1915" w:type="dxa"/>
            <w:vAlign w:val="center"/>
          </w:tcPr>
          <w:p w:rsidR="00546C61" w:rsidRDefault="00341149">
            <w:pPr>
              <w:jc w:val="right"/>
            </w:pPr>
            <w:r>
              <w:rPr>
                <w:color w:val="000000"/>
                <w:sz w:val="24"/>
              </w:rPr>
              <w:t>24,056,934.72</w:t>
            </w:r>
          </w:p>
        </w:tc>
        <w:tc>
          <w:tcPr>
            <w:tcW w:w="1680" w:type="dxa"/>
            <w:vAlign w:val="center"/>
          </w:tcPr>
          <w:p w:rsidR="00546C61" w:rsidRDefault="00341149">
            <w:pPr>
              <w:jc w:val="right"/>
            </w:pPr>
            <w:r>
              <w:rPr>
                <w:color w:val="000000"/>
                <w:sz w:val="24"/>
              </w:rPr>
              <w:t>4.25</w:t>
            </w:r>
          </w:p>
        </w:tc>
      </w:tr>
      <w:tr w:rsidR="00546C61">
        <w:trPr>
          <w:jc w:val="center"/>
        </w:trPr>
        <w:tc>
          <w:tcPr>
            <w:tcW w:w="850" w:type="dxa"/>
            <w:vAlign w:val="center"/>
          </w:tcPr>
          <w:p w:rsidR="00546C61" w:rsidRDefault="00341149">
            <w:pPr>
              <w:jc w:val="center"/>
            </w:pPr>
            <w:r>
              <w:rPr>
                <w:color w:val="000000"/>
                <w:sz w:val="24"/>
              </w:rPr>
              <w:t>5</w:t>
            </w:r>
          </w:p>
        </w:tc>
        <w:tc>
          <w:tcPr>
            <w:tcW w:w="1327" w:type="dxa"/>
            <w:vAlign w:val="center"/>
          </w:tcPr>
          <w:p w:rsidR="00546C61" w:rsidRDefault="00341149">
            <w:pPr>
              <w:jc w:val="center"/>
            </w:pPr>
            <w:r>
              <w:rPr>
                <w:color w:val="000000"/>
                <w:sz w:val="24"/>
              </w:rPr>
              <w:t>601766</w:t>
            </w:r>
          </w:p>
        </w:tc>
        <w:tc>
          <w:tcPr>
            <w:tcW w:w="1769" w:type="dxa"/>
            <w:vAlign w:val="center"/>
          </w:tcPr>
          <w:p w:rsidR="00546C61" w:rsidRDefault="00341149">
            <w:pPr>
              <w:jc w:val="center"/>
            </w:pPr>
            <w:r>
              <w:rPr>
                <w:color w:val="000000"/>
                <w:sz w:val="24"/>
              </w:rPr>
              <w:t>中国中车</w:t>
            </w:r>
          </w:p>
        </w:tc>
        <w:tc>
          <w:tcPr>
            <w:tcW w:w="1327" w:type="dxa"/>
            <w:vAlign w:val="center"/>
          </w:tcPr>
          <w:p w:rsidR="00546C61" w:rsidRDefault="00341149">
            <w:pPr>
              <w:jc w:val="right"/>
            </w:pPr>
            <w:r>
              <w:rPr>
                <w:color w:val="000000"/>
                <w:sz w:val="24"/>
              </w:rPr>
              <w:t>1,325,090</w:t>
            </w:r>
          </w:p>
        </w:tc>
        <w:tc>
          <w:tcPr>
            <w:tcW w:w="1915" w:type="dxa"/>
            <w:vAlign w:val="center"/>
          </w:tcPr>
          <w:p w:rsidR="00546C61" w:rsidRDefault="00341149">
            <w:pPr>
              <w:jc w:val="right"/>
            </w:pPr>
            <w:r>
              <w:rPr>
                <w:color w:val="000000"/>
                <w:sz w:val="24"/>
              </w:rPr>
              <w:t>17,186,417.30</w:t>
            </w:r>
          </w:p>
        </w:tc>
        <w:tc>
          <w:tcPr>
            <w:tcW w:w="1680" w:type="dxa"/>
            <w:vAlign w:val="center"/>
          </w:tcPr>
          <w:p w:rsidR="00546C61" w:rsidRDefault="00341149">
            <w:pPr>
              <w:jc w:val="right"/>
            </w:pPr>
            <w:r>
              <w:rPr>
                <w:color w:val="000000"/>
                <w:sz w:val="24"/>
              </w:rPr>
              <w:t>3.04</w:t>
            </w:r>
          </w:p>
        </w:tc>
      </w:tr>
      <w:tr w:rsidR="00546C61">
        <w:trPr>
          <w:jc w:val="center"/>
        </w:trPr>
        <w:tc>
          <w:tcPr>
            <w:tcW w:w="850" w:type="dxa"/>
            <w:vAlign w:val="center"/>
          </w:tcPr>
          <w:p w:rsidR="00546C61" w:rsidRDefault="00341149">
            <w:pPr>
              <w:jc w:val="center"/>
            </w:pPr>
            <w:r>
              <w:rPr>
                <w:color w:val="000000"/>
                <w:sz w:val="24"/>
              </w:rPr>
              <w:t>6</w:t>
            </w:r>
          </w:p>
        </w:tc>
        <w:tc>
          <w:tcPr>
            <w:tcW w:w="1327" w:type="dxa"/>
            <w:vAlign w:val="center"/>
          </w:tcPr>
          <w:p w:rsidR="00546C61" w:rsidRDefault="00341149">
            <w:pPr>
              <w:jc w:val="center"/>
            </w:pPr>
            <w:r>
              <w:rPr>
                <w:color w:val="000000"/>
                <w:sz w:val="24"/>
              </w:rPr>
              <w:t>600030</w:t>
            </w:r>
          </w:p>
        </w:tc>
        <w:tc>
          <w:tcPr>
            <w:tcW w:w="1769" w:type="dxa"/>
            <w:vAlign w:val="center"/>
          </w:tcPr>
          <w:p w:rsidR="00546C61" w:rsidRDefault="00341149">
            <w:pPr>
              <w:jc w:val="center"/>
            </w:pPr>
            <w:r>
              <w:rPr>
                <w:color w:val="000000"/>
                <w:sz w:val="24"/>
              </w:rPr>
              <w:t>中信证券</w:t>
            </w:r>
          </w:p>
        </w:tc>
        <w:tc>
          <w:tcPr>
            <w:tcW w:w="1327" w:type="dxa"/>
            <w:vAlign w:val="center"/>
          </w:tcPr>
          <w:p w:rsidR="00546C61" w:rsidRDefault="00341149">
            <w:pPr>
              <w:jc w:val="right"/>
            </w:pPr>
            <w:r>
              <w:rPr>
                <w:color w:val="000000"/>
                <w:sz w:val="24"/>
              </w:rPr>
              <w:t>1,136,560</w:t>
            </w:r>
          </w:p>
        </w:tc>
        <w:tc>
          <w:tcPr>
            <w:tcW w:w="1915" w:type="dxa"/>
            <w:vAlign w:val="center"/>
          </w:tcPr>
          <w:p w:rsidR="00546C61" w:rsidRDefault="00341149">
            <w:pPr>
              <w:jc w:val="right"/>
            </w:pPr>
            <w:r>
              <w:rPr>
                <w:color w:val="000000"/>
                <w:sz w:val="24"/>
              </w:rPr>
              <w:t>15,434,484.80</w:t>
            </w:r>
          </w:p>
        </w:tc>
        <w:tc>
          <w:tcPr>
            <w:tcW w:w="1680" w:type="dxa"/>
            <w:vAlign w:val="center"/>
          </w:tcPr>
          <w:p w:rsidR="00546C61" w:rsidRDefault="00341149">
            <w:pPr>
              <w:jc w:val="right"/>
            </w:pPr>
            <w:r>
              <w:rPr>
                <w:color w:val="000000"/>
                <w:sz w:val="24"/>
              </w:rPr>
              <w:t>2.73</w:t>
            </w:r>
          </w:p>
        </w:tc>
      </w:tr>
      <w:tr w:rsidR="00546C61">
        <w:trPr>
          <w:jc w:val="center"/>
        </w:trPr>
        <w:tc>
          <w:tcPr>
            <w:tcW w:w="850" w:type="dxa"/>
            <w:vAlign w:val="center"/>
          </w:tcPr>
          <w:p w:rsidR="00546C61" w:rsidRDefault="00341149">
            <w:pPr>
              <w:jc w:val="center"/>
            </w:pPr>
            <w:r>
              <w:rPr>
                <w:color w:val="000000"/>
                <w:sz w:val="24"/>
              </w:rPr>
              <w:t>7</w:t>
            </w:r>
          </w:p>
        </w:tc>
        <w:tc>
          <w:tcPr>
            <w:tcW w:w="1327" w:type="dxa"/>
            <w:vAlign w:val="center"/>
          </w:tcPr>
          <w:p w:rsidR="00546C61" w:rsidRDefault="00341149">
            <w:pPr>
              <w:jc w:val="center"/>
            </w:pPr>
            <w:r>
              <w:rPr>
                <w:color w:val="000000"/>
                <w:sz w:val="24"/>
              </w:rPr>
              <w:t>601398</w:t>
            </w:r>
          </w:p>
        </w:tc>
        <w:tc>
          <w:tcPr>
            <w:tcW w:w="1769" w:type="dxa"/>
            <w:vAlign w:val="center"/>
          </w:tcPr>
          <w:p w:rsidR="00546C61" w:rsidRDefault="00341149">
            <w:pPr>
              <w:jc w:val="center"/>
            </w:pPr>
            <w:r>
              <w:rPr>
                <w:color w:val="000000"/>
                <w:sz w:val="24"/>
              </w:rPr>
              <w:t>工商银行</w:t>
            </w:r>
          </w:p>
        </w:tc>
        <w:tc>
          <w:tcPr>
            <w:tcW w:w="1327" w:type="dxa"/>
            <w:vAlign w:val="center"/>
          </w:tcPr>
          <w:p w:rsidR="00546C61" w:rsidRDefault="00341149">
            <w:pPr>
              <w:jc w:val="right"/>
            </w:pPr>
            <w:r>
              <w:rPr>
                <w:color w:val="000000"/>
                <w:sz w:val="24"/>
              </w:rPr>
              <w:t>3,528,551</w:t>
            </w:r>
          </w:p>
        </w:tc>
        <w:tc>
          <w:tcPr>
            <w:tcW w:w="1915" w:type="dxa"/>
            <w:vAlign w:val="center"/>
          </w:tcPr>
          <w:p w:rsidR="00546C61" w:rsidRDefault="00341149">
            <w:pPr>
              <w:jc w:val="right"/>
            </w:pPr>
            <w:r>
              <w:rPr>
                <w:color w:val="000000"/>
                <w:sz w:val="24"/>
              </w:rPr>
              <w:t>15,243,340.32</w:t>
            </w:r>
          </w:p>
        </w:tc>
        <w:tc>
          <w:tcPr>
            <w:tcW w:w="1680" w:type="dxa"/>
            <w:vAlign w:val="center"/>
          </w:tcPr>
          <w:p w:rsidR="00546C61" w:rsidRDefault="00341149">
            <w:pPr>
              <w:jc w:val="right"/>
            </w:pPr>
            <w:r>
              <w:rPr>
                <w:color w:val="000000"/>
                <w:sz w:val="24"/>
              </w:rPr>
              <w:t>2.69</w:t>
            </w:r>
          </w:p>
        </w:tc>
      </w:tr>
      <w:tr w:rsidR="00546C61">
        <w:trPr>
          <w:jc w:val="center"/>
        </w:trPr>
        <w:tc>
          <w:tcPr>
            <w:tcW w:w="850" w:type="dxa"/>
            <w:vAlign w:val="center"/>
          </w:tcPr>
          <w:p w:rsidR="00546C61" w:rsidRDefault="00341149">
            <w:pPr>
              <w:jc w:val="center"/>
            </w:pPr>
            <w:r>
              <w:rPr>
                <w:color w:val="000000"/>
                <w:sz w:val="24"/>
              </w:rPr>
              <w:t>8</w:t>
            </w:r>
          </w:p>
        </w:tc>
        <w:tc>
          <w:tcPr>
            <w:tcW w:w="1327" w:type="dxa"/>
            <w:vAlign w:val="center"/>
          </w:tcPr>
          <w:p w:rsidR="00546C61" w:rsidRDefault="00341149">
            <w:pPr>
              <w:jc w:val="center"/>
            </w:pPr>
            <w:r>
              <w:rPr>
                <w:color w:val="000000"/>
                <w:sz w:val="24"/>
              </w:rPr>
              <w:t>600900</w:t>
            </w:r>
          </w:p>
        </w:tc>
        <w:tc>
          <w:tcPr>
            <w:tcW w:w="1769" w:type="dxa"/>
            <w:vAlign w:val="center"/>
          </w:tcPr>
          <w:p w:rsidR="00546C61" w:rsidRDefault="00341149">
            <w:pPr>
              <w:jc w:val="center"/>
            </w:pPr>
            <w:r>
              <w:rPr>
                <w:color w:val="000000"/>
                <w:sz w:val="24"/>
              </w:rPr>
              <w:t>长江电力</w:t>
            </w:r>
          </w:p>
        </w:tc>
        <w:tc>
          <w:tcPr>
            <w:tcW w:w="1327" w:type="dxa"/>
            <w:vAlign w:val="center"/>
          </w:tcPr>
          <w:p w:rsidR="00546C61" w:rsidRDefault="00341149">
            <w:pPr>
              <w:jc w:val="right"/>
            </w:pPr>
            <w:r>
              <w:rPr>
                <w:color w:val="000000"/>
                <w:sz w:val="24"/>
              </w:rPr>
              <w:t>1,056,640</w:t>
            </w:r>
          </w:p>
        </w:tc>
        <w:tc>
          <w:tcPr>
            <w:tcW w:w="1915" w:type="dxa"/>
            <w:vAlign w:val="center"/>
          </w:tcPr>
          <w:p w:rsidR="00546C61" w:rsidRDefault="00341149">
            <w:pPr>
              <w:jc w:val="right"/>
            </w:pPr>
            <w:r>
              <w:rPr>
                <w:color w:val="000000"/>
                <w:sz w:val="24"/>
              </w:rPr>
              <w:t>15,162,784.00</w:t>
            </w:r>
          </w:p>
        </w:tc>
        <w:tc>
          <w:tcPr>
            <w:tcW w:w="1680" w:type="dxa"/>
            <w:vAlign w:val="center"/>
          </w:tcPr>
          <w:p w:rsidR="00546C61" w:rsidRDefault="00341149">
            <w:pPr>
              <w:jc w:val="right"/>
            </w:pPr>
            <w:r>
              <w:rPr>
                <w:color w:val="000000"/>
                <w:sz w:val="24"/>
              </w:rPr>
              <w:t>2.68</w:t>
            </w:r>
          </w:p>
        </w:tc>
      </w:tr>
      <w:tr w:rsidR="00546C61">
        <w:trPr>
          <w:jc w:val="center"/>
        </w:trPr>
        <w:tc>
          <w:tcPr>
            <w:tcW w:w="850" w:type="dxa"/>
            <w:vAlign w:val="center"/>
          </w:tcPr>
          <w:p w:rsidR="00546C61" w:rsidRDefault="00341149">
            <w:pPr>
              <w:jc w:val="center"/>
            </w:pPr>
            <w:r>
              <w:rPr>
                <w:color w:val="000000"/>
                <w:sz w:val="24"/>
              </w:rPr>
              <w:t>9</w:t>
            </w:r>
          </w:p>
        </w:tc>
        <w:tc>
          <w:tcPr>
            <w:tcW w:w="1327" w:type="dxa"/>
            <w:vAlign w:val="center"/>
          </w:tcPr>
          <w:p w:rsidR="00546C61" w:rsidRDefault="00341149">
            <w:pPr>
              <w:jc w:val="center"/>
            </w:pPr>
            <w:r>
              <w:rPr>
                <w:color w:val="000000"/>
                <w:sz w:val="24"/>
              </w:rPr>
              <w:t>600837</w:t>
            </w:r>
          </w:p>
        </w:tc>
        <w:tc>
          <w:tcPr>
            <w:tcW w:w="1769" w:type="dxa"/>
            <w:vAlign w:val="center"/>
          </w:tcPr>
          <w:p w:rsidR="00546C61" w:rsidRDefault="00341149">
            <w:pPr>
              <w:jc w:val="center"/>
            </w:pPr>
            <w:r>
              <w:rPr>
                <w:color w:val="000000"/>
                <w:sz w:val="24"/>
              </w:rPr>
              <w:t>海通证券</w:t>
            </w:r>
          </w:p>
        </w:tc>
        <w:tc>
          <w:tcPr>
            <w:tcW w:w="1327" w:type="dxa"/>
            <w:vAlign w:val="center"/>
          </w:tcPr>
          <w:p w:rsidR="00546C61" w:rsidRDefault="00341149">
            <w:pPr>
              <w:jc w:val="right"/>
            </w:pPr>
            <w:r>
              <w:rPr>
                <w:color w:val="000000"/>
                <w:sz w:val="24"/>
              </w:rPr>
              <w:t>1,171,679</w:t>
            </w:r>
          </w:p>
        </w:tc>
        <w:tc>
          <w:tcPr>
            <w:tcW w:w="1915" w:type="dxa"/>
            <w:vAlign w:val="center"/>
          </w:tcPr>
          <w:p w:rsidR="00546C61" w:rsidRDefault="00341149">
            <w:pPr>
              <w:jc w:val="right"/>
            </w:pPr>
            <w:r>
              <w:rPr>
                <w:color w:val="000000"/>
                <w:sz w:val="24"/>
              </w:rPr>
              <w:t>14,938,907.25</w:t>
            </w:r>
          </w:p>
        </w:tc>
        <w:tc>
          <w:tcPr>
            <w:tcW w:w="1680" w:type="dxa"/>
            <w:vAlign w:val="center"/>
          </w:tcPr>
          <w:p w:rsidR="00546C61" w:rsidRDefault="00341149">
            <w:pPr>
              <w:jc w:val="right"/>
            </w:pPr>
            <w:r>
              <w:rPr>
                <w:color w:val="000000"/>
                <w:sz w:val="24"/>
              </w:rPr>
              <w:t>2.64</w:t>
            </w:r>
          </w:p>
        </w:tc>
      </w:tr>
      <w:tr w:rsidR="00546C61">
        <w:trPr>
          <w:jc w:val="center"/>
        </w:trPr>
        <w:tc>
          <w:tcPr>
            <w:tcW w:w="850" w:type="dxa"/>
            <w:vAlign w:val="center"/>
          </w:tcPr>
          <w:p w:rsidR="00546C61" w:rsidRDefault="00341149">
            <w:pPr>
              <w:jc w:val="center"/>
            </w:pPr>
            <w:r>
              <w:rPr>
                <w:color w:val="000000"/>
                <w:sz w:val="24"/>
              </w:rPr>
              <w:t>10</w:t>
            </w:r>
          </w:p>
        </w:tc>
        <w:tc>
          <w:tcPr>
            <w:tcW w:w="1327" w:type="dxa"/>
            <w:vAlign w:val="center"/>
          </w:tcPr>
          <w:p w:rsidR="00546C61" w:rsidRDefault="00341149">
            <w:pPr>
              <w:jc w:val="center"/>
            </w:pPr>
            <w:r>
              <w:rPr>
                <w:color w:val="000000"/>
                <w:sz w:val="24"/>
              </w:rPr>
              <w:t>601989</w:t>
            </w:r>
          </w:p>
        </w:tc>
        <w:tc>
          <w:tcPr>
            <w:tcW w:w="1769" w:type="dxa"/>
            <w:vAlign w:val="center"/>
          </w:tcPr>
          <w:p w:rsidR="00546C61" w:rsidRDefault="00341149">
            <w:pPr>
              <w:jc w:val="center"/>
            </w:pPr>
            <w:r>
              <w:rPr>
                <w:color w:val="000000"/>
                <w:sz w:val="24"/>
              </w:rPr>
              <w:t>中国重工</w:t>
            </w:r>
          </w:p>
        </w:tc>
        <w:tc>
          <w:tcPr>
            <w:tcW w:w="1327" w:type="dxa"/>
            <w:vAlign w:val="center"/>
          </w:tcPr>
          <w:p w:rsidR="00546C61" w:rsidRDefault="00341149">
            <w:pPr>
              <w:jc w:val="right"/>
            </w:pPr>
            <w:r>
              <w:rPr>
                <w:color w:val="000000"/>
                <w:sz w:val="24"/>
              </w:rPr>
              <w:t>1,325,281</w:t>
            </w:r>
          </w:p>
        </w:tc>
        <w:tc>
          <w:tcPr>
            <w:tcW w:w="1915" w:type="dxa"/>
            <w:vAlign w:val="center"/>
          </w:tcPr>
          <w:p w:rsidR="00546C61" w:rsidRDefault="00341149">
            <w:pPr>
              <w:jc w:val="right"/>
            </w:pPr>
            <w:r>
              <w:rPr>
                <w:color w:val="000000"/>
                <w:sz w:val="24"/>
              </w:rPr>
              <w:t>13,266,062.81</w:t>
            </w:r>
          </w:p>
        </w:tc>
        <w:tc>
          <w:tcPr>
            <w:tcW w:w="1680" w:type="dxa"/>
            <w:vAlign w:val="center"/>
          </w:tcPr>
          <w:p w:rsidR="00546C61" w:rsidRDefault="00341149">
            <w:pPr>
              <w:jc w:val="right"/>
            </w:pPr>
            <w:r>
              <w:rPr>
                <w:color w:val="000000"/>
                <w:sz w:val="24"/>
              </w:rPr>
              <w:t>2.35</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546C61">
        <w:trPr>
          <w:jc w:val="center"/>
        </w:trPr>
        <w:tc>
          <w:tcPr>
            <w:tcW w:w="850" w:type="dxa"/>
            <w:vAlign w:val="center"/>
          </w:tcPr>
          <w:p w:rsidR="00546C61" w:rsidRDefault="00341149">
            <w:pPr>
              <w:jc w:val="center"/>
            </w:pPr>
            <w:r>
              <w:rPr>
                <w:color w:val="000000"/>
                <w:sz w:val="24"/>
              </w:rPr>
              <w:t>1</w:t>
            </w:r>
          </w:p>
        </w:tc>
        <w:tc>
          <w:tcPr>
            <w:tcW w:w="1327" w:type="dxa"/>
            <w:vAlign w:val="center"/>
          </w:tcPr>
          <w:p w:rsidR="00546C61" w:rsidRDefault="00341149">
            <w:pPr>
              <w:jc w:val="center"/>
            </w:pPr>
            <w:r>
              <w:rPr>
                <w:color w:val="000000"/>
                <w:sz w:val="24"/>
              </w:rPr>
              <w:t>600499</w:t>
            </w:r>
          </w:p>
        </w:tc>
        <w:tc>
          <w:tcPr>
            <w:tcW w:w="1769" w:type="dxa"/>
            <w:vAlign w:val="center"/>
          </w:tcPr>
          <w:p w:rsidR="00546C61" w:rsidRDefault="00341149">
            <w:pPr>
              <w:jc w:val="center"/>
            </w:pPr>
            <w:r>
              <w:rPr>
                <w:color w:val="000000"/>
                <w:sz w:val="24"/>
              </w:rPr>
              <w:t>科达洁能</w:t>
            </w:r>
          </w:p>
        </w:tc>
        <w:tc>
          <w:tcPr>
            <w:tcW w:w="1327" w:type="dxa"/>
            <w:vAlign w:val="center"/>
          </w:tcPr>
          <w:p w:rsidR="00546C61" w:rsidRDefault="00341149">
            <w:pPr>
              <w:jc w:val="right"/>
            </w:pPr>
            <w:r>
              <w:rPr>
                <w:color w:val="000000"/>
                <w:sz w:val="24"/>
              </w:rPr>
              <w:t>110,555</w:t>
            </w:r>
          </w:p>
        </w:tc>
        <w:tc>
          <w:tcPr>
            <w:tcW w:w="1915" w:type="dxa"/>
            <w:vAlign w:val="center"/>
          </w:tcPr>
          <w:p w:rsidR="00546C61" w:rsidRDefault="00341149">
            <w:pPr>
              <w:jc w:val="right"/>
            </w:pPr>
            <w:r>
              <w:rPr>
                <w:color w:val="000000"/>
                <w:sz w:val="24"/>
              </w:rPr>
              <w:t>3,276,850.20</w:t>
            </w:r>
          </w:p>
        </w:tc>
        <w:tc>
          <w:tcPr>
            <w:tcW w:w="1680" w:type="dxa"/>
            <w:vAlign w:val="center"/>
          </w:tcPr>
          <w:p w:rsidR="00546C61" w:rsidRDefault="00341149">
            <w:pPr>
              <w:jc w:val="right"/>
            </w:pPr>
            <w:r>
              <w:rPr>
                <w:color w:val="000000"/>
                <w:sz w:val="24"/>
              </w:rPr>
              <w:t>0.58</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报告期内本基金投资的前十名证券的发行主体除中信证券（证券代码：</w:t>
      </w:r>
      <w:r w:rsidRPr="008119CB">
        <w:rPr>
          <w:color w:val="000000"/>
          <w:kern w:val="0"/>
          <w:sz w:val="24"/>
        </w:rPr>
        <w:t>600030</w:t>
      </w:r>
      <w:r w:rsidRPr="008119CB">
        <w:rPr>
          <w:color w:val="000000"/>
          <w:kern w:val="0"/>
          <w:sz w:val="24"/>
        </w:rPr>
        <w:t>）、海通证券（证券代码：</w:t>
      </w:r>
      <w:r w:rsidRPr="008119CB">
        <w:rPr>
          <w:color w:val="000000"/>
          <w:kern w:val="0"/>
          <w:sz w:val="24"/>
        </w:rPr>
        <w:t>600837</w:t>
      </w:r>
      <w:r w:rsidRPr="008119CB">
        <w:rPr>
          <w:color w:val="000000"/>
          <w:kern w:val="0"/>
          <w:sz w:val="24"/>
        </w:rPr>
        <w:t>）外，未出现被监管部门立案调查，或在报告编制日前一年内受到公开谴责、处罚的情形。</w:t>
      </w:r>
    </w:p>
    <w:p w:rsidR="00546C61" w:rsidRDefault="00341149">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报告期内本基金投资的前十名证券之一中信证券（证券代码：</w:t>
      </w:r>
      <w:r>
        <w:rPr>
          <w:color w:val="000000"/>
          <w:kern w:val="0"/>
          <w:sz w:val="24"/>
        </w:rPr>
        <w:t>600030</w:t>
      </w:r>
      <w:r>
        <w:rPr>
          <w:color w:val="000000"/>
          <w:kern w:val="0"/>
          <w:sz w:val="24"/>
        </w:rPr>
        <w:t>）于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18</w:t>
      </w:r>
      <w:r>
        <w:rPr>
          <w:color w:val="000000"/>
          <w:kern w:val="0"/>
          <w:sz w:val="24"/>
        </w:rPr>
        <w:t>日公告，公司因存在为到期融资融券合约展期的问题，被中国证监会采取暂停新开融资融券客户信用账户</w:t>
      </w:r>
      <w:r>
        <w:rPr>
          <w:color w:val="000000"/>
          <w:kern w:val="0"/>
          <w:sz w:val="24"/>
        </w:rPr>
        <w:t>3</w:t>
      </w:r>
      <w:r>
        <w:rPr>
          <w:color w:val="000000"/>
          <w:kern w:val="0"/>
          <w:sz w:val="24"/>
        </w:rPr>
        <w:t>个月的行政监管措施。</w:t>
      </w:r>
    </w:p>
    <w:p w:rsidR="00546C61" w:rsidRDefault="00341149">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报告期内本基金投资的前十名证券之一海通证券（证券代码：</w:t>
      </w:r>
      <w:r>
        <w:rPr>
          <w:color w:val="000000"/>
          <w:kern w:val="0"/>
          <w:sz w:val="24"/>
        </w:rPr>
        <w:t>600837</w:t>
      </w:r>
      <w:r>
        <w:rPr>
          <w:color w:val="000000"/>
          <w:kern w:val="0"/>
          <w:sz w:val="24"/>
        </w:rPr>
        <w:t>）于</w:t>
      </w:r>
      <w:r>
        <w:rPr>
          <w:color w:val="000000"/>
          <w:kern w:val="0"/>
          <w:sz w:val="24"/>
        </w:rPr>
        <w:t>2015</w:t>
      </w:r>
      <w:r>
        <w:rPr>
          <w:color w:val="000000"/>
          <w:kern w:val="0"/>
          <w:sz w:val="24"/>
        </w:rPr>
        <w:t>年</w:t>
      </w:r>
      <w:r>
        <w:rPr>
          <w:color w:val="000000"/>
          <w:kern w:val="0"/>
          <w:sz w:val="24"/>
        </w:rPr>
        <w:t>8</w:t>
      </w:r>
      <w:r>
        <w:rPr>
          <w:color w:val="000000"/>
          <w:kern w:val="0"/>
          <w:sz w:val="24"/>
        </w:rPr>
        <w:t>月</w:t>
      </w:r>
      <w:r>
        <w:rPr>
          <w:color w:val="000000"/>
          <w:kern w:val="0"/>
          <w:sz w:val="24"/>
        </w:rPr>
        <w:t>25</w:t>
      </w:r>
      <w:r>
        <w:rPr>
          <w:color w:val="000000"/>
          <w:kern w:val="0"/>
          <w:sz w:val="24"/>
        </w:rPr>
        <w:t>日公告，公司于</w:t>
      </w:r>
      <w:r>
        <w:rPr>
          <w:color w:val="000000"/>
          <w:kern w:val="0"/>
          <w:sz w:val="24"/>
        </w:rPr>
        <w:t>2015</w:t>
      </w:r>
      <w:r>
        <w:rPr>
          <w:color w:val="000000"/>
          <w:kern w:val="0"/>
          <w:sz w:val="24"/>
        </w:rPr>
        <w:t>年</w:t>
      </w:r>
      <w:r>
        <w:rPr>
          <w:color w:val="000000"/>
          <w:kern w:val="0"/>
          <w:sz w:val="24"/>
        </w:rPr>
        <w:t>8</w:t>
      </w:r>
      <w:r>
        <w:rPr>
          <w:color w:val="000000"/>
          <w:kern w:val="0"/>
          <w:sz w:val="24"/>
        </w:rPr>
        <w:t>月</w:t>
      </w:r>
      <w:r>
        <w:rPr>
          <w:color w:val="000000"/>
          <w:kern w:val="0"/>
          <w:sz w:val="24"/>
        </w:rPr>
        <w:t>24</w:t>
      </w:r>
      <w:r>
        <w:rPr>
          <w:color w:val="000000"/>
          <w:kern w:val="0"/>
          <w:sz w:val="24"/>
        </w:rPr>
        <w:t>日收到中国证监会《调查通知书》。公司因涉嫌未按规定审查、了解客户身份等违法违规行为，根据《中华人民共和国证券法》的有关规定，中国证监会决定对公司进行立案调查；公司于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19</w:t>
      </w:r>
      <w:r>
        <w:rPr>
          <w:color w:val="000000"/>
          <w:kern w:val="0"/>
          <w:sz w:val="24"/>
        </w:rPr>
        <w:t>日公告，公司因存在违规为到期融资融券合约展期问题，被中国证监会采取暂停新开融资融券客户信用账户</w:t>
      </w:r>
      <w:r>
        <w:rPr>
          <w:color w:val="000000"/>
          <w:kern w:val="0"/>
          <w:sz w:val="24"/>
        </w:rPr>
        <w:t>3</w:t>
      </w:r>
      <w:r>
        <w:rPr>
          <w:color w:val="000000"/>
          <w:kern w:val="0"/>
          <w:sz w:val="24"/>
        </w:rPr>
        <w:t>个月的行政监管措施。</w:t>
      </w:r>
    </w:p>
    <w:p w:rsidR="00546C61" w:rsidRDefault="00341149">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89,269.03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2,008.79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15,124.17</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106,401.99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546C61">
        <w:trPr>
          <w:jc w:val="center"/>
        </w:trPr>
        <w:tc>
          <w:tcPr>
            <w:tcW w:w="1129" w:type="dxa"/>
            <w:vAlign w:val="center"/>
          </w:tcPr>
          <w:p w:rsidR="00546C61" w:rsidRDefault="00341149">
            <w:pPr>
              <w:jc w:val="center"/>
            </w:pPr>
            <w:r>
              <w:rPr>
                <w:color w:val="000000"/>
                <w:sz w:val="24"/>
              </w:rPr>
              <w:t>1</w:t>
            </w:r>
          </w:p>
        </w:tc>
        <w:tc>
          <w:tcPr>
            <w:tcW w:w="1356" w:type="dxa"/>
            <w:vAlign w:val="center"/>
          </w:tcPr>
          <w:p w:rsidR="00546C61" w:rsidRDefault="00341149">
            <w:pPr>
              <w:jc w:val="center"/>
            </w:pPr>
            <w:r>
              <w:rPr>
                <w:color w:val="000000"/>
                <w:sz w:val="24"/>
              </w:rPr>
              <w:t>600900</w:t>
            </w:r>
          </w:p>
        </w:tc>
        <w:tc>
          <w:tcPr>
            <w:tcW w:w="1355" w:type="dxa"/>
            <w:vAlign w:val="center"/>
          </w:tcPr>
          <w:p w:rsidR="00546C61" w:rsidRDefault="00341149">
            <w:pPr>
              <w:jc w:val="center"/>
            </w:pPr>
            <w:r>
              <w:rPr>
                <w:color w:val="000000"/>
                <w:sz w:val="24"/>
              </w:rPr>
              <w:t>长江电力</w:t>
            </w:r>
          </w:p>
        </w:tc>
        <w:tc>
          <w:tcPr>
            <w:tcW w:w="1880" w:type="dxa"/>
            <w:vAlign w:val="center"/>
          </w:tcPr>
          <w:p w:rsidR="00546C61" w:rsidRDefault="00341149">
            <w:pPr>
              <w:jc w:val="right"/>
            </w:pPr>
            <w:r>
              <w:rPr>
                <w:color w:val="000000"/>
                <w:sz w:val="24"/>
              </w:rPr>
              <w:t>15,162,784.00</w:t>
            </w:r>
          </w:p>
        </w:tc>
        <w:tc>
          <w:tcPr>
            <w:tcW w:w="1724" w:type="dxa"/>
            <w:vAlign w:val="center"/>
          </w:tcPr>
          <w:p w:rsidR="00546C61" w:rsidRDefault="00341149">
            <w:pPr>
              <w:jc w:val="right"/>
            </w:pPr>
            <w:r>
              <w:rPr>
                <w:color w:val="000000"/>
                <w:sz w:val="24"/>
              </w:rPr>
              <w:t>2.68</w:t>
            </w:r>
          </w:p>
        </w:tc>
        <w:tc>
          <w:tcPr>
            <w:tcW w:w="1424" w:type="dxa"/>
            <w:vAlign w:val="center"/>
          </w:tcPr>
          <w:p w:rsidR="00546C61" w:rsidRDefault="00341149">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546C61">
        <w:trPr>
          <w:jc w:val="center"/>
        </w:trPr>
        <w:tc>
          <w:tcPr>
            <w:tcW w:w="1129" w:type="dxa"/>
            <w:vAlign w:val="center"/>
          </w:tcPr>
          <w:p w:rsidR="00546C61" w:rsidRDefault="00341149">
            <w:pPr>
              <w:jc w:val="center"/>
            </w:pPr>
            <w:r>
              <w:rPr>
                <w:color w:val="000000"/>
                <w:sz w:val="24"/>
              </w:rPr>
              <w:t>1</w:t>
            </w:r>
          </w:p>
        </w:tc>
        <w:tc>
          <w:tcPr>
            <w:tcW w:w="1356" w:type="dxa"/>
            <w:vAlign w:val="center"/>
          </w:tcPr>
          <w:p w:rsidR="00546C61" w:rsidRDefault="00341149">
            <w:pPr>
              <w:jc w:val="center"/>
            </w:pPr>
            <w:r>
              <w:rPr>
                <w:color w:val="000000"/>
                <w:sz w:val="24"/>
              </w:rPr>
              <w:t>600499</w:t>
            </w:r>
          </w:p>
        </w:tc>
        <w:tc>
          <w:tcPr>
            <w:tcW w:w="1355" w:type="dxa"/>
            <w:vAlign w:val="center"/>
          </w:tcPr>
          <w:p w:rsidR="00546C61" w:rsidRDefault="00341149">
            <w:pPr>
              <w:jc w:val="center"/>
            </w:pPr>
            <w:r>
              <w:rPr>
                <w:color w:val="000000"/>
                <w:sz w:val="24"/>
              </w:rPr>
              <w:t>科达洁能</w:t>
            </w:r>
          </w:p>
        </w:tc>
        <w:tc>
          <w:tcPr>
            <w:tcW w:w="1880" w:type="dxa"/>
            <w:vAlign w:val="center"/>
          </w:tcPr>
          <w:p w:rsidR="00546C61" w:rsidRDefault="00341149">
            <w:pPr>
              <w:jc w:val="right"/>
            </w:pPr>
            <w:r>
              <w:rPr>
                <w:color w:val="000000"/>
                <w:sz w:val="24"/>
              </w:rPr>
              <w:t>3,276,850.20</w:t>
            </w:r>
          </w:p>
        </w:tc>
        <w:tc>
          <w:tcPr>
            <w:tcW w:w="1724" w:type="dxa"/>
            <w:vAlign w:val="center"/>
          </w:tcPr>
          <w:p w:rsidR="00546C61" w:rsidRDefault="00341149">
            <w:pPr>
              <w:jc w:val="right"/>
            </w:pPr>
            <w:r>
              <w:rPr>
                <w:color w:val="000000"/>
                <w:sz w:val="24"/>
              </w:rPr>
              <w:t>0.58</w:t>
            </w:r>
          </w:p>
        </w:tc>
        <w:tc>
          <w:tcPr>
            <w:tcW w:w="1424" w:type="dxa"/>
            <w:vAlign w:val="center"/>
          </w:tcPr>
          <w:p w:rsidR="00546C61" w:rsidRDefault="00341149">
            <w:pPr>
              <w:jc w:val="right"/>
            </w:pPr>
            <w:r>
              <w:rPr>
                <w:color w:val="000000"/>
                <w:sz w:val="24"/>
              </w:rPr>
              <w:t>重大事项</w:t>
            </w:r>
          </w:p>
        </w:tc>
      </w:tr>
    </w:tbl>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977,524,362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12,035,000,000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12,401,000,000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611,524,362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2942A1">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2942A1">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546C61" w:rsidRDefault="00341149">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546C61" w:rsidRDefault="00341149">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546C61" w:rsidRDefault="00341149">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546C61" w:rsidRDefault="00341149">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546C61" w:rsidRDefault="00341149">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546C61" w:rsidRDefault="0034114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46C61" w:rsidRDefault="0034114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546C61" w:rsidRDefault="0034114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49" w:rsidRDefault="003D1D49">
      <w:r>
        <w:separator/>
      </w:r>
    </w:p>
  </w:endnote>
  <w:endnote w:type="continuationSeparator" w:id="0">
    <w:p w:rsidR="003D1D49" w:rsidRDefault="003D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0D606F">
      <w:rPr>
        <w:kern w:val="0"/>
        <w:szCs w:val="21"/>
      </w:rPr>
      <w:fldChar w:fldCharType="begin"/>
    </w:r>
    <w:r>
      <w:rPr>
        <w:kern w:val="0"/>
        <w:szCs w:val="21"/>
      </w:rPr>
      <w:instrText xml:space="preserve"> PAGE </w:instrText>
    </w:r>
    <w:r w:rsidR="000D606F">
      <w:rPr>
        <w:kern w:val="0"/>
        <w:szCs w:val="21"/>
      </w:rPr>
      <w:fldChar w:fldCharType="separate"/>
    </w:r>
    <w:r w:rsidR="005B7F3D">
      <w:rPr>
        <w:noProof/>
        <w:kern w:val="0"/>
        <w:szCs w:val="21"/>
      </w:rPr>
      <w:t>10</w:t>
    </w:r>
    <w:r w:rsidR="000D606F">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0D606F">
      <w:rPr>
        <w:kern w:val="0"/>
        <w:szCs w:val="21"/>
      </w:rPr>
      <w:fldChar w:fldCharType="begin"/>
    </w:r>
    <w:r>
      <w:rPr>
        <w:kern w:val="0"/>
        <w:szCs w:val="21"/>
      </w:rPr>
      <w:instrText xml:space="preserve"> NUMPAGES </w:instrText>
    </w:r>
    <w:r w:rsidR="000D606F">
      <w:rPr>
        <w:kern w:val="0"/>
        <w:szCs w:val="21"/>
      </w:rPr>
      <w:fldChar w:fldCharType="separate"/>
    </w:r>
    <w:r w:rsidR="005B7F3D">
      <w:rPr>
        <w:noProof/>
        <w:kern w:val="0"/>
        <w:szCs w:val="21"/>
      </w:rPr>
      <w:t>13</w:t>
    </w:r>
    <w:r w:rsidR="000D606F">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0D606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49" w:rsidRDefault="003D1D49">
      <w:r>
        <w:separator/>
      </w:r>
    </w:p>
  </w:footnote>
  <w:footnote w:type="continuationSeparator" w:id="0">
    <w:p w:rsidR="003D1D49" w:rsidRDefault="003D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0F49"/>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49"/>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1D49"/>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6C61"/>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B7F3D"/>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3F67"/>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ACC9A077-56FF-4598-9E4C-A57CC865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13</Pages>
  <Words>1127</Words>
  <Characters>6428</Characters>
  <Application>Microsoft Office Word</Application>
  <DocSecurity>0</DocSecurity>
  <Lines>53</Lines>
  <Paragraphs>15</Paragraphs>
  <ScaleCrop>false</ScaleCrop>
  <Company>TRT. Ltd. Co.</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382</cp:revision>
  <cp:lastPrinted>2007-07-19T00:46:00Z</cp:lastPrinted>
  <dcterms:created xsi:type="dcterms:W3CDTF">2012-11-21T04:46:00Z</dcterms:created>
  <dcterms:modified xsi:type="dcterms:W3CDTF">2015-10-23T07:09:00Z</dcterms:modified>
</cp:coreProperties>
</file>