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65352" w:rsidRDefault="00CA548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365352" w:rsidRDefault="00CA548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365352" w:rsidRDefault="00CA548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365352" w:rsidRDefault="00CA548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365352" w:rsidRDefault="00CA548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3,428,591,285.94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172B9" w:rsidRPr="00414345" w:rsidTr="006172B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172B9" w:rsidRPr="00414345" w:rsidTr="006172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4,497,731.70</w:t>
            </w:r>
          </w:p>
        </w:tc>
      </w:tr>
      <w:tr w:rsidR="006172B9" w:rsidRPr="00414345" w:rsidTr="006172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-756,340,629.92</w:t>
            </w:r>
          </w:p>
        </w:tc>
      </w:tr>
      <w:tr w:rsidR="006172B9" w:rsidRPr="00414345" w:rsidTr="006172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-0.2230</w:t>
            </w:r>
          </w:p>
        </w:tc>
      </w:tr>
      <w:tr w:rsidR="006172B9" w:rsidRPr="00414345" w:rsidTr="006172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2,643,090,802.50</w:t>
            </w:r>
          </w:p>
        </w:tc>
      </w:tr>
      <w:tr w:rsidR="006172B9" w:rsidRPr="00414345" w:rsidTr="006172B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0.7709</w:t>
            </w:r>
          </w:p>
        </w:tc>
      </w:tr>
    </w:tbl>
    <w:p w:rsidR="00365352" w:rsidRDefault="00CA548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65352">
        <w:trPr>
          <w:jc w:val="center"/>
        </w:trPr>
        <w:tc>
          <w:tcPr>
            <w:tcW w:w="1701" w:type="dxa"/>
            <w:vAlign w:val="center"/>
          </w:tcPr>
          <w:p w:rsidR="00365352" w:rsidRDefault="00CA5482">
            <w:pPr>
              <w:jc w:val="left"/>
            </w:pPr>
            <w:r>
              <w:rPr>
                <w:color w:val="000000"/>
                <w:sz w:val="24"/>
                <w:szCs w:val="24"/>
              </w:rPr>
              <w:t>过去三个月</w:t>
            </w:r>
          </w:p>
        </w:tc>
        <w:tc>
          <w:tcPr>
            <w:tcW w:w="1045" w:type="dxa"/>
            <w:vAlign w:val="center"/>
          </w:tcPr>
          <w:p w:rsidR="00365352" w:rsidRDefault="00CA5482">
            <w:pPr>
              <w:jc w:val="center"/>
            </w:pPr>
            <w:r>
              <w:rPr>
                <w:color w:val="000000"/>
                <w:sz w:val="24"/>
                <w:szCs w:val="24"/>
              </w:rPr>
              <w:t>-19.82%</w:t>
            </w:r>
          </w:p>
        </w:tc>
        <w:tc>
          <w:tcPr>
            <w:tcW w:w="1344" w:type="dxa"/>
            <w:vAlign w:val="center"/>
          </w:tcPr>
          <w:p w:rsidR="00365352" w:rsidRDefault="00CA5482">
            <w:pPr>
              <w:jc w:val="center"/>
            </w:pPr>
            <w:r>
              <w:rPr>
                <w:color w:val="000000"/>
                <w:sz w:val="24"/>
                <w:szCs w:val="24"/>
              </w:rPr>
              <w:t>3.48%</w:t>
            </w:r>
          </w:p>
        </w:tc>
        <w:tc>
          <w:tcPr>
            <w:tcW w:w="1194" w:type="dxa"/>
            <w:vAlign w:val="center"/>
          </w:tcPr>
          <w:p w:rsidR="00365352" w:rsidRDefault="00CA5482">
            <w:pPr>
              <w:jc w:val="center"/>
            </w:pPr>
            <w:r>
              <w:rPr>
                <w:color w:val="000000"/>
                <w:sz w:val="24"/>
                <w:szCs w:val="24"/>
              </w:rPr>
              <w:t>-19.77%</w:t>
            </w:r>
          </w:p>
        </w:tc>
        <w:tc>
          <w:tcPr>
            <w:tcW w:w="1492" w:type="dxa"/>
            <w:vAlign w:val="center"/>
          </w:tcPr>
          <w:p w:rsidR="00365352" w:rsidRDefault="00CA5482">
            <w:pPr>
              <w:jc w:val="center"/>
            </w:pPr>
            <w:r>
              <w:rPr>
                <w:color w:val="000000"/>
                <w:sz w:val="24"/>
                <w:szCs w:val="24"/>
              </w:rPr>
              <w:t>2.44%</w:t>
            </w:r>
          </w:p>
        </w:tc>
        <w:tc>
          <w:tcPr>
            <w:tcW w:w="1194" w:type="dxa"/>
            <w:vAlign w:val="center"/>
          </w:tcPr>
          <w:p w:rsidR="00365352" w:rsidRDefault="00CA5482">
            <w:pPr>
              <w:jc w:val="center"/>
            </w:pPr>
            <w:r>
              <w:rPr>
                <w:color w:val="000000"/>
                <w:sz w:val="24"/>
                <w:szCs w:val="24"/>
              </w:rPr>
              <w:t>-0.05%</w:t>
            </w:r>
          </w:p>
        </w:tc>
        <w:tc>
          <w:tcPr>
            <w:tcW w:w="898" w:type="dxa"/>
            <w:vAlign w:val="center"/>
          </w:tcPr>
          <w:p w:rsidR="00365352" w:rsidRDefault="00CA5482">
            <w:pPr>
              <w:jc w:val="center"/>
            </w:pPr>
            <w:r>
              <w:rPr>
                <w:color w:val="000000"/>
                <w:sz w:val="24"/>
                <w:szCs w:val="24"/>
              </w:rPr>
              <w:t>1.04%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65352">
        <w:trPr>
          <w:jc w:val="center"/>
        </w:trPr>
        <w:tc>
          <w:tcPr>
            <w:tcW w:w="846" w:type="dxa"/>
            <w:vAlign w:val="center"/>
          </w:tcPr>
          <w:p w:rsidR="00365352" w:rsidRDefault="00CA5482">
            <w:pPr>
              <w:jc w:val="center"/>
            </w:pPr>
            <w:r>
              <w:rPr>
                <w:color w:val="000000"/>
                <w:sz w:val="24"/>
                <w:szCs w:val="24"/>
              </w:rPr>
              <w:t>张迎军</w:t>
            </w:r>
          </w:p>
        </w:tc>
        <w:tc>
          <w:tcPr>
            <w:tcW w:w="845" w:type="dxa"/>
            <w:vAlign w:val="center"/>
          </w:tcPr>
          <w:p w:rsidR="00365352" w:rsidRDefault="00CA5482">
            <w:pPr>
              <w:jc w:val="center"/>
            </w:pPr>
            <w:r>
              <w:rPr>
                <w:color w:val="000000"/>
                <w:sz w:val="24"/>
                <w:szCs w:val="24"/>
              </w:rPr>
              <w:t>交银蓝筹股票、交银优势行业混合、交银定期支付双息平衡混合的基</w:t>
            </w:r>
            <w:r>
              <w:rPr>
                <w:color w:val="000000"/>
                <w:sz w:val="24"/>
                <w:szCs w:val="24"/>
              </w:rPr>
              <w:lastRenderedPageBreak/>
              <w:t>金经理，公司投资副总监</w:t>
            </w:r>
          </w:p>
        </w:tc>
        <w:tc>
          <w:tcPr>
            <w:tcW w:w="1549" w:type="dxa"/>
            <w:vAlign w:val="center"/>
          </w:tcPr>
          <w:p w:rsidR="00365352" w:rsidRDefault="00CA5482">
            <w:pPr>
              <w:jc w:val="center"/>
            </w:pPr>
            <w:r>
              <w:rPr>
                <w:color w:val="000000"/>
                <w:sz w:val="24"/>
                <w:szCs w:val="24"/>
              </w:rPr>
              <w:lastRenderedPageBreak/>
              <w:t>2014-10-22</w:t>
            </w:r>
          </w:p>
        </w:tc>
        <w:tc>
          <w:tcPr>
            <w:tcW w:w="1548" w:type="dxa"/>
            <w:vAlign w:val="center"/>
          </w:tcPr>
          <w:p w:rsidR="00365352" w:rsidRDefault="00CA5482">
            <w:pPr>
              <w:jc w:val="center"/>
            </w:pPr>
            <w:r>
              <w:rPr>
                <w:color w:val="000000"/>
                <w:sz w:val="24"/>
                <w:szCs w:val="24"/>
              </w:rPr>
              <w:t>2015-07-11</w:t>
            </w:r>
          </w:p>
        </w:tc>
        <w:tc>
          <w:tcPr>
            <w:tcW w:w="1407" w:type="dxa"/>
            <w:vAlign w:val="center"/>
          </w:tcPr>
          <w:p w:rsidR="00365352" w:rsidRDefault="00CA5482">
            <w:pPr>
              <w:jc w:val="center"/>
            </w:pPr>
            <w:r>
              <w:rPr>
                <w:color w:val="000000"/>
                <w:sz w:val="24"/>
                <w:szCs w:val="24"/>
              </w:rPr>
              <w:t>15</w:t>
            </w:r>
            <w:r>
              <w:rPr>
                <w:color w:val="000000"/>
                <w:sz w:val="24"/>
                <w:szCs w:val="24"/>
              </w:rPr>
              <w:t>年</w:t>
            </w:r>
          </w:p>
        </w:tc>
        <w:tc>
          <w:tcPr>
            <w:tcW w:w="2673" w:type="dxa"/>
            <w:vAlign w:val="center"/>
          </w:tcPr>
          <w:p w:rsidR="00365352" w:rsidRDefault="00CA5482">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年加入交银施罗德基金管理有限公司，历任固定收益部副总经理、权益部副总经理。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lastRenderedPageBreak/>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3</w:t>
            </w:r>
            <w:r>
              <w:rPr>
                <w:color w:val="000000"/>
                <w:sz w:val="24"/>
                <w:szCs w:val="24"/>
              </w:rPr>
              <w:t>日至</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10</w:t>
            </w:r>
            <w:r>
              <w:rPr>
                <w:color w:val="000000"/>
                <w:sz w:val="24"/>
                <w:szCs w:val="24"/>
              </w:rPr>
              <w:t>日担任交银施罗德优势行业灵活配置混合型证券投资基金基金经理，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10</w:t>
            </w:r>
            <w:r>
              <w:rPr>
                <w:color w:val="000000"/>
                <w:sz w:val="24"/>
                <w:szCs w:val="24"/>
              </w:rPr>
              <w:t>日担任交银施罗德定期支付双息平衡混合型证券投资基金基金经理，</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10</w:t>
            </w:r>
            <w:r>
              <w:rPr>
                <w:color w:val="000000"/>
                <w:sz w:val="24"/>
                <w:szCs w:val="24"/>
              </w:rPr>
              <w:t>日担任交银施罗德蓝筹股票证券投资基金基金经理。</w:t>
            </w:r>
          </w:p>
        </w:tc>
      </w:tr>
      <w:tr w:rsidR="00365352">
        <w:trPr>
          <w:jc w:val="center"/>
        </w:trPr>
        <w:tc>
          <w:tcPr>
            <w:tcW w:w="846" w:type="dxa"/>
            <w:vAlign w:val="center"/>
          </w:tcPr>
          <w:p w:rsidR="00365352" w:rsidRDefault="00CA5482">
            <w:pPr>
              <w:jc w:val="center"/>
            </w:pPr>
            <w:r>
              <w:rPr>
                <w:color w:val="000000"/>
                <w:sz w:val="24"/>
                <w:szCs w:val="24"/>
              </w:rPr>
              <w:lastRenderedPageBreak/>
              <w:t>李德亮</w:t>
            </w:r>
          </w:p>
        </w:tc>
        <w:tc>
          <w:tcPr>
            <w:tcW w:w="845" w:type="dxa"/>
            <w:vAlign w:val="center"/>
          </w:tcPr>
          <w:p w:rsidR="00365352" w:rsidRDefault="00CA5482">
            <w:pPr>
              <w:jc w:val="center"/>
            </w:pPr>
            <w:r>
              <w:rPr>
                <w:color w:val="000000"/>
                <w:sz w:val="24"/>
                <w:szCs w:val="24"/>
              </w:rPr>
              <w:t>交银蓝筹混合、交银消费新驱动股票、交银定期支付双息平衡混合、交银强化回报债券的基金经理</w:t>
            </w:r>
          </w:p>
        </w:tc>
        <w:tc>
          <w:tcPr>
            <w:tcW w:w="1549" w:type="dxa"/>
            <w:vAlign w:val="center"/>
          </w:tcPr>
          <w:p w:rsidR="00365352" w:rsidRDefault="00CA5482">
            <w:pPr>
              <w:jc w:val="center"/>
            </w:pPr>
            <w:r>
              <w:rPr>
                <w:color w:val="000000"/>
                <w:sz w:val="24"/>
                <w:szCs w:val="24"/>
              </w:rPr>
              <w:t>2014-10-22</w:t>
            </w:r>
          </w:p>
        </w:tc>
        <w:tc>
          <w:tcPr>
            <w:tcW w:w="1548" w:type="dxa"/>
            <w:vAlign w:val="center"/>
          </w:tcPr>
          <w:p w:rsidR="00365352" w:rsidRDefault="00CA5482">
            <w:pPr>
              <w:jc w:val="center"/>
            </w:pPr>
            <w:r>
              <w:rPr>
                <w:color w:val="000000"/>
                <w:sz w:val="24"/>
                <w:szCs w:val="24"/>
              </w:rPr>
              <w:t>2015-08-29</w:t>
            </w:r>
          </w:p>
        </w:tc>
        <w:tc>
          <w:tcPr>
            <w:tcW w:w="1407" w:type="dxa"/>
            <w:vAlign w:val="center"/>
          </w:tcPr>
          <w:p w:rsidR="00365352" w:rsidRDefault="00CA5482">
            <w:pPr>
              <w:jc w:val="center"/>
            </w:pPr>
            <w:r>
              <w:rPr>
                <w:color w:val="000000"/>
                <w:sz w:val="24"/>
                <w:szCs w:val="24"/>
              </w:rPr>
              <w:t>9</w:t>
            </w:r>
            <w:r>
              <w:rPr>
                <w:color w:val="000000"/>
                <w:sz w:val="24"/>
                <w:szCs w:val="24"/>
              </w:rPr>
              <w:t>年</w:t>
            </w:r>
          </w:p>
        </w:tc>
        <w:tc>
          <w:tcPr>
            <w:tcW w:w="2673" w:type="dxa"/>
            <w:vAlign w:val="center"/>
          </w:tcPr>
          <w:p w:rsidR="00365352" w:rsidRDefault="00CA5482">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日担任交银施罗德定期支付双息平衡混合型证券投资基金基金经理，</w:t>
            </w:r>
            <w:r>
              <w:rPr>
                <w:color w:val="000000"/>
                <w:sz w:val="24"/>
                <w:szCs w:val="24"/>
              </w:rPr>
              <w:t>2014</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日担任交银施罗德强化回报债券型证券投资基金基金经理，</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日担任交银施罗德蓝筹混合型证券投资基金（原交银施罗德蓝筹股票证券投资基金）基金</w:t>
            </w:r>
            <w:r>
              <w:rPr>
                <w:color w:val="000000"/>
                <w:sz w:val="24"/>
                <w:szCs w:val="24"/>
              </w:rPr>
              <w:lastRenderedPageBreak/>
              <w:t>经理，</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日担任交银施罗德消费新驱动股票型证券投资基金基金经理。</w:t>
            </w:r>
          </w:p>
        </w:tc>
      </w:tr>
      <w:tr w:rsidR="00365352">
        <w:trPr>
          <w:jc w:val="center"/>
        </w:trPr>
        <w:tc>
          <w:tcPr>
            <w:tcW w:w="846" w:type="dxa"/>
            <w:vAlign w:val="center"/>
          </w:tcPr>
          <w:p w:rsidR="00365352" w:rsidRDefault="00CA5482">
            <w:pPr>
              <w:jc w:val="center"/>
            </w:pPr>
            <w:r>
              <w:rPr>
                <w:color w:val="000000"/>
                <w:sz w:val="24"/>
                <w:szCs w:val="24"/>
              </w:rPr>
              <w:lastRenderedPageBreak/>
              <w:t>陈孜铎</w:t>
            </w:r>
          </w:p>
        </w:tc>
        <w:tc>
          <w:tcPr>
            <w:tcW w:w="845" w:type="dxa"/>
            <w:vAlign w:val="center"/>
          </w:tcPr>
          <w:p w:rsidR="00365352" w:rsidRDefault="00CA5482">
            <w:pPr>
              <w:jc w:val="center"/>
            </w:pPr>
            <w:r>
              <w:rPr>
                <w:color w:val="000000"/>
                <w:sz w:val="24"/>
                <w:szCs w:val="24"/>
              </w:rPr>
              <w:t>交银蓝筹混合的基金经理，公司研究部助理总经理</w:t>
            </w:r>
          </w:p>
        </w:tc>
        <w:tc>
          <w:tcPr>
            <w:tcW w:w="1549" w:type="dxa"/>
            <w:vAlign w:val="center"/>
          </w:tcPr>
          <w:p w:rsidR="00365352" w:rsidRDefault="00CA5482">
            <w:pPr>
              <w:jc w:val="center"/>
            </w:pPr>
            <w:r>
              <w:rPr>
                <w:color w:val="000000"/>
                <w:sz w:val="24"/>
                <w:szCs w:val="24"/>
              </w:rPr>
              <w:t>2014-10-22</w:t>
            </w:r>
          </w:p>
        </w:tc>
        <w:tc>
          <w:tcPr>
            <w:tcW w:w="1548" w:type="dxa"/>
            <w:vAlign w:val="center"/>
          </w:tcPr>
          <w:p w:rsidR="00365352" w:rsidRDefault="00CA5482">
            <w:pPr>
              <w:jc w:val="center"/>
            </w:pPr>
            <w:r>
              <w:rPr>
                <w:color w:val="000000"/>
                <w:sz w:val="24"/>
                <w:szCs w:val="24"/>
              </w:rPr>
              <w:t>-</w:t>
            </w:r>
          </w:p>
        </w:tc>
        <w:tc>
          <w:tcPr>
            <w:tcW w:w="1407" w:type="dxa"/>
            <w:vAlign w:val="center"/>
          </w:tcPr>
          <w:p w:rsidR="00365352" w:rsidRDefault="00CA5482">
            <w:pPr>
              <w:jc w:val="center"/>
            </w:pPr>
            <w:r>
              <w:rPr>
                <w:color w:val="000000"/>
                <w:sz w:val="24"/>
                <w:szCs w:val="24"/>
              </w:rPr>
              <w:t>7</w:t>
            </w:r>
            <w:r>
              <w:rPr>
                <w:color w:val="000000"/>
                <w:sz w:val="24"/>
                <w:szCs w:val="24"/>
              </w:rPr>
              <w:t>年</w:t>
            </w:r>
          </w:p>
        </w:tc>
        <w:tc>
          <w:tcPr>
            <w:tcW w:w="2673" w:type="dxa"/>
            <w:vAlign w:val="center"/>
          </w:tcPr>
          <w:p w:rsidR="00365352" w:rsidRDefault="00CA5482">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65352" w:rsidRDefault="00CA548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65352" w:rsidRDefault="00CA548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65352" w:rsidRDefault="00CA548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65352" w:rsidRDefault="00CA5482">
      <w:pPr>
        <w:spacing w:before="29" w:line="288" w:lineRule="auto"/>
        <w:ind w:firstLineChars="200" w:firstLine="480"/>
        <w:rPr>
          <w:color w:val="000000"/>
          <w:sz w:val="24"/>
          <w:szCs w:val="24"/>
        </w:rPr>
      </w:pPr>
      <w:r>
        <w:rPr>
          <w:color w:val="000000"/>
          <w:sz w:val="24"/>
          <w:szCs w:val="24"/>
        </w:rPr>
        <w:t>2015</w:t>
      </w:r>
      <w:r>
        <w:rPr>
          <w:color w:val="000000"/>
          <w:sz w:val="24"/>
          <w:szCs w:val="24"/>
        </w:rPr>
        <w:t>年三季度沪深市场整体大幅下跌，</w:t>
      </w:r>
      <w:r>
        <w:rPr>
          <w:color w:val="000000"/>
          <w:sz w:val="24"/>
          <w:szCs w:val="24"/>
        </w:rPr>
        <w:t>6</w:t>
      </w:r>
      <w:r>
        <w:rPr>
          <w:color w:val="000000"/>
          <w:sz w:val="24"/>
          <w:szCs w:val="24"/>
        </w:rPr>
        <w:t>月份开始的全市场去杠杆继续在三季度主导市场方向，整个三季度各主要指数跌幅均达到了</w:t>
      </w:r>
      <w:r>
        <w:rPr>
          <w:color w:val="000000"/>
          <w:sz w:val="24"/>
          <w:szCs w:val="24"/>
        </w:rPr>
        <w:t>20%</w:t>
      </w:r>
      <w:r>
        <w:rPr>
          <w:color w:val="000000"/>
          <w:sz w:val="24"/>
          <w:szCs w:val="24"/>
        </w:rPr>
        <w:t>以上。去杠杆导致市场风险偏好急剧下降，在前期持续大幅上涨使全市场资金的预期风险收益严重失衡的格局下，资金推动下累积的股价高估急剧回归、人民币贬值预期带来的宏观担忧等各因素共振造成了快速惨烈的下跌。作为世界第二大体量的资本市场，此轮下跌的速度、幅度、过程中的流动性波动与预期波动均打破了过去</w:t>
      </w:r>
      <w:r>
        <w:rPr>
          <w:color w:val="000000"/>
          <w:sz w:val="24"/>
          <w:szCs w:val="24"/>
        </w:rPr>
        <w:t>A</w:t>
      </w:r>
      <w:r>
        <w:rPr>
          <w:color w:val="000000"/>
          <w:sz w:val="24"/>
          <w:szCs w:val="24"/>
        </w:rPr>
        <w:t>股历史的经验认知，值得每一个市场的参与者仔细研究与反思。</w:t>
      </w:r>
    </w:p>
    <w:p w:rsidR="00365352" w:rsidRDefault="00CA5482">
      <w:pPr>
        <w:spacing w:before="29" w:line="288" w:lineRule="auto"/>
        <w:ind w:firstLineChars="200" w:firstLine="480"/>
        <w:rPr>
          <w:color w:val="000000"/>
          <w:sz w:val="24"/>
          <w:szCs w:val="24"/>
        </w:rPr>
      </w:pPr>
      <w:r>
        <w:rPr>
          <w:color w:val="000000"/>
          <w:sz w:val="24"/>
          <w:szCs w:val="24"/>
        </w:rPr>
        <w:t>在整个三季度市场巨大的下跌压力下，本基金将大类资产配置作为控制风险的首要手段，在</w:t>
      </w:r>
      <w:r>
        <w:rPr>
          <w:color w:val="000000"/>
          <w:sz w:val="24"/>
          <w:szCs w:val="24"/>
        </w:rPr>
        <w:t>6</w:t>
      </w:r>
      <w:r>
        <w:rPr>
          <w:color w:val="000000"/>
          <w:sz w:val="24"/>
          <w:szCs w:val="24"/>
        </w:rPr>
        <w:t>月份已经开始降低仓位的基础上，继续延续低仓位的配置策略，整个三季度基金仓位处于相对较低位置，同时在风格配置上进一步均衡组合配置，力求在下跌中减小基金的绝对收益损失，并取得了一定效果，年初以来本基金净值表现大幅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宏观经济的下行压力将强化托底政策出台的力度与速度，四季度稳增长、稳定中国经济的预期将是最主要的经济主题。在经济企稳的基础上，改革与创新将仍是支持市场的希望所在，在目前已经逐步进入的兑现验证期中，去伪存真势必带来大波动与大分化，一方面能够实现</w:t>
      </w:r>
      <w:r w:rsidRPr="00414345">
        <w:rPr>
          <w:color w:val="000000"/>
          <w:sz w:val="24"/>
          <w:szCs w:val="24"/>
        </w:rPr>
        <w:t>“</w:t>
      </w:r>
      <w:r w:rsidRPr="00414345">
        <w:rPr>
          <w:color w:val="000000"/>
          <w:sz w:val="24"/>
          <w:szCs w:val="24"/>
        </w:rPr>
        <w:t>理想照进现实</w:t>
      </w:r>
      <w:r w:rsidRPr="00414345">
        <w:rPr>
          <w:color w:val="000000"/>
          <w:sz w:val="24"/>
          <w:szCs w:val="24"/>
        </w:rPr>
        <w:t>”</w:t>
      </w:r>
      <w:r w:rsidRPr="00414345">
        <w:rPr>
          <w:color w:val="000000"/>
          <w:sz w:val="24"/>
          <w:szCs w:val="24"/>
        </w:rPr>
        <w:t>的真正龙头会逐步涌现，另一方面在前期两大主线背景下，新的子逻辑与受益标的也会浮出水面，在市场逐步企稳后成为引领市场的新力量。此外，在风险偏好急剧下降后，市场短期的避险情绪使中期基本面相对坚挺的行业与公司、中长期价值低估的传统龙头以及部分细分子行业中估值合理、中期能保持平稳较快增长的特色公司等几类标的具备了中短期产生相对甚至绝对收益的投资条件。在上述基本判断的背景下，本基金将继续以</w:t>
      </w:r>
      <w:r w:rsidRPr="00414345">
        <w:rPr>
          <w:color w:val="000000"/>
          <w:sz w:val="24"/>
          <w:szCs w:val="24"/>
        </w:rPr>
        <w:t>“</w:t>
      </w:r>
      <w:r w:rsidRPr="00414345">
        <w:rPr>
          <w:color w:val="000000"/>
          <w:sz w:val="24"/>
          <w:szCs w:val="24"/>
        </w:rPr>
        <w:t>优中选优</w:t>
      </w:r>
      <w:r w:rsidRPr="00414345">
        <w:rPr>
          <w:color w:val="000000"/>
          <w:sz w:val="24"/>
          <w:szCs w:val="24"/>
        </w:rPr>
        <w:t>”</w:t>
      </w:r>
      <w:r w:rsidRPr="00414345">
        <w:rPr>
          <w:color w:val="000000"/>
          <w:sz w:val="24"/>
          <w:szCs w:val="24"/>
        </w:rPr>
        <w:t>和</w:t>
      </w:r>
      <w:r w:rsidRPr="00414345">
        <w:rPr>
          <w:color w:val="000000"/>
          <w:sz w:val="24"/>
          <w:szCs w:val="24"/>
        </w:rPr>
        <w:t>“</w:t>
      </w:r>
      <w:r w:rsidRPr="00414345">
        <w:rPr>
          <w:color w:val="000000"/>
          <w:sz w:val="24"/>
          <w:szCs w:val="24"/>
        </w:rPr>
        <w:t>破旧立新</w:t>
      </w:r>
      <w:r w:rsidRPr="00414345">
        <w:rPr>
          <w:color w:val="000000"/>
          <w:sz w:val="24"/>
          <w:szCs w:val="24"/>
        </w:rPr>
        <w:t>”</w:t>
      </w:r>
      <w:r w:rsidRPr="00414345">
        <w:rPr>
          <w:color w:val="000000"/>
          <w:sz w:val="24"/>
          <w:szCs w:val="24"/>
        </w:rPr>
        <w:t>为突破口，更加勤勉地深入研究与寻找优秀的投资标的，同时秉承均衡稳健的配置原则，持续高度关注资本市场可能出现的投资机会与风险，及时调整基金组合，努力为基金份额持有人创造较好的业绩回报。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 xml:space="preserve"> 0.7709 </w:t>
      </w:r>
      <w:r w:rsidRPr="00414345">
        <w:rPr>
          <w:color w:val="000000"/>
          <w:sz w:val="24"/>
          <w:szCs w:val="24"/>
        </w:rPr>
        <w:t>元，本报告期份额净值增长率</w:t>
      </w:r>
      <w:r w:rsidRPr="00414345">
        <w:rPr>
          <w:color w:val="000000"/>
          <w:sz w:val="24"/>
          <w:szCs w:val="24"/>
        </w:rPr>
        <w:lastRenderedPageBreak/>
        <w:t>为</w:t>
      </w:r>
      <w:r w:rsidRPr="00414345">
        <w:rPr>
          <w:color w:val="000000"/>
          <w:sz w:val="24"/>
          <w:szCs w:val="24"/>
        </w:rPr>
        <w:t>-19.82%</w:t>
      </w:r>
      <w:r w:rsidRPr="00414345">
        <w:rPr>
          <w:color w:val="000000"/>
          <w:sz w:val="24"/>
          <w:szCs w:val="24"/>
        </w:rPr>
        <w:t>，同期业绩比较基准增长率为</w:t>
      </w:r>
      <w:r w:rsidRPr="00414345">
        <w:rPr>
          <w:color w:val="000000"/>
          <w:sz w:val="24"/>
          <w:szCs w:val="24"/>
        </w:rPr>
        <w:t>-19.77%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2,011,552,776.97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75.84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2,011,552,776.97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75.84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191,424,000.00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191,424,000.00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445,112,932.88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16.78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4,396,631.48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2,652,486,341.33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57,880,000.00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1,248,711,962.03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110,856,503.20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202,593,102.44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130,665,876.26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116,999,009.66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117,949,453.38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25,896,870.00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2,011,552,776.97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65352">
        <w:trPr>
          <w:jc w:val="center"/>
        </w:trPr>
        <w:tc>
          <w:tcPr>
            <w:tcW w:w="855" w:type="dxa"/>
            <w:vAlign w:val="center"/>
          </w:tcPr>
          <w:p w:rsidR="00365352" w:rsidRDefault="00CA5482">
            <w:pPr>
              <w:jc w:val="center"/>
            </w:pPr>
            <w:r>
              <w:rPr>
                <w:color w:val="000000"/>
                <w:sz w:val="24"/>
                <w:szCs w:val="24"/>
              </w:rPr>
              <w:t>1</w:t>
            </w:r>
          </w:p>
        </w:tc>
        <w:tc>
          <w:tcPr>
            <w:tcW w:w="1334" w:type="dxa"/>
            <w:vAlign w:val="center"/>
          </w:tcPr>
          <w:p w:rsidR="00365352" w:rsidRDefault="00CA5482">
            <w:pPr>
              <w:jc w:val="center"/>
            </w:pPr>
            <w:r>
              <w:rPr>
                <w:color w:val="000000"/>
                <w:sz w:val="24"/>
                <w:szCs w:val="24"/>
              </w:rPr>
              <w:t>603555</w:t>
            </w:r>
          </w:p>
        </w:tc>
        <w:tc>
          <w:tcPr>
            <w:tcW w:w="1777" w:type="dxa"/>
            <w:vAlign w:val="center"/>
          </w:tcPr>
          <w:p w:rsidR="00365352" w:rsidRDefault="00CA5482">
            <w:pPr>
              <w:jc w:val="center"/>
            </w:pPr>
            <w:r>
              <w:rPr>
                <w:color w:val="000000"/>
                <w:sz w:val="24"/>
                <w:szCs w:val="24"/>
              </w:rPr>
              <w:t>贵人鸟</w:t>
            </w:r>
          </w:p>
        </w:tc>
        <w:tc>
          <w:tcPr>
            <w:tcW w:w="1334" w:type="dxa"/>
            <w:vAlign w:val="center"/>
          </w:tcPr>
          <w:p w:rsidR="00365352" w:rsidRDefault="00CA5482">
            <w:pPr>
              <w:jc w:val="right"/>
            </w:pPr>
            <w:r>
              <w:rPr>
                <w:color w:val="000000"/>
                <w:sz w:val="24"/>
                <w:szCs w:val="24"/>
              </w:rPr>
              <w:t>5,315,653</w:t>
            </w:r>
          </w:p>
        </w:tc>
        <w:tc>
          <w:tcPr>
            <w:tcW w:w="1924" w:type="dxa"/>
            <w:vAlign w:val="center"/>
          </w:tcPr>
          <w:p w:rsidR="00365352" w:rsidRDefault="00CA5482">
            <w:pPr>
              <w:jc w:val="right"/>
            </w:pPr>
            <w:r>
              <w:rPr>
                <w:color w:val="000000"/>
                <w:sz w:val="24"/>
                <w:szCs w:val="24"/>
              </w:rPr>
              <w:t>131,402,942.16</w:t>
            </w:r>
          </w:p>
        </w:tc>
        <w:tc>
          <w:tcPr>
            <w:tcW w:w="1644" w:type="dxa"/>
            <w:vAlign w:val="center"/>
          </w:tcPr>
          <w:p w:rsidR="00365352" w:rsidRDefault="00CA5482">
            <w:pPr>
              <w:jc w:val="right"/>
            </w:pPr>
            <w:r>
              <w:rPr>
                <w:color w:val="000000"/>
                <w:sz w:val="24"/>
                <w:szCs w:val="24"/>
              </w:rPr>
              <w:t>4.97</w:t>
            </w:r>
          </w:p>
        </w:tc>
      </w:tr>
      <w:tr w:rsidR="00365352">
        <w:trPr>
          <w:jc w:val="center"/>
        </w:trPr>
        <w:tc>
          <w:tcPr>
            <w:tcW w:w="855" w:type="dxa"/>
            <w:vAlign w:val="center"/>
          </w:tcPr>
          <w:p w:rsidR="00365352" w:rsidRDefault="00CA5482">
            <w:pPr>
              <w:jc w:val="center"/>
            </w:pPr>
            <w:r>
              <w:rPr>
                <w:color w:val="000000"/>
                <w:sz w:val="24"/>
                <w:szCs w:val="24"/>
              </w:rPr>
              <w:t>2</w:t>
            </w:r>
          </w:p>
        </w:tc>
        <w:tc>
          <w:tcPr>
            <w:tcW w:w="1334" w:type="dxa"/>
            <w:vAlign w:val="center"/>
          </w:tcPr>
          <w:p w:rsidR="00365352" w:rsidRDefault="00CA5482">
            <w:pPr>
              <w:jc w:val="center"/>
            </w:pPr>
            <w:r>
              <w:rPr>
                <w:color w:val="000000"/>
                <w:sz w:val="24"/>
                <w:szCs w:val="24"/>
              </w:rPr>
              <w:t>600054</w:t>
            </w:r>
          </w:p>
        </w:tc>
        <w:tc>
          <w:tcPr>
            <w:tcW w:w="1777" w:type="dxa"/>
            <w:vAlign w:val="center"/>
          </w:tcPr>
          <w:p w:rsidR="00365352" w:rsidRDefault="00CA5482">
            <w:pPr>
              <w:jc w:val="center"/>
            </w:pPr>
            <w:r>
              <w:rPr>
                <w:color w:val="000000"/>
                <w:sz w:val="24"/>
                <w:szCs w:val="24"/>
              </w:rPr>
              <w:t>黄山旅游</w:t>
            </w:r>
          </w:p>
        </w:tc>
        <w:tc>
          <w:tcPr>
            <w:tcW w:w="1334" w:type="dxa"/>
            <w:vAlign w:val="center"/>
          </w:tcPr>
          <w:p w:rsidR="00365352" w:rsidRDefault="00CA5482">
            <w:pPr>
              <w:jc w:val="right"/>
            </w:pPr>
            <w:r>
              <w:rPr>
                <w:color w:val="000000"/>
                <w:sz w:val="24"/>
                <w:szCs w:val="24"/>
              </w:rPr>
              <w:t>6,124,063</w:t>
            </w:r>
          </w:p>
        </w:tc>
        <w:tc>
          <w:tcPr>
            <w:tcW w:w="1924" w:type="dxa"/>
            <w:vAlign w:val="center"/>
          </w:tcPr>
          <w:p w:rsidR="00365352" w:rsidRDefault="00CA5482">
            <w:pPr>
              <w:jc w:val="right"/>
            </w:pPr>
            <w:r>
              <w:rPr>
                <w:color w:val="000000"/>
                <w:sz w:val="24"/>
                <w:szCs w:val="24"/>
              </w:rPr>
              <w:t>117,949,453.38</w:t>
            </w:r>
          </w:p>
        </w:tc>
        <w:tc>
          <w:tcPr>
            <w:tcW w:w="1644" w:type="dxa"/>
            <w:vAlign w:val="center"/>
          </w:tcPr>
          <w:p w:rsidR="00365352" w:rsidRDefault="00CA5482">
            <w:pPr>
              <w:jc w:val="right"/>
            </w:pPr>
            <w:r>
              <w:rPr>
                <w:color w:val="000000"/>
                <w:sz w:val="24"/>
                <w:szCs w:val="24"/>
              </w:rPr>
              <w:t>4.46</w:t>
            </w:r>
          </w:p>
        </w:tc>
      </w:tr>
      <w:tr w:rsidR="00365352">
        <w:trPr>
          <w:jc w:val="center"/>
        </w:trPr>
        <w:tc>
          <w:tcPr>
            <w:tcW w:w="855" w:type="dxa"/>
            <w:vAlign w:val="center"/>
          </w:tcPr>
          <w:p w:rsidR="00365352" w:rsidRDefault="00CA5482">
            <w:pPr>
              <w:jc w:val="center"/>
            </w:pPr>
            <w:r>
              <w:rPr>
                <w:color w:val="000000"/>
                <w:sz w:val="24"/>
                <w:szCs w:val="24"/>
              </w:rPr>
              <w:t>3</w:t>
            </w:r>
          </w:p>
        </w:tc>
        <w:tc>
          <w:tcPr>
            <w:tcW w:w="1334" w:type="dxa"/>
            <w:vAlign w:val="center"/>
          </w:tcPr>
          <w:p w:rsidR="00365352" w:rsidRDefault="00CA5482">
            <w:pPr>
              <w:jc w:val="center"/>
            </w:pPr>
            <w:r>
              <w:rPr>
                <w:color w:val="000000"/>
                <w:sz w:val="24"/>
                <w:szCs w:val="24"/>
              </w:rPr>
              <w:t>600585</w:t>
            </w:r>
          </w:p>
        </w:tc>
        <w:tc>
          <w:tcPr>
            <w:tcW w:w="1777" w:type="dxa"/>
            <w:vAlign w:val="center"/>
          </w:tcPr>
          <w:p w:rsidR="00365352" w:rsidRDefault="00CA5482">
            <w:pPr>
              <w:jc w:val="center"/>
            </w:pPr>
            <w:r>
              <w:rPr>
                <w:color w:val="000000"/>
                <w:sz w:val="24"/>
                <w:szCs w:val="24"/>
              </w:rPr>
              <w:t>海螺水泥</w:t>
            </w:r>
          </w:p>
        </w:tc>
        <w:tc>
          <w:tcPr>
            <w:tcW w:w="1334" w:type="dxa"/>
            <w:vAlign w:val="center"/>
          </w:tcPr>
          <w:p w:rsidR="00365352" w:rsidRDefault="00CA5482">
            <w:pPr>
              <w:jc w:val="right"/>
            </w:pPr>
            <w:r>
              <w:rPr>
                <w:color w:val="000000"/>
                <w:sz w:val="24"/>
                <w:szCs w:val="24"/>
              </w:rPr>
              <w:t>6,981,270</w:t>
            </w:r>
          </w:p>
        </w:tc>
        <w:tc>
          <w:tcPr>
            <w:tcW w:w="1924" w:type="dxa"/>
            <w:vAlign w:val="center"/>
          </w:tcPr>
          <w:p w:rsidR="00365352" w:rsidRDefault="00CA5482">
            <w:pPr>
              <w:jc w:val="right"/>
            </w:pPr>
            <w:r>
              <w:rPr>
                <w:color w:val="000000"/>
                <w:sz w:val="24"/>
                <w:szCs w:val="24"/>
              </w:rPr>
              <w:t>117,634,399.50</w:t>
            </w:r>
          </w:p>
        </w:tc>
        <w:tc>
          <w:tcPr>
            <w:tcW w:w="1644" w:type="dxa"/>
            <w:vAlign w:val="center"/>
          </w:tcPr>
          <w:p w:rsidR="00365352" w:rsidRDefault="00CA5482">
            <w:pPr>
              <w:jc w:val="right"/>
            </w:pPr>
            <w:r>
              <w:rPr>
                <w:color w:val="000000"/>
                <w:sz w:val="24"/>
                <w:szCs w:val="24"/>
              </w:rPr>
              <w:t>4.45</w:t>
            </w:r>
          </w:p>
        </w:tc>
      </w:tr>
      <w:tr w:rsidR="00365352">
        <w:trPr>
          <w:jc w:val="center"/>
        </w:trPr>
        <w:tc>
          <w:tcPr>
            <w:tcW w:w="855" w:type="dxa"/>
            <w:vAlign w:val="center"/>
          </w:tcPr>
          <w:p w:rsidR="00365352" w:rsidRDefault="00CA5482">
            <w:pPr>
              <w:jc w:val="center"/>
            </w:pPr>
            <w:r>
              <w:rPr>
                <w:color w:val="000000"/>
                <w:sz w:val="24"/>
                <w:szCs w:val="24"/>
              </w:rPr>
              <w:t>4</w:t>
            </w:r>
          </w:p>
        </w:tc>
        <w:tc>
          <w:tcPr>
            <w:tcW w:w="1334" w:type="dxa"/>
            <w:vAlign w:val="center"/>
          </w:tcPr>
          <w:p w:rsidR="00365352" w:rsidRDefault="00CA5482">
            <w:pPr>
              <w:jc w:val="center"/>
            </w:pPr>
            <w:r>
              <w:rPr>
                <w:color w:val="000000"/>
                <w:sz w:val="24"/>
                <w:szCs w:val="24"/>
              </w:rPr>
              <w:t>002555</w:t>
            </w:r>
          </w:p>
        </w:tc>
        <w:tc>
          <w:tcPr>
            <w:tcW w:w="1777" w:type="dxa"/>
            <w:vAlign w:val="center"/>
          </w:tcPr>
          <w:p w:rsidR="00365352" w:rsidRDefault="00CA5482">
            <w:pPr>
              <w:jc w:val="center"/>
            </w:pPr>
            <w:r>
              <w:rPr>
                <w:color w:val="000000"/>
                <w:sz w:val="24"/>
                <w:szCs w:val="24"/>
              </w:rPr>
              <w:t>顺荣三七</w:t>
            </w:r>
          </w:p>
        </w:tc>
        <w:tc>
          <w:tcPr>
            <w:tcW w:w="1334" w:type="dxa"/>
            <w:vAlign w:val="center"/>
          </w:tcPr>
          <w:p w:rsidR="00365352" w:rsidRDefault="00CA5482">
            <w:pPr>
              <w:jc w:val="right"/>
            </w:pPr>
            <w:r>
              <w:rPr>
                <w:color w:val="000000"/>
                <w:sz w:val="24"/>
                <w:szCs w:val="24"/>
              </w:rPr>
              <w:t>2,626,514</w:t>
            </w:r>
          </w:p>
        </w:tc>
        <w:tc>
          <w:tcPr>
            <w:tcW w:w="1924" w:type="dxa"/>
            <w:vAlign w:val="center"/>
          </w:tcPr>
          <w:p w:rsidR="00365352" w:rsidRDefault="00CA5482">
            <w:pPr>
              <w:jc w:val="right"/>
            </w:pPr>
            <w:r>
              <w:rPr>
                <w:color w:val="000000"/>
                <w:sz w:val="24"/>
                <w:szCs w:val="24"/>
              </w:rPr>
              <w:t>95,106,071.94</w:t>
            </w:r>
          </w:p>
        </w:tc>
        <w:tc>
          <w:tcPr>
            <w:tcW w:w="1644" w:type="dxa"/>
            <w:vAlign w:val="center"/>
          </w:tcPr>
          <w:p w:rsidR="00365352" w:rsidRDefault="00CA5482">
            <w:pPr>
              <w:jc w:val="right"/>
            </w:pPr>
            <w:r>
              <w:rPr>
                <w:color w:val="000000"/>
                <w:sz w:val="24"/>
                <w:szCs w:val="24"/>
              </w:rPr>
              <w:t>3.60</w:t>
            </w:r>
          </w:p>
        </w:tc>
      </w:tr>
      <w:tr w:rsidR="00365352">
        <w:trPr>
          <w:jc w:val="center"/>
        </w:trPr>
        <w:tc>
          <w:tcPr>
            <w:tcW w:w="855" w:type="dxa"/>
            <w:vAlign w:val="center"/>
          </w:tcPr>
          <w:p w:rsidR="00365352" w:rsidRDefault="00CA5482">
            <w:pPr>
              <w:jc w:val="center"/>
            </w:pPr>
            <w:r>
              <w:rPr>
                <w:color w:val="000000"/>
                <w:sz w:val="24"/>
                <w:szCs w:val="24"/>
              </w:rPr>
              <w:t>5</w:t>
            </w:r>
          </w:p>
        </w:tc>
        <w:tc>
          <w:tcPr>
            <w:tcW w:w="1334" w:type="dxa"/>
            <w:vAlign w:val="center"/>
          </w:tcPr>
          <w:p w:rsidR="00365352" w:rsidRDefault="00CA5482">
            <w:pPr>
              <w:jc w:val="center"/>
            </w:pPr>
            <w:r>
              <w:rPr>
                <w:color w:val="000000"/>
                <w:sz w:val="24"/>
                <w:szCs w:val="24"/>
              </w:rPr>
              <w:t>300384</w:t>
            </w:r>
          </w:p>
        </w:tc>
        <w:tc>
          <w:tcPr>
            <w:tcW w:w="1777" w:type="dxa"/>
            <w:vAlign w:val="center"/>
          </w:tcPr>
          <w:p w:rsidR="00365352" w:rsidRDefault="00CA5482">
            <w:pPr>
              <w:jc w:val="center"/>
            </w:pPr>
            <w:r>
              <w:rPr>
                <w:color w:val="000000"/>
                <w:sz w:val="24"/>
                <w:szCs w:val="24"/>
              </w:rPr>
              <w:t>三联虹普</w:t>
            </w:r>
          </w:p>
        </w:tc>
        <w:tc>
          <w:tcPr>
            <w:tcW w:w="1334" w:type="dxa"/>
            <w:vAlign w:val="center"/>
          </w:tcPr>
          <w:p w:rsidR="00365352" w:rsidRDefault="00CA5482">
            <w:pPr>
              <w:jc w:val="right"/>
            </w:pPr>
            <w:r>
              <w:rPr>
                <w:color w:val="000000"/>
                <w:sz w:val="24"/>
                <w:szCs w:val="24"/>
              </w:rPr>
              <w:t>1,929,697</w:t>
            </w:r>
          </w:p>
        </w:tc>
        <w:tc>
          <w:tcPr>
            <w:tcW w:w="1924" w:type="dxa"/>
            <w:vAlign w:val="center"/>
          </w:tcPr>
          <w:p w:rsidR="00365352" w:rsidRDefault="00CA5482">
            <w:pPr>
              <w:jc w:val="right"/>
            </w:pPr>
            <w:r>
              <w:rPr>
                <w:color w:val="000000"/>
                <w:sz w:val="24"/>
                <w:szCs w:val="24"/>
              </w:rPr>
              <w:t>90,888,728.70</w:t>
            </w:r>
          </w:p>
        </w:tc>
        <w:tc>
          <w:tcPr>
            <w:tcW w:w="1644" w:type="dxa"/>
            <w:vAlign w:val="center"/>
          </w:tcPr>
          <w:p w:rsidR="00365352" w:rsidRDefault="00CA5482">
            <w:pPr>
              <w:jc w:val="right"/>
            </w:pPr>
            <w:r>
              <w:rPr>
                <w:color w:val="000000"/>
                <w:sz w:val="24"/>
                <w:szCs w:val="24"/>
              </w:rPr>
              <w:t>3.44</w:t>
            </w:r>
          </w:p>
        </w:tc>
      </w:tr>
      <w:tr w:rsidR="00365352">
        <w:trPr>
          <w:jc w:val="center"/>
        </w:trPr>
        <w:tc>
          <w:tcPr>
            <w:tcW w:w="855" w:type="dxa"/>
            <w:vAlign w:val="center"/>
          </w:tcPr>
          <w:p w:rsidR="00365352" w:rsidRDefault="00CA5482">
            <w:pPr>
              <w:jc w:val="center"/>
            </w:pPr>
            <w:r>
              <w:rPr>
                <w:color w:val="000000"/>
                <w:sz w:val="24"/>
                <w:szCs w:val="24"/>
              </w:rPr>
              <w:t>6</w:t>
            </w:r>
          </w:p>
        </w:tc>
        <w:tc>
          <w:tcPr>
            <w:tcW w:w="1334" w:type="dxa"/>
            <w:vAlign w:val="center"/>
          </w:tcPr>
          <w:p w:rsidR="00365352" w:rsidRDefault="00CA5482">
            <w:pPr>
              <w:jc w:val="center"/>
            </w:pPr>
            <w:r>
              <w:rPr>
                <w:color w:val="000000"/>
                <w:sz w:val="24"/>
                <w:szCs w:val="24"/>
              </w:rPr>
              <w:t>300285</w:t>
            </w:r>
          </w:p>
        </w:tc>
        <w:tc>
          <w:tcPr>
            <w:tcW w:w="1777" w:type="dxa"/>
            <w:vAlign w:val="center"/>
          </w:tcPr>
          <w:p w:rsidR="00365352" w:rsidRDefault="00CA5482">
            <w:pPr>
              <w:jc w:val="center"/>
            </w:pPr>
            <w:r>
              <w:rPr>
                <w:color w:val="000000"/>
                <w:sz w:val="24"/>
                <w:szCs w:val="24"/>
              </w:rPr>
              <w:t>国瓷材料</w:t>
            </w:r>
          </w:p>
        </w:tc>
        <w:tc>
          <w:tcPr>
            <w:tcW w:w="1334" w:type="dxa"/>
            <w:vAlign w:val="center"/>
          </w:tcPr>
          <w:p w:rsidR="00365352" w:rsidRDefault="00CA5482">
            <w:pPr>
              <w:jc w:val="right"/>
            </w:pPr>
            <w:r>
              <w:rPr>
                <w:color w:val="000000"/>
                <w:sz w:val="24"/>
                <w:szCs w:val="24"/>
              </w:rPr>
              <w:t>2,700,000</w:t>
            </w:r>
          </w:p>
        </w:tc>
        <w:tc>
          <w:tcPr>
            <w:tcW w:w="1924" w:type="dxa"/>
            <w:vAlign w:val="center"/>
          </w:tcPr>
          <w:p w:rsidR="00365352" w:rsidRDefault="00CA5482">
            <w:pPr>
              <w:jc w:val="right"/>
            </w:pPr>
            <w:r>
              <w:rPr>
                <w:color w:val="000000"/>
                <w:sz w:val="24"/>
                <w:szCs w:val="24"/>
              </w:rPr>
              <w:t>83,700,000.00</w:t>
            </w:r>
          </w:p>
        </w:tc>
        <w:tc>
          <w:tcPr>
            <w:tcW w:w="1644" w:type="dxa"/>
            <w:vAlign w:val="center"/>
          </w:tcPr>
          <w:p w:rsidR="00365352" w:rsidRDefault="00CA5482">
            <w:pPr>
              <w:jc w:val="right"/>
            </w:pPr>
            <w:r>
              <w:rPr>
                <w:color w:val="000000"/>
                <w:sz w:val="24"/>
                <w:szCs w:val="24"/>
              </w:rPr>
              <w:t>3.17</w:t>
            </w:r>
          </w:p>
        </w:tc>
      </w:tr>
      <w:tr w:rsidR="00365352">
        <w:trPr>
          <w:jc w:val="center"/>
        </w:trPr>
        <w:tc>
          <w:tcPr>
            <w:tcW w:w="855" w:type="dxa"/>
            <w:vAlign w:val="center"/>
          </w:tcPr>
          <w:p w:rsidR="00365352" w:rsidRDefault="00CA5482">
            <w:pPr>
              <w:jc w:val="center"/>
            </w:pPr>
            <w:r>
              <w:rPr>
                <w:color w:val="000000"/>
                <w:sz w:val="24"/>
                <w:szCs w:val="24"/>
              </w:rPr>
              <w:t>7</w:t>
            </w:r>
          </w:p>
        </w:tc>
        <w:tc>
          <w:tcPr>
            <w:tcW w:w="1334" w:type="dxa"/>
            <w:vAlign w:val="center"/>
          </w:tcPr>
          <w:p w:rsidR="00365352" w:rsidRDefault="00CA5482">
            <w:pPr>
              <w:jc w:val="center"/>
            </w:pPr>
            <w:r>
              <w:rPr>
                <w:color w:val="000000"/>
                <w:sz w:val="24"/>
                <w:szCs w:val="24"/>
              </w:rPr>
              <w:t>600820</w:t>
            </w:r>
          </w:p>
        </w:tc>
        <w:tc>
          <w:tcPr>
            <w:tcW w:w="1777" w:type="dxa"/>
            <w:vAlign w:val="center"/>
          </w:tcPr>
          <w:p w:rsidR="00365352" w:rsidRDefault="00CA5482">
            <w:pPr>
              <w:jc w:val="center"/>
            </w:pPr>
            <w:r>
              <w:rPr>
                <w:color w:val="000000"/>
                <w:sz w:val="24"/>
                <w:szCs w:val="24"/>
              </w:rPr>
              <w:t>隧道股份</w:t>
            </w:r>
          </w:p>
        </w:tc>
        <w:tc>
          <w:tcPr>
            <w:tcW w:w="1334" w:type="dxa"/>
            <w:vAlign w:val="center"/>
          </w:tcPr>
          <w:p w:rsidR="00365352" w:rsidRDefault="00CA5482">
            <w:pPr>
              <w:jc w:val="right"/>
            </w:pPr>
            <w:r>
              <w:rPr>
                <w:color w:val="000000"/>
                <w:sz w:val="24"/>
                <w:szCs w:val="24"/>
              </w:rPr>
              <w:t>7,099,974</w:t>
            </w:r>
          </w:p>
        </w:tc>
        <w:tc>
          <w:tcPr>
            <w:tcW w:w="1924" w:type="dxa"/>
            <w:vAlign w:val="center"/>
          </w:tcPr>
          <w:p w:rsidR="00365352" w:rsidRDefault="00CA5482">
            <w:pPr>
              <w:jc w:val="right"/>
            </w:pPr>
            <w:r>
              <w:rPr>
                <w:color w:val="000000"/>
                <w:sz w:val="24"/>
                <w:szCs w:val="24"/>
              </w:rPr>
              <w:t>82,217,698.92</w:t>
            </w:r>
          </w:p>
        </w:tc>
        <w:tc>
          <w:tcPr>
            <w:tcW w:w="1644" w:type="dxa"/>
            <w:vAlign w:val="center"/>
          </w:tcPr>
          <w:p w:rsidR="00365352" w:rsidRDefault="00CA5482">
            <w:pPr>
              <w:jc w:val="right"/>
            </w:pPr>
            <w:r>
              <w:rPr>
                <w:color w:val="000000"/>
                <w:sz w:val="24"/>
                <w:szCs w:val="24"/>
              </w:rPr>
              <w:t>3.11</w:t>
            </w:r>
          </w:p>
        </w:tc>
      </w:tr>
      <w:tr w:rsidR="00365352">
        <w:trPr>
          <w:jc w:val="center"/>
        </w:trPr>
        <w:tc>
          <w:tcPr>
            <w:tcW w:w="855" w:type="dxa"/>
            <w:vAlign w:val="center"/>
          </w:tcPr>
          <w:p w:rsidR="00365352" w:rsidRDefault="00CA5482">
            <w:pPr>
              <w:jc w:val="center"/>
            </w:pPr>
            <w:r>
              <w:rPr>
                <w:color w:val="000000"/>
                <w:sz w:val="24"/>
                <w:szCs w:val="24"/>
              </w:rPr>
              <w:t>8</w:t>
            </w:r>
          </w:p>
        </w:tc>
        <w:tc>
          <w:tcPr>
            <w:tcW w:w="1334" w:type="dxa"/>
            <w:vAlign w:val="center"/>
          </w:tcPr>
          <w:p w:rsidR="00365352" w:rsidRDefault="00CA5482">
            <w:pPr>
              <w:jc w:val="center"/>
            </w:pPr>
            <w:r>
              <w:rPr>
                <w:color w:val="000000"/>
                <w:sz w:val="24"/>
                <w:szCs w:val="24"/>
              </w:rPr>
              <w:t>300017</w:t>
            </w:r>
          </w:p>
        </w:tc>
        <w:tc>
          <w:tcPr>
            <w:tcW w:w="1777" w:type="dxa"/>
            <w:vAlign w:val="center"/>
          </w:tcPr>
          <w:p w:rsidR="00365352" w:rsidRDefault="00CA5482">
            <w:pPr>
              <w:jc w:val="center"/>
            </w:pPr>
            <w:r>
              <w:rPr>
                <w:color w:val="000000"/>
                <w:sz w:val="24"/>
                <w:szCs w:val="24"/>
              </w:rPr>
              <w:t>网宿科技</w:t>
            </w:r>
          </w:p>
        </w:tc>
        <w:tc>
          <w:tcPr>
            <w:tcW w:w="1334" w:type="dxa"/>
            <w:vAlign w:val="center"/>
          </w:tcPr>
          <w:p w:rsidR="00365352" w:rsidRDefault="00CA5482">
            <w:pPr>
              <w:jc w:val="right"/>
            </w:pPr>
            <w:r>
              <w:rPr>
                <w:color w:val="000000"/>
                <w:sz w:val="24"/>
                <w:szCs w:val="24"/>
              </w:rPr>
              <w:t>1,499,964</w:t>
            </w:r>
          </w:p>
        </w:tc>
        <w:tc>
          <w:tcPr>
            <w:tcW w:w="1924" w:type="dxa"/>
            <w:vAlign w:val="center"/>
          </w:tcPr>
          <w:p w:rsidR="00365352" w:rsidRDefault="00CA5482">
            <w:pPr>
              <w:jc w:val="right"/>
            </w:pPr>
            <w:r>
              <w:rPr>
                <w:color w:val="000000"/>
                <w:sz w:val="24"/>
                <w:szCs w:val="24"/>
              </w:rPr>
              <w:t>79,063,102.44</w:t>
            </w:r>
          </w:p>
        </w:tc>
        <w:tc>
          <w:tcPr>
            <w:tcW w:w="1644" w:type="dxa"/>
            <w:vAlign w:val="center"/>
          </w:tcPr>
          <w:p w:rsidR="00365352" w:rsidRDefault="00CA5482">
            <w:pPr>
              <w:jc w:val="right"/>
            </w:pPr>
            <w:r>
              <w:rPr>
                <w:color w:val="000000"/>
                <w:sz w:val="24"/>
                <w:szCs w:val="24"/>
              </w:rPr>
              <w:t>2.99</w:t>
            </w:r>
          </w:p>
        </w:tc>
      </w:tr>
      <w:tr w:rsidR="00365352">
        <w:trPr>
          <w:jc w:val="center"/>
        </w:trPr>
        <w:tc>
          <w:tcPr>
            <w:tcW w:w="855" w:type="dxa"/>
            <w:vAlign w:val="center"/>
          </w:tcPr>
          <w:p w:rsidR="00365352" w:rsidRDefault="00CA5482">
            <w:pPr>
              <w:jc w:val="center"/>
            </w:pPr>
            <w:r>
              <w:rPr>
                <w:color w:val="000000"/>
                <w:sz w:val="24"/>
                <w:szCs w:val="24"/>
              </w:rPr>
              <w:t>9</w:t>
            </w:r>
          </w:p>
        </w:tc>
        <w:tc>
          <w:tcPr>
            <w:tcW w:w="1334" w:type="dxa"/>
            <w:vAlign w:val="center"/>
          </w:tcPr>
          <w:p w:rsidR="00365352" w:rsidRDefault="00CA5482">
            <w:pPr>
              <w:jc w:val="center"/>
            </w:pPr>
            <w:r>
              <w:rPr>
                <w:color w:val="000000"/>
                <w:sz w:val="24"/>
                <w:szCs w:val="24"/>
              </w:rPr>
              <w:t>002131</w:t>
            </w:r>
          </w:p>
        </w:tc>
        <w:tc>
          <w:tcPr>
            <w:tcW w:w="1777" w:type="dxa"/>
            <w:vAlign w:val="center"/>
          </w:tcPr>
          <w:p w:rsidR="00365352" w:rsidRDefault="00CA5482">
            <w:pPr>
              <w:jc w:val="center"/>
            </w:pPr>
            <w:r>
              <w:rPr>
                <w:color w:val="000000"/>
                <w:sz w:val="24"/>
                <w:szCs w:val="24"/>
              </w:rPr>
              <w:t>利欧股份</w:t>
            </w:r>
          </w:p>
        </w:tc>
        <w:tc>
          <w:tcPr>
            <w:tcW w:w="1334" w:type="dxa"/>
            <w:vAlign w:val="center"/>
          </w:tcPr>
          <w:p w:rsidR="00365352" w:rsidRDefault="00CA5482">
            <w:pPr>
              <w:jc w:val="right"/>
            </w:pPr>
            <w:r>
              <w:rPr>
                <w:color w:val="000000"/>
                <w:sz w:val="24"/>
                <w:szCs w:val="24"/>
              </w:rPr>
              <w:t>5,307,653</w:t>
            </w:r>
          </w:p>
        </w:tc>
        <w:tc>
          <w:tcPr>
            <w:tcW w:w="1924" w:type="dxa"/>
            <w:vAlign w:val="center"/>
          </w:tcPr>
          <w:p w:rsidR="00365352" w:rsidRDefault="00CA5482">
            <w:pPr>
              <w:jc w:val="right"/>
            </w:pPr>
            <w:r>
              <w:rPr>
                <w:color w:val="000000"/>
                <w:sz w:val="24"/>
                <w:szCs w:val="24"/>
              </w:rPr>
              <w:t>76,164,820.55</w:t>
            </w:r>
          </w:p>
        </w:tc>
        <w:tc>
          <w:tcPr>
            <w:tcW w:w="1644" w:type="dxa"/>
            <w:vAlign w:val="center"/>
          </w:tcPr>
          <w:p w:rsidR="00365352" w:rsidRDefault="00CA5482">
            <w:pPr>
              <w:jc w:val="right"/>
            </w:pPr>
            <w:r>
              <w:rPr>
                <w:color w:val="000000"/>
                <w:sz w:val="24"/>
                <w:szCs w:val="24"/>
              </w:rPr>
              <w:t>2.88</w:t>
            </w:r>
          </w:p>
        </w:tc>
      </w:tr>
      <w:tr w:rsidR="00365352">
        <w:trPr>
          <w:jc w:val="center"/>
        </w:trPr>
        <w:tc>
          <w:tcPr>
            <w:tcW w:w="855" w:type="dxa"/>
            <w:vAlign w:val="center"/>
          </w:tcPr>
          <w:p w:rsidR="00365352" w:rsidRDefault="00CA5482">
            <w:pPr>
              <w:jc w:val="center"/>
            </w:pPr>
            <w:r>
              <w:rPr>
                <w:color w:val="000000"/>
                <w:sz w:val="24"/>
                <w:szCs w:val="24"/>
              </w:rPr>
              <w:t>10</w:t>
            </w:r>
          </w:p>
        </w:tc>
        <w:tc>
          <w:tcPr>
            <w:tcW w:w="1334" w:type="dxa"/>
            <w:vAlign w:val="center"/>
          </w:tcPr>
          <w:p w:rsidR="00365352" w:rsidRDefault="00CA5482">
            <w:pPr>
              <w:jc w:val="center"/>
            </w:pPr>
            <w:r>
              <w:rPr>
                <w:color w:val="000000"/>
                <w:sz w:val="24"/>
                <w:szCs w:val="24"/>
              </w:rPr>
              <w:t>002280</w:t>
            </w:r>
          </w:p>
        </w:tc>
        <w:tc>
          <w:tcPr>
            <w:tcW w:w="1777" w:type="dxa"/>
            <w:vAlign w:val="center"/>
          </w:tcPr>
          <w:p w:rsidR="00365352" w:rsidRDefault="00CA5482">
            <w:pPr>
              <w:jc w:val="center"/>
            </w:pPr>
            <w:r>
              <w:rPr>
                <w:color w:val="000000"/>
                <w:sz w:val="24"/>
                <w:szCs w:val="24"/>
              </w:rPr>
              <w:t>联络互动</w:t>
            </w:r>
          </w:p>
        </w:tc>
        <w:tc>
          <w:tcPr>
            <w:tcW w:w="1334" w:type="dxa"/>
            <w:vAlign w:val="center"/>
          </w:tcPr>
          <w:p w:rsidR="00365352" w:rsidRDefault="00CA5482">
            <w:pPr>
              <w:jc w:val="right"/>
            </w:pPr>
            <w:r>
              <w:rPr>
                <w:color w:val="000000"/>
                <w:sz w:val="24"/>
                <w:szCs w:val="24"/>
              </w:rPr>
              <w:t>2,000,000</w:t>
            </w:r>
          </w:p>
        </w:tc>
        <w:tc>
          <w:tcPr>
            <w:tcW w:w="1924" w:type="dxa"/>
            <w:vAlign w:val="center"/>
          </w:tcPr>
          <w:p w:rsidR="00365352" w:rsidRDefault="00CA5482">
            <w:pPr>
              <w:jc w:val="right"/>
            </w:pPr>
            <w:r>
              <w:rPr>
                <w:color w:val="000000"/>
                <w:sz w:val="24"/>
                <w:szCs w:val="24"/>
              </w:rPr>
              <w:t>70,520,000.00</w:t>
            </w:r>
          </w:p>
        </w:tc>
        <w:tc>
          <w:tcPr>
            <w:tcW w:w="1644" w:type="dxa"/>
            <w:vAlign w:val="center"/>
          </w:tcPr>
          <w:p w:rsidR="00365352" w:rsidRDefault="00CA5482">
            <w:pPr>
              <w:jc w:val="right"/>
            </w:pPr>
            <w:r>
              <w:rPr>
                <w:color w:val="000000"/>
                <w:sz w:val="24"/>
                <w:szCs w:val="24"/>
              </w:rPr>
              <w:t>2.67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140,042,000.00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140,042,000.00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51,382,000.00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191,424,000.00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65352">
        <w:trPr>
          <w:jc w:val="center"/>
        </w:trPr>
        <w:tc>
          <w:tcPr>
            <w:tcW w:w="850" w:type="dxa"/>
            <w:vAlign w:val="center"/>
          </w:tcPr>
          <w:p w:rsidR="00365352" w:rsidRDefault="00CA5482">
            <w:pPr>
              <w:jc w:val="center"/>
            </w:pPr>
            <w:r>
              <w:rPr>
                <w:color w:val="000000"/>
                <w:sz w:val="24"/>
                <w:szCs w:val="24"/>
              </w:rPr>
              <w:t>1</w:t>
            </w:r>
          </w:p>
        </w:tc>
        <w:tc>
          <w:tcPr>
            <w:tcW w:w="1475" w:type="dxa"/>
            <w:vAlign w:val="center"/>
          </w:tcPr>
          <w:p w:rsidR="00365352" w:rsidRDefault="00CA5482">
            <w:pPr>
              <w:jc w:val="center"/>
            </w:pPr>
            <w:r>
              <w:rPr>
                <w:color w:val="000000"/>
                <w:sz w:val="24"/>
                <w:szCs w:val="24"/>
              </w:rPr>
              <w:t>150416</w:t>
            </w:r>
          </w:p>
        </w:tc>
        <w:tc>
          <w:tcPr>
            <w:tcW w:w="1769" w:type="dxa"/>
            <w:vAlign w:val="center"/>
          </w:tcPr>
          <w:p w:rsidR="00365352" w:rsidRDefault="00CA5482">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365352" w:rsidRDefault="00CA5482">
            <w:pPr>
              <w:jc w:val="right"/>
            </w:pPr>
            <w:r>
              <w:rPr>
                <w:color w:val="000000"/>
                <w:sz w:val="24"/>
                <w:szCs w:val="24"/>
              </w:rPr>
              <w:t>1,400,000</w:t>
            </w:r>
          </w:p>
        </w:tc>
        <w:tc>
          <w:tcPr>
            <w:tcW w:w="2150" w:type="dxa"/>
            <w:vAlign w:val="center"/>
          </w:tcPr>
          <w:p w:rsidR="00365352" w:rsidRDefault="00CA5482">
            <w:pPr>
              <w:jc w:val="right"/>
            </w:pPr>
            <w:r>
              <w:rPr>
                <w:color w:val="000000"/>
                <w:sz w:val="24"/>
                <w:szCs w:val="24"/>
              </w:rPr>
              <w:t>140,042,000.00</w:t>
            </w:r>
          </w:p>
        </w:tc>
        <w:tc>
          <w:tcPr>
            <w:tcW w:w="1237" w:type="dxa"/>
            <w:vAlign w:val="center"/>
          </w:tcPr>
          <w:p w:rsidR="00365352" w:rsidRDefault="00CA5482">
            <w:pPr>
              <w:jc w:val="right"/>
            </w:pPr>
            <w:r>
              <w:rPr>
                <w:color w:val="000000"/>
                <w:sz w:val="24"/>
                <w:szCs w:val="24"/>
              </w:rPr>
              <w:t>5.30</w:t>
            </w:r>
          </w:p>
        </w:tc>
      </w:tr>
      <w:tr w:rsidR="00365352">
        <w:trPr>
          <w:jc w:val="center"/>
        </w:trPr>
        <w:tc>
          <w:tcPr>
            <w:tcW w:w="850" w:type="dxa"/>
            <w:vAlign w:val="center"/>
          </w:tcPr>
          <w:p w:rsidR="00365352" w:rsidRDefault="00CA5482">
            <w:pPr>
              <w:jc w:val="center"/>
            </w:pPr>
            <w:r>
              <w:rPr>
                <w:color w:val="000000"/>
                <w:sz w:val="24"/>
                <w:szCs w:val="24"/>
              </w:rPr>
              <w:t>2</w:t>
            </w:r>
          </w:p>
        </w:tc>
        <w:tc>
          <w:tcPr>
            <w:tcW w:w="1475" w:type="dxa"/>
            <w:vAlign w:val="center"/>
          </w:tcPr>
          <w:p w:rsidR="00365352" w:rsidRDefault="00CA5482">
            <w:pPr>
              <w:jc w:val="center"/>
            </w:pPr>
            <w:r>
              <w:rPr>
                <w:color w:val="000000"/>
                <w:sz w:val="24"/>
                <w:szCs w:val="24"/>
              </w:rPr>
              <w:t>128009</w:t>
            </w:r>
          </w:p>
        </w:tc>
        <w:tc>
          <w:tcPr>
            <w:tcW w:w="1769" w:type="dxa"/>
            <w:vAlign w:val="center"/>
          </w:tcPr>
          <w:p w:rsidR="00365352" w:rsidRDefault="00CA5482">
            <w:pPr>
              <w:jc w:val="center"/>
            </w:pPr>
            <w:r>
              <w:rPr>
                <w:color w:val="000000"/>
                <w:sz w:val="24"/>
                <w:szCs w:val="24"/>
              </w:rPr>
              <w:t>歌尔转债</w:t>
            </w:r>
          </w:p>
        </w:tc>
        <w:tc>
          <w:tcPr>
            <w:tcW w:w="1387" w:type="dxa"/>
            <w:vAlign w:val="center"/>
          </w:tcPr>
          <w:p w:rsidR="00365352" w:rsidRDefault="00CA5482">
            <w:pPr>
              <w:jc w:val="right"/>
            </w:pPr>
            <w:r>
              <w:rPr>
                <w:color w:val="000000"/>
                <w:sz w:val="24"/>
                <w:szCs w:val="24"/>
              </w:rPr>
              <w:t>200,000</w:t>
            </w:r>
          </w:p>
        </w:tc>
        <w:tc>
          <w:tcPr>
            <w:tcW w:w="2150" w:type="dxa"/>
            <w:vAlign w:val="center"/>
          </w:tcPr>
          <w:p w:rsidR="00365352" w:rsidRDefault="00CA5482">
            <w:pPr>
              <w:jc w:val="right"/>
            </w:pPr>
            <w:r>
              <w:rPr>
                <w:color w:val="000000"/>
                <w:sz w:val="24"/>
                <w:szCs w:val="24"/>
              </w:rPr>
              <w:t>25,856,000.00</w:t>
            </w:r>
          </w:p>
        </w:tc>
        <w:tc>
          <w:tcPr>
            <w:tcW w:w="1237" w:type="dxa"/>
            <w:vAlign w:val="center"/>
          </w:tcPr>
          <w:p w:rsidR="00365352" w:rsidRDefault="00CA5482">
            <w:pPr>
              <w:jc w:val="right"/>
            </w:pPr>
            <w:r>
              <w:rPr>
                <w:color w:val="000000"/>
                <w:sz w:val="24"/>
                <w:szCs w:val="24"/>
              </w:rPr>
              <w:t>0.98</w:t>
            </w:r>
          </w:p>
        </w:tc>
      </w:tr>
      <w:tr w:rsidR="00365352">
        <w:trPr>
          <w:jc w:val="center"/>
        </w:trPr>
        <w:tc>
          <w:tcPr>
            <w:tcW w:w="850" w:type="dxa"/>
            <w:vAlign w:val="center"/>
          </w:tcPr>
          <w:p w:rsidR="00365352" w:rsidRDefault="00CA5482">
            <w:pPr>
              <w:jc w:val="center"/>
            </w:pPr>
            <w:r>
              <w:rPr>
                <w:color w:val="000000"/>
                <w:sz w:val="24"/>
                <w:szCs w:val="24"/>
              </w:rPr>
              <w:t>3</w:t>
            </w:r>
          </w:p>
        </w:tc>
        <w:tc>
          <w:tcPr>
            <w:tcW w:w="1475" w:type="dxa"/>
            <w:vAlign w:val="center"/>
          </w:tcPr>
          <w:p w:rsidR="00365352" w:rsidRDefault="00CA5482">
            <w:pPr>
              <w:jc w:val="center"/>
            </w:pPr>
            <w:r>
              <w:rPr>
                <w:color w:val="000000"/>
                <w:sz w:val="24"/>
                <w:szCs w:val="24"/>
              </w:rPr>
              <w:t>110031</w:t>
            </w:r>
          </w:p>
        </w:tc>
        <w:tc>
          <w:tcPr>
            <w:tcW w:w="1769" w:type="dxa"/>
            <w:vAlign w:val="center"/>
          </w:tcPr>
          <w:p w:rsidR="00365352" w:rsidRDefault="00CA5482">
            <w:pPr>
              <w:jc w:val="center"/>
            </w:pPr>
            <w:r>
              <w:rPr>
                <w:color w:val="000000"/>
                <w:sz w:val="24"/>
                <w:szCs w:val="24"/>
              </w:rPr>
              <w:t>航信转债</w:t>
            </w:r>
          </w:p>
        </w:tc>
        <w:tc>
          <w:tcPr>
            <w:tcW w:w="1387" w:type="dxa"/>
            <w:vAlign w:val="center"/>
          </w:tcPr>
          <w:p w:rsidR="00365352" w:rsidRDefault="00CA5482">
            <w:pPr>
              <w:jc w:val="right"/>
            </w:pPr>
            <w:r>
              <w:rPr>
                <w:color w:val="000000"/>
                <w:sz w:val="24"/>
                <w:szCs w:val="24"/>
              </w:rPr>
              <w:t>200,000</w:t>
            </w:r>
          </w:p>
        </w:tc>
        <w:tc>
          <w:tcPr>
            <w:tcW w:w="2150" w:type="dxa"/>
            <w:vAlign w:val="center"/>
          </w:tcPr>
          <w:p w:rsidR="00365352" w:rsidRDefault="00CA5482">
            <w:pPr>
              <w:jc w:val="right"/>
            </w:pPr>
            <w:r>
              <w:rPr>
                <w:color w:val="000000"/>
                <w:sz w:val="24"/>
                <w:szCs w:val="24"/>
              </w:rPr>
              <w:t>25,526,000.00</w:t>
            </w:r>
          </w:p>
        </w:tc>
        <w:tc>
          <w:tcPr>
            <w:tcW w:w="1237" w:type="dxa"/>
            <w:vAlign w:val="center"/>
          </w:tcPr>
          <w:p w:rsidR="00365352" w:rsidRDefault="00CA5482">
            <w:pPr>
              <w:jc w:val="right"/>
            </w:pPr>
            <w:r>
              <w:rPr>
                <w:color w:val="000000"/>
                <w:sz w:val="24"/>
                <w:szCs w:val="24"/>
              </w:rPr>
              <w:t>0.97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2,565,597.59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1,020,496.89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810,537.00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4,396,631.48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365352">
        <w:trPr>
          <w:jc w:val="center"/>
        </w:trPr>
        <w:tc>
          <w:tcPr>
            <w:tcW w:w="1883" w:type="dxa"/>
            <w:vAlign w:val="center"/>
          </w:tcPr>
          <w:p w:rsidR="00365352" w:rsidRDefault="00CA5482">
            <w:pPr>
              <w:jc w:val="center"/>
            </w:pPr>
            <w:r>
              <w:rPr>
                <w:color w:val="000000"/>
                <w:sz w:val="24"/>
                <w:szCs w:val="24"/>
              </w:rPr>
              <w:t>1</w:t>
            </w:r>
          </w:p>
        </w:tc>
        <w:tc>
          <w:tcPr>
            <w:tcW w:w="1801" w:type="dxa"/>
            <w:vAlign w:val="center"/>
          </w:tcPr>
          <w:p w:rsidR="00365352" w:rsidRDefault="00CA5482">
            <w:pPr>
              <w:jc w:val="center"/>
            </w:pPr>
            <w:r>
              <w:rPr>
                <w:color w:val="000000"/>
                <w:sz w:val="24"/>
                <w:szCs w:val="24"/>
              </w:rPr>
              <w:t>128009</w:t>
            </w:r>
          </w:p>
        </w:tc>
        <w:tc>
          <w:tcPr>
            <w:tcW w:w="1727" w:type="dxa"/>
            <w:vAlign w:val="center"/>
          </w:tcPr>
          <w:p w:rsidR="00365352" w:rsidRDefault="00CA5482">
            <w:pPr>
              <w:jc w:val="center"/>
            </w:pPr>
            <w:r>
              <w:rPr>
                <w:color w:val="000000"/>
                <w:sz w:val="24"/>
                <w:szCs w:val="24"/>
              </w:rPr>
              <w:t>歌尔转债</w:t>
            </w:r>
          </w:p>
        </w:tc>
        <w:tc>
          <w:tcPr>
            <w:tcW w:w="1768" w:type="dxa"/>
            <w:vAlign w:val="center"/>
          </w:tcPr>
          <w:p w:rsidR="00365352" w:rsidRDefault="00CA5482">
            <w:pPr>
              <w:jc w:val="right"/>
            </w:pPr>
            <w:r>
              <w:rPr>
                <w:color w:val="000000"/>
                <w:sz w:val="24"/>
                <w:szCs w:val="24"/>
              </w:rPr>
              <w:t>25,856,000.00</w:t>
            </w:r>
          </w:p>
        </w:tc>
        <w:tc>
          <w:tcPr>
            <w:tcW w:w="1689" w:type="dxa"/>
            <w:vAlign w:val="center"/>
          </w:tcPr>
          <w:p w:rsidR="00365352" w:rsidRDefault="00CA5482">
            <w:pPr>
              <w:jc w:val="right"/>
            </w:pPr>
            <w:r>
              <w:rPr>
                <w:color w:val="000000"/>
                <w:sz w:val="24"/>
                <w:szCs w:val="24"/>
              </w:rPr>
              <w:t>0.98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65352">
        <w:trPr>
          <w:jc w:val="center"/>
        </w:trPr>
        <w:tc>
          <w:tcPr>
            <w:tcW w:w="1129" w:type="dxa"/>
            <w:vAlign w:val="center"/>
          </w:tcPr>
          <w:p w:rsidR="00365352" w:rsidRDefault="00CA5482">
            <w:pPr>
              <w:jc w:val="center"/>
            </w:pPr>
            <w:r>
              <w:rPr>
                <w:color w:val="000000"/>
                <w:sz w:val="24"/>
                <w:szCs w:val="24"/>
              </w:rPr>
              <w:t>1</w:t>
            </w:r>
          </w:p>
        </w:tc>
        <w:tc>
          <w:tcPr>
            <w:tcW w:w="1356" w:type="dxa"/>
            <w:vAlign w:val="center"/>
          </w:tcPr>
          <w:p w:rsidR="00365352" w:rsidRDefault="00CA5482">
            <w:pPr>
              <w:jc w:val="center"/>
            </w:pPr>
            <w:r>
              <w:rPr>
                <w:color w:val="000000"/>
                <w:sz w:val="24"/>
                <w:szCs w:val="24"/>
              </w:rPr>
              <w:t>002131</w:t>
            </w:r>
          </w:p>
        </w:tc>
        <w:tc>
          <w:tcPr>
            <w:tcW w:w="1355" w:type="dxa"/>
            <w:vAlign w:val="center"/>
          </w:tcPr>
          <w:p w:rsidR="00365352" w:rsidRDefault="00CA5482">
            <w:pPr>
              <w:jc w:val="center"/>
            </w:pPr>
            <w:r>
              <w:rPr>
                <w:color w:val="000000"/>
                <w:sz w:val="24"/>
                <w:szCs w:val="24"/>
              </w:rPr>
              <w:t>利欧股份</w:t>
            </w:r>
          </w:p>
        </w:tc>
        <w:tc>
          <w:tcPr>
            <w:tcW w:w="1880" w:type="dxa"/>
            <w:vAlign w:val="center"/>
          </w:tcPr>
          <w:p w:rsidR="00365352" w:rsidRDefault="00CA5482">
            <w:pPr>
              <w:jc w:val="right"/>
            </w:pPr>
            <w:r>
              <w:rPr>
                <w:color w:val="000000"/>
                <w:sz w:val="24"/>
                <w:szCs w:val="24"/>
              </w:rPr>
              <w:t>76,164,820.55</w:t>
            </w:r>
          </w:p>
        </w:tc>
        <w:tc>
          <w:tcPr>
            <w:tcW w:w="1724" w:type="dxa"/>
            <w:vAlign w:val="center"/>
          </w:tcPr>
          <w:p w:rsidR="00365352" w:rsidRDefault="00CA5482">
            <w:pPr>
              <w:jc w:val="right"/>
            </w:pPr>
            <w:r>
              <w:rPr>
                <w:color w:val="000000"/>
                <w:sz w:val="24"/>
                <w:szCs w:val="24"/>
              </w:rPr>
              <w:t>2.88</w:t>
            </w:r>
          </w:p>
        </w:tc>
        <w:tc>
          <w:tcPr>
            <w:tcW w:w="1424" w:type="dxa"/>
            <w:vAlign w:val="center"/>
          </w:tcPr>
          <w:p w:rsidR="00365352" w:rsidRDefault="00CA5482">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3,265,594,660.52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487,433,463.34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324,436,837.92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3,428,591,285.94</w:t>
            </w:r>
          </w:p>
        </w:tc>
      </w:tr>
    </w:tbl>
    <w:p w:rsidR="00365352" w:rsidRDefault="00CA548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4,675,705.67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6172B9" w:rsidP="00C15CAC">
            <w:pPr>
              <w:spacing w:line="288" w:lineRule="auto"/>
              <w:jc w:val="right"/>
              <w:rPr>
                <w:rFonts w:eastAsiaTheme="minorEastAsia"/>
                <w:color w:val="000000"/>
                <w:kern w:val="0"/>
                <w:sz w:val="24"/>
                <w:szCs w:val="24"/>
              </w:rPr>
            </w:pPr>
            <w:r w:rsidRPr="006172B9">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0.69</w:t>
            </w:r>
          </w:p>
        </w:tc>
      </w:tr>
    </w:tbl>
    <w:p w:rsidR="00365352" w:rsidRDefault="00CA548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9D26AC">
      <w:pPr>
        <w:autoSpaceDE w:val="0"/>
        <w:autoSpaceDN w:val="0"/>
        <w:adjustRightInd w:val="0"/>
        <w:spacing w:before="29" w:line="288" w:lineRule="auto"/>
        <w:ind w:firstLineChars="200" w:firstLine="480"/>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365352">
        <w:trPr>
          <w:jc w:val="center"/>
        </w:trPr>
        <w:tc>
          <w:tcPr>
            <w:tcW w:w="1032" w:type="dxa"/>
            <w:vAlign w:val="center"/>
          </w:tcPr>
          <w:p w:rsidR="00365352" w:rsidRDefault="00CA5482">
            <w:pPr>
              <w:jc w:val="center"/>
            </w:pPr>
            <w:r>
              <w:rPr>
                <w:color w:val="000000"/>
                <w:sz w:val="24"/>
              </w:rPr>
              <w:t>1</w:t>
            </w:r>
          </w:p>
        </w:tc>
        <w:tc>
          <w:tcPr>
            <w:tcW w:w="1776" w:type="dxa"/>
            <w:vAlign w:val="center"/>
          </w:tcPr>
          <w:p w:rsidR="00365352" w:rsidRDefault="00CA5482">
            <w:pPr>
              <w:jc w:val="center"/>
            </w:pPr>
            <w:r>
              <w:rPr>
                <w:color w:val="000000"/>
                <w:sz w:val="24"/>
              </w:rPr>
              <w:t>红利再投</w:t>
            </w:r>
          </w:p>
        </w:tc>
        <w:tc>
          <w:tcPr>
            <w:tcW w:w="1317" w:type="dxa"/>
            <w:vAlign w:val="center"/>
          </w:tcPr>
          <w:p w:rsidR="00365352" w:rsidRDefault="00CA5482">
            <w:pPr>
              <w:jc w:val="center"/>
            </w:pPr>
            <w:r>
              <w:rPr>
                <w:color w:val="000000"/>
                <w:sz w:val="24"/>
              </w:rPr>
              <w:t>2015-07-17</w:t>
            </w:r>
          </w:p>
        </w:tc>
        <w:tc>
          <w:tcPr>
            <w:tcW w:w="1633" w:type="dxa"/>
            <w:vAlign w:val="center"/>
          </w:tcPr>
          <w:p w:rsidR="00365352" w:rsidRDefault="00CA5482">
            <w:pPr>
              <w:jc w:val="right"/>
            </w:pPr>
            <w:r>
              <w:rPr>
                <w:color w:val="000000"/>
                <w:sz w:val="24"/>
              </w:rPr>
              <w:t>4,675,705.67</w:t>
            </w:r>
          </w:p>
        </w:tc>
        <w:tc>
          <w:tcPr>
            <w:tcW w:w="1767" w:type="dxa"/>
            <w:vAlign w:val="center"/>
          </w:tcPr>
          <w:p w:rsidR="00365352" w:rsidRDefault="00CA5482">
            <w:pPr>
              <w:jc w:val="right"/>
            </w:pPr>
            <w:r>
              <w:rPr>
                <w:color w:val="000000"/>
                <w:sz w:val="24"/>
              </w:rPr>
              <w:t>3,806,959.56</w:t>
            </w:r>
          </w:p>
        </w:tc>
        <w:tc>
          <w:tcPr>
            <w:tcW w:w="1343" w:type="dxa"/>
            <w:vAlign w:val="center"/>
          </w:tcPr>
          <w:p w:rsidR="00365352" w:rsidRDefault="006172B9">
            <w:pPr>
              <w:jc w:val="center"/>
            </w:pPr>
            <w:r w:rsidRPr="006172B9">
              <w:rPr>
                <w:color w:val="000000"/>
                <w:sz w:val="24"/>
              </w:rPr>
              <w:t>-</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6172B9" w:rsidP="00C15CAC">
            <w:pPr>
              <w:adjustRightInd w:val="0"/>
              <w:snapToGrid w:val="0"/>
              <w:spacing w:before="29" w:line="288" w:lineRule="auto"/>
              <w:jc w:val="right"/>
              <w:rPr>
                <w:color w:val="000000"/>
                <w:sz w:val="24"/>
              </w:rPr>
            </w:pPr>
            <w:r w:rsidRPr="006172B9">
              <w:rPr>
                <w:color w:val="000000"/>
                <w:sz w:val="24"/>
              </w:rPr>
              <w:t>4,675,705.67</w:t>
            </w:r>
          </w:p>
        </w:tc>
        <w:tc>
          <w:tcPr>
            <w:tcW w:w="1842" w:type="dxa"/>
            <w:vAlign w:val="center"/>
          </w:tcPr>
          <w:p w:rsidR="00320300" w:rsidRPr="00414345" w:rsidRDefault="006172B9" w:rsidP="00C15CAC">
            <w:pPr>
              <w:adjustRightInd w:val="0"/>
              <w:snapToGrid w:val="0"/>
              <w:spacing w:before="29" w:line="288" w:lineRule="auto"/>
              <w:jc w:val="right"/>
              <w:rPr>
                <w:color w:val="000000"/>
                <w:sz w:val="24"/>
              </w:rPr>
            </w:pPr>
            <w:r w:rsidRPr="006172B9">
              <w:rPr>
                <w:color w:val="000000"/>
                <w:sz w:val="24"/>
              </w:rPr>
              <w:t>3,806,959.56</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365352" w:rsidRDefault="00CA5482">
      <w:pPr>
        <w:spacing w:before="29" w:line="288" w:lineRule="auto"/>
        <w:ind w:firstLineChars="200" w:firstLine="480"/>
        <w:rPr>
          <w:color w:val="000000"/>
          <w:sz w:val="24"/>
          <w:szCs w:val="24"/>
        </w:rPr>
      </w:pPr>
      <w:r>
        <w:rPr>
          <w:color w:val="000000"/>
          <w:sz w:val="24"/>
          <w:szCs w:val="24"/>
        </w:rPr>
        <w:t xml:space="preserve">1. </w:t>
      </w:r>
      <w:r>
        <w:rPr>
          <w:color w:val="000000"/>
          <w:sz w:val="24"/>
          <w:szCs w:val="24"/>
        </w:rPr>
        <w:t>根据《中华人民共和国证券投资基金法》、《关于实施</w:t>
      </w:r>
      <w:r>
        <w:rPr>
          <w:color w:val="000000"/>
          <w:sz w:val="24"/>
          <w:szCs w:val="24"/>
        </w:rPr>
        <w:t>&lt;</w:t>
      </w:r>
      <w:r>
        <w:rPr>
          <w:color w:val="000000"/>
          <w:sz w:val="24"/>
          <w:szCs w:val="24"/>
        </w:rPr>
        <w:t>公开募集证券投资基金运作管理办法</w:t>
      </w:r>
      <w:r>
        <w:rPr>
          <w:color w:val="000000"/>
          <w:sz w:val="24"/>
          <w:szCs w:val="24"/>
        </w:rPr>
        <w:t>&gt;</w:t>
      </w:r>
      <w:r>
        <w:rPr>
          <w:color w:val="000000"/>
          <w:sz w:val="24"/>
          <w:szCs w:val="24"/>
        </w:rPr>
        <w:t>有关问题的规定》以及《公开募集证券投资基金运作管理办法》第三十条的规定</w:t>
      </w:r>
      <w:r>
        <w:rPr>
          <w:color w:val="000000"/>
          <w:sz w:val="24"/>
          <w:szCs w:val="24"/>
        </w:rPr>
        <w:t>“</w:t>
      </w:r>
      <w:r>
        <w:rPr>
          <w:color w:val="000000"/>
          <w:sz w:val="24"/>
          <w:szCs w:val="24"/>
        </w:rPr>
        <w:t>基金合同和基金招募说明书应当按照下列规定载明基金的类别：（一）百分之八十以上的基金资产投资于股票的，为股票基金；</w:t>
      </w:r>
      <w:r>
        <w:rPr>
          <w:color w:val="000000"/>
          <w:sz w:val="24"/>
          <w:szCs w:val="24"/>
        </w:rPr>
        <w:t>……</w:t>
      </w:r>
      <w:r>
        <w:rPr>
          <w:color w:val="000000"/>
          <w:sz w:val="24"/>
          <w:szCs w:val="24"/>
        </w:rPr>
        <w:t>（五）投资于股票、债券、货币市场工具或其他基金份额，并且股票投资、债券投资、基金投资的比例不符合第（一）项、第（二）项、第（四）项规定的，为混合基金；</w:t>
      </w:r>
      <w:r>
        <w:rPr>
          <w:color w:val="000000"/>
          <w:sz w:val="24"/>
          <w:szCs w:val="24"/>
        </w:rPr>
        <w:t>……”</w:t>
      </w:r>
      <w:r>
        <w:rPr>
          <w:color w:val="000000"/>
          <w:sz w:val="24"/>
          <w:szCs w:val="24"/>
        </w:rPr>
        <w:t>，由于交银施罗德蓝筹股票证券投资基金的基金投资比例已不符合《公开募集证券投资基金运作管理办法》中关于股票型基金的要求，经与基金托管人协商一致，并报中国证监会备案，本基金管理人决定自</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日起，调整本基金类型为混合型基金，基金名称变更为</w:t>
      </w:r>
      <w:r>
        <w:rPr>
          <w:color w:val="000000"/>
          <w:sz w:val="24"/>
          <w:szCs w:val="24"/>
        </w:rPr>
        <w:t>“</w:t>
      </w:r>
      <w:r>
        <w:rPr>
          <w:color w:val="000000"/>
          <w:sz w:val="24"/>
          <w:szCs w:val="24"/>
        </w:rPr>
        <w:t>交银施罗德蓝筹混合型证券投资基金</w:t>
      </w:r>
      <w:r>
        <w:rPr>
          <w:color w:val="000000"/>
          <w:sz w:val="24"/>
          <w:szCs w:val="24"/>
        </w:rPr>
        <w:t>”</w:t>
      </w:r>
      <w:r>
        <w:rPr>
          <w:color w:val="000000"/>
          <w:sz w:val="24"/>
          <w:szCs w:val="24"/>
        </w:rPr>
        <w:t>，同时相应修改基金合同和托管协议相关表述。详情请见本基金管理人于</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5</w:t>
      </w:r>
      <w:r>
        <w:rPr>
          <w:color w:val="000000"/>
          <w:sz w:val="24"/>
          <w:szCs w:val="24"/>
        </w:rPr>
        <w:t>日发布的《交银施罗德基金管理有限公司关于旗下部分基金变更基金类别及修改基金名称并相应修改基金合同和托管协议的公告》。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2. </w:t>
      </w:r>
      <w:r w:rsidRPr="00414345">
        <w:rPr>
          <w:color w:val="000000"/>
          <w:sz w:val="24"/>
          <w:szCs w:val="24"/>
        </w:rPr>
        <w:t>鉴于交银施罗德蓝筹混合型证券投资基金的业绩比较基准的指数停止计算编制，本基金管理人根据基金合同的相关约定，经与基金托管人协商一致，并报中国证监会备案，决定自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日起将交银施罗德蓝筹混合型证券投资基金的业绩比较基准由原</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65352" w:rsidRDefault="00CA548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365352" w:rsidRDefault="00CA548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365352" w:rsidRDefault="00CA548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365352" w:rsidRDefault="00CA548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365352" w:rsidRDefault="00CA5482">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365352" w:rsidRDefault="00CA548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65352" w:rsidRDefault="00CA548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65352" w:rsidRDefault="00CA548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083" w:rsidRDefault="00B12083" w:rsidP="00876D65">
      <w:r>
        <w:separator/>
      </w:r>
    </w:p>
  </w:endnote>
  <w:endnote w:type="continuationSeparator" w:id="0">
    <w:p w:rsidR="00B12083" w:rsidRDefault="00B1208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9D26AC">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9D26AC">
      <w:rPr>
        <w:noProof/>
        <w:kern w:val="0"/>
        <w:szCs w:val="21"/>
      </w:rPr>
      <w:t>14</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083" w:rsidRDefault="00B12083" w:rsidP="00876D65">
      <w:r>
        <w:separator/>
      </w:r>
    </w:p>
  </w:footnote>
  <w:footnote w:type="continuationSeparator" w:id="0">
    <w:p w:rsidR="00B12083" w:rsidRDefault="00B1208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352"/>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172B9"/>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D26AC"/>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083"/>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482"/>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2A473-11F5-42A6-B0D5-72EE7C3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91C0-D2AA-4165-A5E2-A35AEE0D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14</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561</cp:revision>
  <dcterms:created xsi:type="dcterms:W3CDTF">2012-10-16T06:07:00Z</dcterms:created>
  <dcterms:modified xsi:type="dcterms:W3CDTF">2015-10-22T07:14:00Z</dcterms:modified>
</cp:coreProperties>
</file>