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rsidR="004061AC" w:rsidRPr="00414345" w:rsidRDefault="004061AC" w:rsidP="00F323F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6074F" w:rsidRDefault="00AF507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66074F" w:rsidRDefault="00AF5070">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 xml:space="preserve">日复核了本报告中的财务指标、净值表现和投资组合报告等内容，保证复核内容不存在虚假记载、误导性陈述或者重大遗漏。　　</w:t>
      </w:r>
    </w:p>
    <w:p w:rsidR="0066074F" w:rsidRDefault="00AF507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66074F" w:rsidRDefault="00AF507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66074F" w:rsidRDefault="00AF5070">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2,432,048,523.77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中信标普全债指数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E1E23" w:rsidRPr="00414345" w:rsidTr="009E1E2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9E1E23" w:rsidRPr="00414345" w:rsidTr="009E1E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-585,174,822.23</w:t>
            </w:r>
          </w:p>
        </w:tc>
      </w:tr>
      <w:tr w:rsidR="009E1E23" w:rsidRPr="00414345" w:rsidTr="009E1E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-1,474,693,041.00</w:t>
            </w:r>
          </w:p>
        </w:tc>
      </w:tr>
      <w:tr w:rsidR="009E1E23" w:rsidRPr="00414345" w:rsidTr="009E1E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-0.5443</w:t>
            </w:r>
          </w:p>
        </w:tc>
      </w:tr>
      <w:tr w:rsidR="009E1E23" w:rsidRPr="00414345" w:rsidTr="009E1E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3,655,679,563.19</w:t>
            </w:r>
          </w:p>
        </w:tc>
      </w:tr>
      <w:tr w:rsidR="009E1E23" w:rsidRPr="00414345" w:rsidTr="009E1E2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1.5031</w:t>
            </w:r>
          </w:p>
        </w:tc>
      </w:tr>
    </w:tbl>
    <w:p w:rsidR="0066074F" w:rsidRDefault="00AF507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6074F">
        <w:trPr>
          <w:jc w:val="center"/>
        </w:trPr>
        <w:tc>
          <w:tcPr>
            <w:tcW w:w="1701" w:type="dxa"/>
            <w:vAlign w:val="center"/>
          </w:tcPr>
          <w:p w:rsidR="0066074F" w:rsidRDefault="00AF5070">
            <w:pPr>
              <w:jc w:val="left"/>
            </w:pPr>
            <w:r>
              <w:rPr>
                <w:color w:val="000000"/>
                <w:sz w:val="24"/>
                <w:szCs w:val="24"/>
              </w:rPr>
              <w:t>过去三个月</w:t>
            </w:r>
          </w:p>
        </w:tc>
        <w:tc>
          <w:tcPr>
            <w:tcW w:w="1045" w:type="dxa"/>
            <w:vAlign w:val="center"/>
          </w:tcPr>
          <w:p w:rsidR="0066074F" w:rsidRDefault="00AF5070">
            <w:pPr>
              <w:jc w:val="center"/>
            </w:pPr>
            <w:r>
              <w:rPr>
                <w:color w:val="000000"/>
                <w:sz w:val="24"/>
                <w:szCs w:val="24"/>
              </w:rPr>
              <w:t>-25.45%</w:t>
            </w:r>
          </w:p>
        </w:tc>
        <w:tc>
          <w:tcPr>
            <w:tcW w:w="1344" w:type="dxa"/>
            <w:vAlign w:val="center"/>
          </w:tcPr>
          <w:p w:rsidR="0066074F" w:rsidRDefault="00AF5070">
            <w:pPr>
              <w:jc w:val="center"/>
            </w:pPr>
            <w:r>
              <w:rPr>
                <w:color w:val="000000"/>
                <w:sz w:val="24"/>
                <w:szCs w:val="24"/>
              </w:rPr>
              <w:t>2.67%</w:t>
            </w:r>
          </w:p>
        </w:tc>
        <w:tc>
          <w:tcPr>
            <w:tcW w:w="1194" w:type="dxa"/>
            <w:vAlign w:val="center"/>
          </w:tcPr>
          <w:p w:rsidR="0066074F" w:rsidRDefault="00AF5070">
            <w:pPr>
              <w:jc w:val="center"/>
            </w:pPr>
            <w:r>
              <w:rPr>
                <w:color w:val="000000"/>
                <w:sz w:val="24"/>
                <w:szCs w:val="24"/>
              </w:rPr>
              <w:t>-18.97%</w:t>
            </w:r>
          </w:p>
        </w:tc>
        <w:tc>
          <w:tcPr>
            <w:tcW w:w="1492" w:type="dxa"/>
            <w:vAlign w:val="center"/>
          </w:tcPr>
          <w:p w:rsidR="0066074F" w:rsidRDefault="00AF5070">
            <w:pPr>
              <w:jc w:val="center"/>
            </w:pPr>
            <w:r>
              <w:rPr>
                <w:color w:val="000000"/>
                <w:sz w:val="24"/>
                <w:szCs w:val="24"/>
              </w:rPr>
              <w:t>2.21%</w:t>
            </w:r>
          </w:p>
        </w:tc>
        <w:tc>
          <w:tcPr>
            <w:tcW w:w="1194" w:type="dxa"/>
            <w:vAlign w:val="center"/>
          </w:tcPr>
          <w:p w:rsidR="0066074F" w:rsidRDefault="00AF5070">
            <w:pPr>
              <w:jc w:val="center"/>
            </w:pPr>
            <w:r>
              <w:rPr>
                <w:color w:val="000000"/>
                <w:sz w:val="24"/>
                <w:szCs w:val="24"/>
              </w:rPr>
              <w:t>-6.48%</w:t>
            </w:r>
          </w:p>
        </w:tc>
        <w:tc>
          <w:tcPr>
            <w:tcW w:w="898" w:type="dxa"/>
            <w:vAlign w:val="center"/>
          </w:tcPr>
          <w:p w:rsidR="0066074F" w:rsidRDefault="00AF5070">
            <w:pPr>
              <w:jc w:val="center"/>
            </w:pPr>
            <w:r>
              <w:rPr>
                <w:color w:val="000000"/>
                <w:sz w:val="24"/>
                <w:szCs w:val="24"/>
              </w:rPr>
              <w:t>0.46%</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2013</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新华巴克莱资本中国全债指数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2013</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26</w:t>
      </w:r>
      <w:r w:rsidRPr="00414345">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6074F">
        <w:trPr>
          <w:jc w:val="center"/>
        </w:trPr>
        <w:tc>
          <w:tcPr>
            <w:tcW w:w="846" w:type="dxa"/>
            <w:vAlign w:val="center"/>
          </w:tcPr>
          <w:p w:rsidR="0066074F" w:rsidRDefault="00AF5070">
            <w:pPr>
              <w:jc w:val="center"/>
            </w:pPr>
            <w:r>
              <w:rPr>
                <w:color w:val="000000"/>
                <w:sz w:val="24"/>
                <w:szCs w:val="24"/>
              </w:rPr>
              <w:t>唐倩</w:t>
            </w:r>
          </w:p>
        </w:tc>
        <w:tc>
          <w:tcPr>
            <w:tcW w:w="845" w:type="dxa"/>
            <w:vAlign w:val="center"/>
          </w:tcPr>
          <w:p w:rsidR="0066074F" w:rsidRDefault="00AF5070">
            <w:pPr>
              <w:jc w:val="center"/>
            </w:pPr>
            <w:r>
              <w:rPr>
                <w:color w:val="000000"/>
                <w:sz w:val="24"/>
                <w:szCs w:val="24"/>
              </w:rPr>
              <w:t>交银稳健配置混合的基金经理、公司首席基金经理</w:t>
            </w:r>
          </w:p>
        </w:tc>
        <w:tc>
          <w:tcPr>
            <w:tcW w:w="1549" w:type="dxa"/>
            <w:vAlign w:val="center"/>
          </w:tcPr>
          <w:p w:rsidR="0066074F" w:rsidRDefault="00AF5070">
            <w:pPr>
              <w:jc w:val="center"/>
            </w:pPr>
            <w:r>
              <w:rPr>
                <w:color w:val="000000"/>
                <w:sz w:val="24"/>
                <w:szCs w:val="24"/>
              </w:rPr>
              <w:t>2013-12-12</w:t>
            </w:r>
          </w:p>
        </w:tc>
        <w:tc>
          <w:tcPr>
            <w:tcW w:w="1548" w:type="dxa"/>
            <w:vAlign w:val="center"/>
          </w:tcPr>
          <w:p w:rsidR="0066074F" w:rsidRDefault="00AF5070">
            <w:pPr>
              <w:jc w:val="center"/>
            </w:pPr>
            <w:r>
              <w:rPr>
                <w:color w:val="000000"/>
                <w:sz w:val="24"/>
                <w:szCs w:val="24"/>
              </w:rPr>
              <w:t>-</w:t>
            </w:r>
          </w:p>
        </w:tc>
        <w:tc>
          <w:tcPr>
            <w:tcW w:w="1407" w:type="dxa"/>
            <w:vAlign w:val="center"/>
          </w:tcPr>
          <w:p w:rsidR="0066074F" w:rsidRDefault="00AF5070">
            <w:pPr>
              <w:jc w:val="center"/>
            </w:pPr>
            <w:r>
              <w:rPr>
                <w:color w:val="000000"/>
                <w:sz w:val="24"/>
                <w:szCs w:val="24"/>
              </w:rPr>
              <w:t>15</w:t>
            </w:r>
            <w:r>
              <w:rPr>
                <w:color w:val="000000"/>
                <w:sz w:val="24"/>
                <w:szCs w:val="24"/>
              </w:rPr>
              <w:t>年</w:t>
            </w:r>
          </w:p>
        </w:tc>
        <w:tc>
          <w:tcPr>
            <w:tcW w:w="2673" w:type="dxa"/>
            <w:vAlign w:val="center"/>
          </w:tcPr>
          <w:p w:rsidR="0066074F" w:rsidRDefault="00AF5070">
            <w:r>
              <w:rPr>
                <w:color w:val="000000"/>
                <w:sz w:val="24"/>
                <w:szCs w:val="24"/>
              </w:rPr>
              <w:t>唐倩女士，</w:t>
            </w:r>
            <w:r>
              <w:rPr>
                <w:color w:val="000000"/>
                <w:sz w:val="24"/>
                <w:szCs w:val="24"/>
              </w:rPr>
              <w:t>CPA</w:t>
            </w:r>
            <w:r>
              <w:rPr>
                <w:color w:val="000000"/>
                <w:sz w:val="24"/>
                <w:szCs w:val="24"/>
              </w:rPr>
              <w:t>，华东师范大学金融学硕士。历任申银万国证券研究所分析师，中银国际有限公司分析师，香港雷曼兄弟证券公司研究员，上投摩根基金管理有限公司研究部总监、基金经理。其中</w:t>
            </w:r>
            <w:r>
              <w:rPr>
                <w:color w:val="000000"/>
                <w:sz w:val="24"/>
                <w:szCs w:val="24"/>
              </w:rPr>
              <w:t>2011</w:t>
            </w:r>
            <w:r>
              <w:rPr>
                <w:color w:val="000000"/>
                <w:sz w:val="24"/>
                <w:szCs w:val="24"/>
              </w:rPr>
              <w:t>年</w:t>
            </w:r>
            <w:r>
              <w:rPr>
                <w:color w:val="000000"/>
                <w:sz w:val="24"/>
                <w:szCs w:val="24"/>
              </w:rPr>
              <w:t>4</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8</w:t>
            </w:r>
            <w:r>
              <w:rPr>
                <w:color w:val="000000"/>
                <w:sz w:val="24"/>
                <w:szCs w:val="24"/>
              </w:rPr>
              <w:t>日担任上投摩根成</w:t>
            </w:r>
            <w:r>
              <w:rPr>
                <w:color w:val="000000"/>
                <w:sz w:val="24"/>
                <w:szCs w:val="24"/>
              </w:rPr>
              <w:lastRenderedPageBreak/>
              <w:t>长先锋基金经理。</w:t>
            </w:r>
            <w:r>
              <w:rPr>
                <w:color w:val="000000"/>
                <w:sz w:val="24"/>
                <w:szCs w:val="24"/>
              </w:rPr>
              <w:t>2013</w:t>
            </w:r>
            <w:r>
              <w:rPr>
                <w:color w:val="000000"/>
                <w:sz w:val="24"/>
                <w:szCs w:val="24"/>
              </w:rPr>
              <w:t>年加入交银施罗德基金管理有限公司，历任权益部副总经理。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6074F" w:rsidRDefault="00AF507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6074F" w:rsidRDefault="00AF507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6074F" w:rsidRDefault="00AF507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6074F" w:rsidRDefault="00AF5070">
      <w:pPr>
        <w:spacing w:before="29" w:line="288" w:lineRule="auto"/>
        <w:ind w:firstLineChars="200" w:firstLine="480"/>
        <w:rPr>
          <w:color w:val="000000"/>
          <w:sz w:val="24"/>
          <w:szCs w:val="24"/>
        </w:rPr>
      </w:pPr>
      <w:r>
        <w:rPr>
          <w:color w:val="000000"/>
          <w:sz w:val="24"/>
          <w:szCs w:val="24"/>
        </w:rPr>
        <w:lastRenderedPageBreak/>
        <w:t>三季度，</w:t>
      </w:r>
      <w:r>
        <w:rPr>
          <w:color w:val="000000"/>
          <w:sz w:val="24"/>
          <w:szCs w:val="24"/>
        </w:rPr>
        <w:t>A</w:t>
      </w:r>
      <w:r>
        <w:rPr>
          <w:color w:val="000000"/>
          <w:sz w:val="24"/>
          <w:szCs w:val="24"/>
        </w:rPr>
        <w:t>股市场在内部估值去泡沫、经济持续下滑以及人民币突然贬值的冲击下持续下跌，并且带来全球资本市场的恐慌。</w:t>
      </w:r>
    </w:p>
    <w:p w:rsidR="0066074F" w:rsidRDefault="00AF5070">
      <w:pPr>
        <w:spacing w:before="29" w:line="288" w:lineRule="auto"/>
        <w:ind w:firstLineChars="200" w:firstLine="480"/>
        <w:rPr>
          <w:color w:val="000000"/>
          <w:sz w:val="24"/>
          <w:szCs w:val="24"/>
        </w:rPr>
      </w:pPr>
      <w:r>
        <w:rPr>
          <w:color w:val="000000"/>
          <w:sz w:val="24"/>
          <w:szCs w:val="24"/>
        </w:rPr>
        <w:t>本基金虽然在资产配置上降低了部分股票资产的比重，但是由于持仓个股的跌幅较大，造成了净值下跌。另外，八月份以来的剧烈震荡也超出了预期，交易上亦受到一定程度的影响。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展望四季度，目前来看宏观和微观基本面趋势仍然较不明朗。但是随着泥沙俱下的走势，有一些公司的投资价值逐渐开始显现。本基金计划聚焦估值安全，业绩确定性较强的成长股，仓位上仍然选择中性策略。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1.5031</w:t>
      </w:r>
      <w:r w:rsidRPr="00414345">
        <w:rPr>
          <w:color w:val="000000"/>
          <w:sz w:val="24"/>
          <w:szCs w:val="24"/>
        </w:rPr>
        <w:t>元，本报告期份额净值增长率为</w:t>
      </w:r>
      <w:r w:rsidRPr="00414345">
        <w:rPr>
          <w:color w:val="000000"/>
          <w:sz w:val="24"/>
          <w:szCs w:val="24"/>
        </w:rPr>
        <w:t>-25.45%</w:t>
      </w:r>
      <w:r w:rsidRPr="00414345">
        <w:rPr>
          <w:color w:val="000000"/>
          <w:sz w:val="24"/>
          <w:szCs w:val="24"/>
        </w:rPr>
        <w:t>，同期业绩比较基准增长率为</w:t>
      </w:r>
      <w:r w:rsidRPr="00414345">
        <w:rPr>
          <w:color w:val="000000"/>
          <w:sz w:val="24"/>
          <w:szCs w:val="24"/>
        </w:rPr>
        <w:t>-18.97%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1,854,013,073.78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50.50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1,854,013,073.78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50.50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544,006,236.66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14.82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1,268,456,242.01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34.55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4,507,442.22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3,670,982,994.67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49,082.74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761,894,264.14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51,415,055.25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20,085.92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28,252,585.92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77,614,364.52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107,993,064.81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175,732,621.27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287,787,883.84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1,139,248.60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12,695.61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361,438,572.50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212,453.96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451,094.70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1,854,013,073.78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50.72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6074F">
        <w:trPr>
          <w:jc w:val="center"/>
        </w:trPr>
        <w:tc>
          <w:tcPr>
            <w:tcW w:w="855" w:type="dxa"/>
            <w:vAlign w:val="center"/>
          </w:tcPr>
          <w:p w:rsidR="0066074F" w:rsidRDefault="00AF5070">
            <w:pPr>
              <w:jc w:val="center"/>
            </w:pPr>
            <w:r>
              <w:rPr>
                <w:color w:val="000000"/>
                <w:sz w:val="24"/>
                <w:szCs w:val="24"/>
              </w:rPr>
              <w:t>1</w:t>
            </w:r>
          </w:p>
        </w:tc>
        <w:tc>
          <w:tcPr>
            <w:tcW w:w="1334" w:type="dxa"/>
            <w:vAlign w:val="center"/>
          </w:tcPr>
          <w:p w:rsidR="0066074F" w:rsidRDefault="00AF5070">
            <w:pPr>
              <w:jc w:val="center"/>
            </w:pPr>
            <w:r>
              <w:rPr>
                <w:color w:val="000000"/>
                <w:sz w:val="24"/>
                <w:szCs w:val="24"/>
              </w:rPr>
              <w:t>600763</w:t>
            </w:r>
          </w:p>
        </w:tc>
        <w:tc>
          <w:tcPr>
            <w:tcW w:w="1777" w:type="dxa"/>
            <w:vAlign w:val="center"/>
          </w:tcPr>
          <w:p w:rsidR="0066074F" w:rsidRDefault="00AF5070">
            <w:pPr>
              <w:jc w:val="center"/>
            </w:pPr>
            <w:r>
              <w:rPr>
                <w:color w:val="000000"/>
                <w:sz w:val="24"/>
                <w:szCs w:val="24"/>
              </w:rPr>
              <w:t>通策医疗</w:t>
            </w:r>
          </w:p>
        </w:tc>
        <w:tc>
          <w:tcPr>
            <w:tcW w:w="1334" w:type="dxa"/>
            <w:vAlign w:val="center"/>
          </w:tcPr>
          <w:p w:rsidR="0066074F" w:rsidRDefault="00AF5070">
            <w:pPr>
              <w:jc w:val="right"/>
            </w:pPr>
            <w:r>
              <w:rPr>
                <w:color w:val="000000"/>
                <w:sz w:val="24"/>
                <w:szCs w:val="24"/>
              </w:rPr>
              <w:t>4,900,862</w:t>
            </w:r>
          </w:p>
        </w:tc>
        <w:tc>
          <w:tcPr>
            <w:tcW w:w="1924" w:type="dxa"/>
            <w:vAlign w:val="center"/>
          </w:tcPr>
          <w:p w:rsidR="0066074F" w:rsidRDefault="00AF5070">
            <w:pPr>
              <w:jc w:val="right"/>
            </w:pPr>
            <w:r>
              <w:rPr>
                <w:color w:val="000000"/>
                <w:sz w:val="24"/>
                <w:szCs w:val="24"/>
              </w:rPr>
              <w:t>361,438,572.50</w:t>
            </w:r>
          </w:p>
        </w:tc>
        <w:tc>
          <w:tcPr>
            <w:tcW w:w="1644" w:type="dxa"/>
            <w:vAlign w:val="center"/>
          </w:tcPr>
          <w:p w:rsidR="0066074F" w:rsidRDefault="00AF5070">
            <w:pPr>
              <w:jc w:val="right"/>
            </w:pPr>
            <w:r>
              <w:rPr>
                <w:color w:val="000000"/>
                <w:sz w:val="24"/>
                <w:szCs w:val="24"/>
              </w:rPr>
              <w:t>9.89</w:t>
            </w:r>
          </w:p>
        </w:tc>
      </w:tr>
      <w:tr w:rsidR="0066074F">
        <w:trPr>
          <w:jc w:val="center"/>
        </w:trPr>
        <w:tc>
          <w:tcPr>
            <w:tcW w:w="855" w:type="dxa"/>
            <w:vAlign w:val="center"/>
          </w:tcPr>
          <w:p w:rsidR="0066074F" w:rsidRDefault="00AF5070">
            <w:pPr>
              <w:jc w:val="center"/>
            </w:pPr>
            <w:r>
              <w:rPr>
                <w:color w:val="000000"/>
                <w:sz w:val="24"/>
                <w:szCs w:val="24"/>
              </w:rPr>
              <w:t>2</w:t>
            </w:r>
          </w:p>
        </w:tc>
        <w:tc>
          <w:tcPr>
            <w:tcW w:w="1334" w:type="dxa"/>
            <w:vAlign w:val="center"/>
          </w:tcPr>
          <w:p w:rsidR="0066074F" w:rsidRDefault="00AF5070">
            <w:pPr>
              <w:jc w:val="center"/>
            </w:pPr>
            <w:r>
              <w:rPr>
                <w:color w:val="000000"/>
                <w:sz w:val="24"/>
                <w:szCs w:val="24"/>
              </w:rPr>
              <w:t>000002</w:t>
            </w:r>
          </w:p>
        </w:tc>
        <w:tc>
          <w:tcPr>
            <w:tcW w:w="1777" w:type="dxa"/>
            <w:vAlign w:val="center"/>
          </w:tcPr>
          <w:p w:rsidR="0066074F" w:rsidRDefault="00AF5070">
            <w:pPr>
              <w:jc w:val="center"/>
            </w:pPr>
            <w:r>
              <w:rPr>
                <w:color w:val="000000"/>
                <w:sz w:val="24"/>
                <w:szCs w:val="24"/>
              </w:rPr>
              <w:t>万</w:t>
            </w:r>
            <w:r>
              <w:rPr>
                <w:color w:val="000000"/>
                <w:sz w:val="24"/>
                <w:szCs w:val="24"/>
              </w:rPr>
              <w:t xml:space="preserve">  </w:t>
            </w:r>
            <w:r>
              <w:rPr>
                <w:color w:val="000000"/>
                <w:sz w:val="24"/>
                <w:szCs w:val="24"/>
              </w:rPr>
              <w:t>科Ａ</w:t>
            </w:r>
          </w:p>
        </w:tc>
        <w:tc>
          <w:tcPr>
            <w:tcW w:w="1334" w:type="dxa"/>
            <w:vAlign w:val="center"/>
          </w:tcPr>
          <w:p w:rsidR="0066074F" w:rsidRDefault="00AF5070">
            <w:pPr>
              <w:jc w:val="right"/>
            </w:pPr>
            <w:r>
              <w:rPr>
                <w:color w:val="000000"/>
                <w:sz w:val="24"/>
                <w:szCs w:val="24"/>
              </w:rPr>
              <w:t>14,895,286</w:t>
            </w:r>
          </w:p>
        </w:tc>
        <w:tc>
          <w:tcPr>
            <w:tcW w:w="1924" w:type="dxa"/>
            <w:vAlign w:val="center"/>
          </w:tcPr>
          <w:p w:rsidR="0066074F" w:rsidRDefault="00AF5070">
            <w:pPr>
              <w:jc w:val="right"/>
            </w:pPr>
            <w:r>
              <w:rPr>
                <w:color w:val="000000"/>
                <w:sz w:val="24"/>
                <w:szCs w:val="24"/>
              </w:rPr>
              <w:t>189,616,990.78</w:t>
            </w:r>
          </w:p>
        </w:tc>
        <w:tc>
          <w:tcPr>
            <w:tcW w:w="1644" w:type="dxa"/>
            <w:vAlign w:val="center"/>
          </w:tcPr>
          <w:p w:rsidR="0066074F" w:rsidRDefault="00AF5070">
            <w:pPr>
              <w:jc w:val="right"/>
            </w:pPr>
            <w:r>
              <w:rPr>
                <w:color w:val="000000"/>
                <w:sz w:val="24"/>
                <w:szCs w:val="24"/>
              </w:rPr>
              <w:t>5.19</w:t>
            </w:r>
          </w:p>
        </w:tc>
      </w:tr>
      <w:tr w:rsidR="0066074F">
        <w:trPr>
          <w:jc w:val="center"/>
        </w:trPr>
        <w:tc>
          <w:tcPr>
            <w:tcW w:w="855" w:type="dxa"/>
            <w:vAlign w:val="center"/>
          </w:tcPr>
          <w:p w:rsidR="0066074F" w:rsidRDefault="00AF5070">
            <w:pPr>
              <w:jc w:val="center"/>
            </w:pPr>
            <w:r>
              <w:rPr>
                <w:color w:val="000000"/>
                <w:sz w:val="24"/>
                <w:szCs w:val="24"/>
              </w:rPr>
              <w:lastRenderedPageBreak/>
              <w:t>3</w:t>
            </w:r>
          </w:p>
        </w:tc>
        <w:tc>
          <w:tcPr>
            <w:tcW w:w="1334" w:type="dxa"/>
            <w:vAlign w:val="center"/>
          </w:tcPr>
          <w:p w:rsidR="0066074F" w:rsidRDefault="00AF5070">
            <w:pPr>
              <w:jc w:val="center"/>
            </w:pPr>
            <w:r>
              <w:rPr>
                <w:color w:val="000000"/>
                <w:sz w:val="24"/>
                <w:szCs w:val="24"/>
              </w:rPr>
              <w:t>000538</w:t>
            </w:r>
          </w:p>
        </w:tc>
        <w:tc>
          <w:tcPr>
            <w:tcW w:w="1777" w:type="dxa"/>
            <w:vAlign w:val="center"/>
          </w:tcPr>
          <w:p w:rsidR="0066074F" w:rsidRDefault="00AF5070">
            <w:pPr>
              <w:jc w:val="center"/>
            </w:pPr>
            <w:r>
              <w:rPr>
                <w:color w:val="000000"/>
                <w:sz w:val="24"/>
                <w:szCs w:val="24"/>
              </w:rPr>
              <w:t>云南白药</w:t>
            </w:r>
          </w:p>
        </w:tc>
        <w:tc>
          <w:tcPr>
            <w:tcW w:w="1334" w:type="dxa"/>
            <w:vAlign w:val="center"/>
          </w:tcPr>
          <w:p w:rsidR="0066074F" w:rsidRDefault="00AF5070">
            <w:pPr>
              <w:jc w:val="right"/>
            </w:pPr>
            <w:r>
              <w:rPr>
                <w:color w:val="000000"/>
                <w:sz w:val="24"/>
                <w:szCs w:val="24"/>
              </w:rPr>
              <w:t>2,603,869</w:t>
            </w:r>
          </w:p>
        </w:tc>
        <w:tc>
          <w:tcPr>
            <w:tcW w:w="1924" w:type="dxa"/>
            <w:vAlign w:val="center"/>
          </w:tcPr>
          <w:p w:rsidR="0066074F" w:rsidRDefault="00AF5070">
            <w:pPr>
              <w:jc w:val="right"/>
            </w:pPr>
            <w:r>
              <w:rPr>
                <w:color w:val="000000"/>
                <w:sz w:val="24"/>
                <w:szCs w:val="24"/>
              </w:rPr>
              <w:t>166,647,616.00</w:t>
            </w:r>
          </w:p>
        </w:tc>
        <w:tc>
          <w:tcPr>
            <w:tcW w:w="1644" w:type="dxa"/>
            <w:vAlign w:val="center"/>
          </w:tcPr>
          <w:p w:rsidR="0066074F" w:rsidRDefault="00AF5070">
            <w:pPr>
              <w:jc w:val="right"/>
            </w:pPr>
            <w:r>
              <w:rPr>
                <w:color w:val="000000"/>
                <w:sz w:val="24"/>
                <w:szCs w:val="24"/>
              </w:rPr>
              <w:t>4.56</w:t>
            </w:r>
          </w:p>
        </w:tc>
      </w:tr>
      <w:tr w:rsidR="0066074F">
        <w:trPr>
          <w:jc w:val="center"/>
        </w:trPr>
        <w:tc>
          <w:tcPr>
            <w:tcW w:w="855" w:type="dxa"/>
            <w:vAlign w:val="center"/>
          </w:tcPr>
          <w:p w:rsidR="0066074F" w:rsidRDefault="00AF5070">
            <w:pPr>
              <w:jc w:val="center"/>
            </w:pPr>
            <w:r>
              <w:rPr>
                <w:color w:val="000000"/>
                <w:sz w:val="24"/>
                <w:szCs w:val="24"/>
              </w:rPr>
              <w:t>4</w:t>
            </w:r>
          </w:p>
        </w:tc>
        <w:tc>
          <w:tcPr>
            <w:tcW w:w="1334" w:type="dxa"/>
            <w:vAlign w:val="center"/>
          </w:tcPr>
          <w:p w:rsidR="0066074F" w:rsidRDefault="00AF5070">
            <w:pPr>
              <w:jc w:val="center"/>
            </w:pPr>
            <w:r>
              <w:rPr>
                <w:color w:val="000000"/>
                <w:sz w:val="24"/>
                <w:szCs w:val="24"/>
              </w:rPr>
              <w:t>600276</w:t>
            </w:r>
          </w:p>
        </w:tc>
        <w:tc>
          <w:tcPr>
            <w:tcW w:w="1777" w:type="dxa"/>
            <w:vAlign w:val="center"/>
          </w:tcPr>
          <w:p w:rsidR="0066074F" w:rsidRDefault="00AF5070">
            <w:pPr>
              <w:jc w:val="center"/>
            </w:pPr>
            <w:r>
              <w:rPr>
                <w:color w:val="000000"/>
                <w:sz w:val="24"/>
                <w:szCs w:val="24"/>
              </w:rPr>
              <w:t>恒瑞医药</w:t>
            </w:r>
          </w:p>
        </w:tc>
        <w:tc>
          <w:tcPr>
            <w:tcW w:w="1334" w:type="dxa"/>
            <w:vAlign w:val="center"/>
          </w:tcPr>
          <w:p w:rsidR="0066074F" w:rsidRDefault="00AF5070">
            <w:pPr>
              <w:jc w:val="right"/>
            </w:pPr>
            <w:r>
              <w:rPr>
                <w:color w:val="000000"/>
                <w:sz w:val="24"/>
                <w:szCs w:val="24"/>
              </w:rPr>
              <w:t>2,283,314</w:t>
            </w:r>
          </w:p>
        </w:tc>
        <w:tc>
          <w:tcPr>
            <w:tcW w:w="1924" w:type="dxa"/>
            <w:vAlign w:val="center"/>
          </w:tcPr>
          <w:p w:rsidR="0066074F" w:rsidRDefault="00AF5070">
            <w:pPr>
              <w:jc w:val="right"/>
            </w:pPr>
            <w:r>
              <w:rPr>
                <w:color w:val="000000"/>
                <w:sz w:val="24"/>
                <w:szCs w:val="24"/>
              </w:rPr>
              <w:t>105,466,273.66</w:t>
            </w:r>
          </w:p>
        </w:tc>
        <w:tc>
          <w:tcPr>
            <w:tcW w:w="1644" w:type="dxa"/>
            <w:vAlign w:val="center"/>
          </w:tcPr>
          <w:p w:rsidR="0066074F" w:rsidRDefault="00AF5070">
            <w:pPr>
              <w:jc w:val="right"/>
            </w:pPr>
            <w:r>
              <w:rPr>
                <w:color w:val="000000"/>
                <w:sz w:val="24"/>
                <w:szCs w:val="24"/>
              </w:rPr>
              <w:t>2.88</w:t>
            </w:r>
          </w:p>
        </w:tc>
      </w:tr>
      <w:tr w:rsidR="0066074F">
        <w:trPr>
          <w:jc w:val="center"/>
        </w:trPr>
        <w:tc>
          <w:tcPr>
            <w:tcW w:w="855" w:type="dxa"/>
            <w:vAlign w:val="center"/>
          </w:tcPr>
          <w:p w:rsidR="0066074F" w:rsidRDefault="00AF5070">
            <w:pPr>
              <w:jc w:val="center"/>
            </w:pPr>
            <w:r>
              <w:rPr>
                <w:color w:val="000000"/>
                <w:sz w:val="24"/>
                <w:szCs w:val="24"/>
              </w:rPr>
              <w:t>5</w:t>
            </w:r>
          </w:p>
        </w:tc>
        <w:tc>
          <w:tcPr>
            <w:tcW w:w="1334" w:type="dxa"/>
            <w:vAlign w:val="center"/>
          </w:tcPr>
          <w:p w:rsidR="0066074F" w:rsidRDefault="00AF5070">
            <w:pPr>
              <w:jc w:val="center"/>
            </w:pPr>
            <w:r>
              <w:rPr>
                <w:color w:val="000000"/>
                <w:sz w:val="24"/>
                <w:szCs w:val="24"/>
              </w:rPr>
              <w:t>002368</w:t>
            </w:r>
          </w:p>
        </w:tc>
        <w:tc>
          <w:tcPr>
            <w:tcW w:w="1777" w:type="dxa"/>
            <w:vAlign w:val="center"/>
          </w:tcPr>
          <w:p w:rsidR="0066074F" w:rsidRDefault="00AF5070">
            <w:pPr>
              <w:jc w:val="center"/>
            </w:pPr>
            <w:r>
              <w:rPr>
                <w:color w:val="000000"/>
                <w:sz w:val="24"/>
                <w:szCs w:val="24"/>
              </w:rPr>
              <w:t>太极股份</w:t>
            </w:r>
          </w:p>
        </w:tc>
        <w:tc>
          <w:tcPr>
            <w:tcW w:w="1334" w:type="dxa"/>
            <w:vAlign w:val="center"/>
          </w:tcPr>
          <w:p w:rsidR="0066074F" w:rsidRDefault="00AF5070">
            <w:pPr>
              <w:jc w:val="right"/>
            </w:pPr>
            <w:r>
              <w:rPr>
                <w:color w:val="000000"/>
                <w:sz w:val="24"/>
                <w:szCs w:val="24"/>
              </w:rPr>
              <w:t>3,112,110</w:t>
            </w:r>
          </w:p>
        </w:tc>
        <w:tc>
          <w:tcPr>
            <w:tcW w:w="1924" w:type="dxa"/>
            <w:vAlign w:val="center"/>
          </w:tcPr>
          <w:p w:rsidR="0066074F" w:rsidRDefault="00AF5070">
            <w:pPr>
              <w:jc w:val="right"/>
            </w:pPr>
            <w:r>
              <w:rPr>
                <w:color w:val="000000"/>
                <w:sz w:val="24"/>
                <w:szCs w:val="24"/>
              </w:rPr>
              <w:t>103,041,962.10</w:t>
            </w:r>
          </w:p>
        </w:tc>
        <w:tc>
          <w:tcPr>
            <w:tcW w:w="1644" w:type="dxa"/>
            <w:vAlign w:val="center"/>
          </w:tcPr>
          <w:p w:rsidR="0066074F" w:rsidRDefault="00AF5070">
            <w:pPr>
              <w:jc w:val="right"/>
            </w:pPr>
            <w:r>
              <w:rPr>
                <w:color w:val="000000"/>
                <w:sz w:val="24"/>
                <w:szCs w:val="24"/>
              </w:rPr>
              <w:t>2.82</w:t>
            </w:r>
          </w:p>
        </w:tc>
      </w:tr>
      <w:tr w:rsidR="0066074F">
        <w:trPr>
          <w:jc w:val="center"/>
        </w:trPr>
        <w:tc>
          <w:tcPr>
            <w:tcW w:w="855" w:type="dxa"/>
            <w:vAlign w:val="center"/>
          </w:tcPr>
          <w:p w:rsidR="0066074F" w:rsidRDefault="00AF5070">
            <w:pPr>
              <w:jc w:val="center"/>
            </w:pPr>
            <w:r>
              <w:rPr>
                <w:color w:val="000000"/>
                <w:sz w:val="24"/>
                <w:szCs w:val="24"/>
              </w:rPr>
              <w:t>6</w:t>
            </w:r>
          </w:p>
        </w:tc>
        <w:tc>
          <w:tcPr>
            <w:tcW w:w="1334" w:type="dxa"/>
            <w:vAlign w:val="center"/>
          </w:tcPr>
          <w:p w:rsidR="0066074F" w:rsidRDefault="00AF5070">
            <w:pPr>
              <w:jc w:val="center"/>
            </w:pPr>
            <w:r>
              <w:rPr>
                <w:color w:val="000000"/>
                <w:sz w:val="24"/>
                <w:szCs w:val="24"/>
              </w:rPr>
              <w:t>600000</w:t>
            </w:r>
          </w:p>
        </w:tc>
        <w:tc>
          <w:tcPr>
            <w:tcW w:w="1777" w:type="dxa"/>
            <w:vAlign w:val="center"/>
          </w:tcPr>
          <w:p w:rsidR="0066074F" w:rsidRDefault="00AF5070">
            <w:pPr>
              <w:jc w:val="center"/>
            </w:pPr>
            <w:r>
              <w:rPr>
                <w:color w:val="000000"/>
                <w:sz w:val="24"/>
                <w:szCs w:val="24"/>
              </w:rPr>
              <w:t>浦发银行</w:t>
            </w:r>
          </w:p>
        </w:tc>
        <w:tc>
          <w:tcPr>
            <w:tcW w:w="1334" w:type="dxa"/>
            <w:vAlign w:val="center"/>
          </w:tcPr>
          <w:p w:rsidR="0066074F" w:rsidRDefault="00AF5070">
            <w:pPr>
              <w:jc w:val="right"/>
            </w:pPr>
            <w:r>
              <w:rPr>
                <w:color w:val="000000"/>
                <w:sz w:val="24"/>
                <w:szCs w:val="24"/>
              </w:rPr>
              <w:t>5,859,000</w:t>
            </w:r>
          </w:p>
        </w:tc>
        <w:tc>
          <w:tcPr>
            <w:tcW w:w="1924" w:type="dxa"/>
            <w:vAlign w:val="center"/>
          </w:tcPr>
          <w:p w:rsidR="0066074F" w:rsidRDefault="00AF5070">
            <w:pPr>
              <w:jc w:val="right"/>
            </w:pPr>
            <w:r>
              <w:rPr>
                <w:color w:val="000000"/>
                <w:sz w:val="24"/>
                <w:szCs w:val="24"/>
              </w:rPr>
              <w:t>97,435,170.00</w:t>
            </w:r>
          </w:p>
        </w:tc>
        <w:tc>
          <w:tcPr>
            <w:tcW w:w="1644" w:type="dxa"/>
            <w:vAlign w:val="center"/>
          </w:tcPr>
          <w:p w:rsidR="0066074F" w:rsidRDefault="00AF5070">
            <w:pPr>
              <w:jc w:val="right"/>
            </w:pPr>
            <w:r>
              <w:rPr>
                <w:color w:val="000000"/>
                <w:sz w:val="24"/>
                <w:szCs w:val="24"/>
              </w:rPr>
              <w:t>2.67</w:t>
            </w:r>
          </w:p>
        </w:tc>
      </w:tr>
      <w:tr w:rsidR="0066074F">
        <w:trPr>
          <w:jc w:val="center"/>
        </w:trPr>
        <w:tc>
          <w:tcPr>
            <w:tcW w:w="855" w:type="dxa"/>
            <w:vAlign w:val="center"/>
          </w:tcPr>
          <w:p w:rsidR="0066074F" w:rsidRDefault="00AF5070">
            <w:pPr>
              <w:jc w:val="center"/>
            </w:pPr>
            <w:r>
              <w:rPr>
                <w:color w:val="000000"/>
                <w:sz w:val="24"/>
                <w:szCs w:val="24"/>
              </w:rPr>
              <w:t>7</w:t>
            </w:r>
          </w:p>
        </w:tc>
        <w:tc>
          <w:tcPr>
            <w:tcW w:w="1334" w:type="dxa"/>
            <w:vAlign w:val="center"/>
          </w:tcPr>
          <w:p w:rsidR="0066074F" w:rsidRDefault="00AF5070">
            <w:pPr>
              <w:jc w:val="center"/>
            </w:pPr>
            <w:r>
              <w:rPr>
                <w:color w:val="000000"/>
                <w:sz w:val="24"/>
                <w:szCs w:val="24"/>
              </w:rPr>
              <w:t>600622</w:t>
            </w:r>
          </w:p>
        </w:tc>
        <w:tc>
          <w:tcPr>
            <w:tcW w:w="1777" w:type="dxa"/>
            <w:vAlign w:val="center"/>
          </w:tcPr>
          <w:p w:rsidR="0066074F" w:rsidRDefault="00AF5070">
            <w:pPr>
              <w:jc w:val="center"/>
            </w:pPr>
            <w:r>
              <w:rPr>
                <w:color w:val="000000"/>
                <w:sz w:val="24"/>
                <w:szCs w:val="24"/>
              </w:rPr>
              <w:t>嘉宝集团</w:t>
            </w:r>
          </w:p>
        </w:tc>
        <w:tc>
          <w:tcPr>
            <w:tcW w:w="1334" w:type="dxa"/>
            <w:vAlign w:val="center"/>
          </w:tcPr>
          <w:p w:rsidR="0066074F" w:rsidRDefault="00AF5070">
            <w:pPr>
              <w:jc w:val="right"/>
            </w:pPr>
            <w:r>
              <w:rPr>
                <w:color w:val="000000"/>
                <w:sz w:val="24"/>
                <w:szCs w:val="24"/>
              </w:rPr>
              <w:t>8,685,132</w:t>
            </w:r>
          </w:p>
        </w:tc>
        <w:tc>
          <w:tcPr>
            <w:tcW w:w="1924" w:type="dxa"/>
            <w:vAlign w:val="center"/>
          </w:tcPr>
          <w:p w:rsidR="0066074F" w:rsidRDefault="00AF5070">
            <w:pPr>
              <w:jc w:val="right"/>
            </w:pPr>
            <w:r>
              <w:rPr>
                <w:color w:val="000000"/>
                <w:sz w:val="24"/>
                <w:szCs w:val="24"/>
              </w:rPr>
              <w:t>96,926,073.12</w:t>
            </w:r>
          </w:p>
        </w:tc>
        <w:tc>
          <w:tcPr>
            <w:tcW w:w="1644" w:type="dxa"/>
            <w:vAlign w:val="center"/>
          </w:tcPr>
          <w:p w:rsidR="0066074F" w:rsidRDefault="00AF5070">
            <w:pPr>
              <w:jc w:val="right"/>
            </w:pPr>
            <w:r>
              <w:rPr>
                <w:color w:val="000000"/>
                <w:sz w:val="24"/>
                <w:szCs w:val="24"/>
              </w:rPr>
              <w:t>2.65</w:t>
            </w:r>
          </w:p>
        </w:tc>
      </w:tr>
      <w:tr w:rsidR="0066074F">
        <w:trPr>
          <w:jc w:val="center"/>
        </w:trPr>
        <w:tc>
          <w:tcPr>
            <w:tcW w:w="855" w:type="dxa"/>
            <w:vAlign w:val="center"/>
          </w:tcPr>
          <w:p w:rsidR="0066074F" w:rsidRDefault="00AF5070">
            <w:pPr>
              <w:jc w:val="center"/>
            </w:pPr>
            <w:r>
              <w:rPr>
                <w:color w:val="000000"/>
                <w:sz w:val="24"/>
                <w:szCs w:val="24"/>
              </w:rPr>
              <w:t>8</w:t>
            </w:r>
          </w:p>
        </w:tc>
        <w:tc>
          <w:tcPr>
            <w:tcW w:w="1334" w:type="dxa"/>
            <w:vAlign w:val="center"/>
          </w:tcPr>
          <w:p w:rsidR="0066074F" w:rsidRDefault="00AF5070">
            <w:pPr>
              <w:jc w:val="center"/>
            </w:pPr>
            <w:r>
              <w:rPr>
                <w:color w:val="000000"/>
                <w:sz w:val="24"/>
                <w:szCs w:val="24"/>
              </w:rPr>
              <w:t>002180</w:t>
            </w:r>
          </w:p>
        </w:tc>
        <w:tc>
          <w:tcPr>
            <w:tcW w:w="1777" w:type="dxa"/>
            <w:vAlign w:val="center"/>
          </w:tcPr>
          <w:p w:rsidR="0066074F" w:rsidRDefault="00AF5070">
            <w:pPr>
              <w:jc w:val="center"/>
            </w:pPr>
            <w:r>
              <w:rPr>
                <w:color w:val="000000"/>
                <w:sz w:val="24"/>
                <w:szCs w:val="24"/>
              </w:rPr>
              <w:t>艾派克</w:t>
            </w:r>
          </w:p>
        </w:tc>
        <w:tc>
          <w:tcPr>
            <w:tcW w:w="1334" w:type="dxa"/>
            <w:vAlign w:val="center"/>
          </w:tcPr>
          <w:p w:rsidR="0066074F" w:rsidRDefault="00AF5070">
            <w:pPr>
              <w:jc w:val="right"/>
            </w:pPr>
            <w:r>
              <w:rPr>
                <w:color w:val="000000"/>
                <w:sz w:val="24"/>
                <w:szCs w:val="24"/>
              </w:rPr>
              <w:t>2,453,279</w:t>
            </w:r>
          </w:p>
        </w:tc>
        <w:tc>
          <w:tcPr>
            <w:tcW w:w="1924" w:type="dxa"/>
            <w:vAlign w:val="center"/>
          </w:tcPr>
          <w:p w:rsidR="0066074F" w:rsidRDefault="00AF5070">
            <w:pPr>
              <w:jc w:val="right"/>
            </w:pPr>
            <w:r>
              <w:rPr>
                <w:color w:val="000000"/>
                <w:sz w:val="24"/>
                <w:szCs w:val="24"/>
              </w:rPr>
              <w:t>88,318,044.00</w:t>
            </w:r>
          </w:p>
        </w:tc>
        <w:tc>
          <w:tcPr>
            <w:tcW w:w="1644" w:type="dxa"/>
            <w:vAlign w:val="center"/>
          </w:tcPr>
          <w:p w:rsidR="0066074F" w:rsidRDefault="00AF5070">
            <w:pPr>
              <w:jc w:val="right"/>
            </w:pPr>
            <w:r>
              <w:rPr>
                <w:color w:val="000000"/>
                <w:sz w:val="24"/>
                <w:szCs w:val="24"/>
              </w:rPr>
              <w:t>2.42</w:t>
            </w:r>
          </w:p>
        </w:tc>
      </w:tr>
      <w:tr w:rsidR="0066074F">
        <w:trPr>
          <w:jc w:val="center"/>
        </w:trPr>
        <w:tc>
          <w:tcPr>
            <w:tcW w:w="855" w:type="dxa"/>
            <w:vAlign w:val="center"/>
          </w:tcPr>
          <w:p w:rsidR="0066074F" w:rsidRDefault="00AF5070">
            <w:pPr>
              <w:jc w:val="center"/>
            </w:pPr>
            <w:r>
              <w:rPr>
                <w:color w:val="000000"/>
                <w:sz w:val="24"/>
                <w:szCs w:val="24"/>
              </w:rPr>
              <w:t>9</w:t>
            </w:r>
          </w:p>
        </w:tc>
        <w:tc>
          <w:tcPr>
            <w:tcW w:w="1334" w:type="dxa"/>
            <w:vAlign w:val="center"/>
          </w:tcPr>
          <w:p w:rsidR="0066074F" w:rsidRDefault="00AF5070">
            <w:pPr>
              <w:jc w:val="center"/>
            </w:pPr>
            <w:r>
              <w:rPr>
                <w:color w:val="000000"/>
                <w:sz w:val="24"/>
                <w:szCs w:val="24"/>
              </w:rPr>
              <w:t>601169</w:t>
            </w:r>
          </w:p>
        </w:tc>
        <w:tc>
          <w:tcPr>
            <w:tcW w:w="1777" w:type="dxa"/>
            <w:vAlign w:val="center"/>
          </w:tcPr>
          <w:p w:rsidR="0066074F" w:rsidRDefault="00AF5070">
            <w:pPr>
              <w:jc w:val="center"/>
            </w:pPr>
            <w:r>
              <w:rPr>
                <w:color w:val="000000"/>
                <w:sz w:val="24"/>
                <w:szCs w:val="24"/>
              </w:rPr>
              <w:t>北京银行</w:t>
            </w:r>
          </w:p>
        </w:tc>
        <w:tc>
          <w:tcPr>
            <w:tcW w:w="1334" w:type="dxa"/>
            <w:vAlign w:val="center"/>
          </w:tcPr>
          <w:p w:rsidR="0066074F" w:rsidRDefault="00AF5070">
            <w:pPr>
              <w:jc w:val="right"/>
            </w:pPr>
            <w:r>
              <w:rPr>
                <w:color w:val="000000"/>
                <w:sz w:val="24"/>
                <w:szCs w:val="24"/>
              </w:rPr>
              <w:t>9,027,458</w:t>
            </w:r>
          </w:p>
        </w:tc>
        <w:tc>
          <w:tcPr>
            <w:tcW w:w="1924" w:type="dxa"/>
            <w:vAlign w:val="center"/>
          </w:tcPr>
          <w:p w:rsidR="0066074F" w:rsidRDefault="00AF5070">
            <w:pPr>
              <w:jc w:val="right"/>
            </w:pPr>
            <w:r>
              <w:rPr>
                <w:color w:val="000000"/>
                <w:sz w:val="24"/>
                <w:szCs w:val="24"/>
              </w:rPr>
              <w:t>77,726,413.38</w:t>
            </w:r>
          </w:p>
        </w:tc>
        <w:tc>
          <w:tcPr>
            <w:tcW w:w="1644" w:type="dxa"/>
            <w:vAlign w:val="center"/>
          </w:tcPr>
          <w:p w:rsidR="0066074F" w:rsidRDefault="00AF5070">
            <w:pPr>
              <w:jc w:val="right"/>
            </w:pPr>
            <w:r>
              <w:rPr>
                <w:color w:val="000000"/>
                <w:sz w:val="24"/>
                <w:szCs w:val="24"/>
              </w:rPr>
              <w:t>2.13</w:t>
            </w:r>
          </w:p>
        </w:tc>
      </w:tr>
      <w:tr w:rsidR="0066074F">
        <w:trPr>
          <w:jc w:val="center"/>
        </w:trPr>
        <w:tc>
          <w:tcPr>
            <w:tcW w:w="855" w:type="dxa"/>
            <w:vAlign w:val="center"/>
          </w:tcPr>
          <w:p w:rsidR="0066074F" w:rsidRDefault="00AF5070">
            <w:pPr>
              <w:jc w:val="center"/>
            </w:pPr>
            <w:r>
              <w:rPr>
                <w:color w:val="000000"/>
                <w:sz w:val="24"/>
                <w:szCs w:val="24"/>
              </w:rPr>
              <w:t>10</w:t>
            </w:r>
          </w:p>
        </w:tc>
        <w:tc>
          <w:tcPr>
            <w:tcW w:w="1334" w:type="dxa"/>
            <w:vAlign w:val="center"/>
          </w:tcPr>
          <w:p w:rsidR="0066074F" w:rsidRDefault="00AF5070">
            <w:pPr>
              <w:jc w:val="center"/>
            </w:pPr>
            <w:r>
              <w:rPr>
                <w:color w:val="000000"/>
                <w:sz w:val="24"/>
                <w:szCs w:val="24"/>
              </w:rPr>
              <w:t>600009</w:t>
            </w:r>
          </w:p>
        </w:tc>
        <w:tc>
          <w:tcPr>
            <w:tcW w:w="1777" w:type="dxa"/>
            <w:vAlign w:val="center"/>
          </w:tcPr>
          <w:p w:rsidR="0066074F" w:rsidRDefault="00AF5070">
            <w:pPr>
              <w:jc w:val="center"/>
            </w:pPr>
            <w:r>
              <w:rPr>
                <w:color w:val="000000"/>
                <w:sz w:val="24"/>
                <w:szCs w:val="24"/>
              </w:rPr>
              <w:t>上海机场</w:t>
            </w:r>
          </w:p>
        </w:tc>
        <w:tc>
          <w:tcPr>
            <w:tcW w:w="1334" w:type="dxa"/>
            <w:vAlign w:val="center"/>
          </w:tcPr>
          <w:p w:rsidR="0066074F" w:rsidRDefault="00AF5070">
            <w:pPr>
              <w:jc w:val="right"/>
            </w:pPr>
            <w:r>
              <w:rPr>
                <w:color w:val="000000"/>
                <w:sz w:val="24"/>
                <w:szCs w:val="24"/>
              </w:rPr>
              <w:t>2,799,941</w:t>
            </w:r>
          </w:p>
        </w:tc>
        <w:tc>
          <w:tcPr>
            <w:tcW w:w="1924" w:type="dxa"/>
            <w:vAlign w:val="center"/>
          </w:tcPr>
          <w:p w:rsidR="0066074F" w:rsidRDefault="00AF5070">
            <w:pPr>
              <w:jc w:val="right"/>
            </w:pPr>
            <w:r>
              <w:rPr>
                <w:color w:val="000000"/>
                <w:sz w:val="24"/>
                <w:szCs w:val="24"/>
              </w:rPr>
              <w:t>77,614,364.52</w:t>
            </w:r>
          </w:p>
        </w:tc>
        <w:tc>
          <w:tcPr>
            <w:tcW w:w="1644" w:type="dxa"/>
            <w:vAlign w:val="center"/>
          </w:tcPr>
          <w:p w:rsidR="0066074F" w:rsidRDefault="00AF5070">
            <w:pPr>
              <w:jc w:val="right"/>
            </w:pPr>
            <w:r>
              <w:rPr>
                <w:color w:val="000000"/>
                <w:sz w:val="24"/>
                <w:szCs w:val="24"/>
              </w:rPr>
              <w:t>2.12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lastRenderedPageBreak/>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3,506,685.55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505,409.79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495,346.88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4,507,442.22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66074F">
        <w:trPr>
          <w:jc w:val="center"/>
        </w:trPr>
        <w:tc>
          <w:tcPr>
            <w:tcW w:w="1129" w:type="dxa"/>
            <w:vAlign w:val="center"/>
          </w:tcPr>
          <w:p w:rsidR="0066074F" w:rsidRDefault="00AF5070">
            <w:pPr>
              <w:jc w:val="center"/>
            </w:pPr>
            <w:r>
              <w:rPr>
                <w:color w:val="000000"/>
                <w:sz w:val="24"/>
                <w:szCs w:val="24"/>
              </w:rPr>
              <w:t>1</w:t>
            </w:r>
          </w:p>
        </w:tc>
        <w:tc>
          <w:tcPr>
            <w:tcW w:w="1356" w:type="dxa"/>
            <w:vAlign w:val="center"/>
          </w:tcPr>
          <w:p w:rsidR="0066074F" w:rsidRDefault="00AF5070">
            <w:pPr>
              <w:jc w:val="center"/>
            </w:pPr>
            <w:r>
              <w:rPr>
                <w:color w:val="000000"/>
                <w:sz w:val="24"/>
                <w:szCs w:val="24"/>
              </w:rPr>
              <w:t>600763</w:t>
            </w:r>
          </w:p>
        </w:tc>
        <w:tc>
          <w:tcPr>
            <w:tcW w:w="1355" w:type="dxa"/>
            <w:vAlign w:val="center"/>
          </w:tcPr>
          <w:p w:rsidR="0066074F" w:rsidRDefault="00AF5070">
            <w:pPr>
              <w:jc w:val="center"/>
            </w:pPr>
            <w:r>
              <w:rPr>
                <w:color w:val="000000"/>
                <w:sz w:val="24"/>
                <w:szCs w:val="24"/>
              </w:rPr>
              <w:t>通策医疗</w:t>
            </w:r>
          </w:p>
        </w:tc>
        <w:tc>
          <w:tcPr>
            <w:tcW w:w="1880" w:type="dxa"/>
            <w:vAlign w:val="center"/>
          </w:tcPr>
          <w:p w:rsidR="0066074F" w:rsidRDefault="00AF5070">
            <w:pPr>
              <w:jc w:val="right"/>
            </w:pPr>
            <w:r>
              <w:rPr>
                <w:color w:val="000000"/>
                <w:sz w:val="24"/>
                <w:szCs w:val="24"/>
              </w:rPr>
              <w:t>361,438,572.50</w:t>
            </w:r>
          </w:p>
        </w:tc>
        <w:tc>
          <w:tcPr>
            <w:tcW w:w="1724" w:type="dxa"/>
            <w:vAlign w:val="center"/>
          </w:tcPr>
          <w:p w:rsidR="0066074F" w:rsidRDefault="00AF5070">
            <w:pPr>
              <w:jc w:val="right"/>
            </w:pPr>
            <w:r>
              <w:rPr>
                <w:color w:val="000000"/>
                <w:sz w:val="24"/>
                <w:szCs w:val="24"/>
              </w:rPr>
              <w:t>9.89</w:t>
            </w:r>
          </w:p>
        </w:tc>
        <w:tc>
          <w:tcPr>
            <w:tcW w:w="1424" w:type="dxa"/>
            <w:vAlign w:val="center"/>
          </w:tcPr>
          <w:p w:rsidR="0066074F" w:rsidRDefault="00AF5070">
            <w:pPr>
              <w:jc w:val="right"/>
            </w:pPr>
            <w:r>
              <w:rPr>
                <w:color w:val="000000"/>
                <w:sz w:val="24"/>
                <w:szCs w:val="24"/>
              </w:rPr>
              <w:t>重大事项</w:t>
            </w:r>
          </w:p>
        </w:tc>
      </w:tr>
      <w:tr w:rsidR="0066074F">
        <w:trPr>
          <w:jc w:val="center"/>
        </w:trPr>
        <w:tc>
          <w:tcPr>
            <w:tcW w:w="1129" w:type="dxa"/>
            <w:vAlign w:val="center"/>
          </w:tcPr>
          <w:p w:rsidR="0066074F" w:rsidRDefault="00AF5070">
            <w:pPr>
              <w:jc w:val="center"/>
            </w:pPr>
            <w:r>
              <w:rPr>
                <w:color w:val="000000"/>
                <w:sz w:val="24"/>
                <w:szCs w:val="24"/>
              </w:rPr>
              <w:t>2</w:t>
            </w:r>
          </w:p>
        </w:tc>
        <w:tc>
          <w:tcPr>
            <w:tcW w:w="1356" w:type="dxa"/>
            <w:vAlign w:val="center"/>
          </w:tcPr>
          <w:p w:rsidR="0066074F" w:rsidRDefault="00AF5070">
            <w:pPr>
              <w:jc w:val="center"/>
            </w:pPr>
            <w:r>
              <w:rPr>
                <w:color w:val="000000"/>
                <w:sz w:val="24"/>
                <w:szCs w:val="24"/>
              </w:rPr>
              <w:t>002368</w:t>
            </w:r>
          </w:p>
        </w:tc>
        <w:tc>
          <w:tcPr>
            <w:tcW w:w="1355" w:type="dxa"/>
            <w:vAlign w:val="center"/>
          </w:tcPr>
          <w:p w:rsidR="0066074F" w:rsidRDefault="00AF5070">
            <w:pPr>
              <w:jc w:val="center"/>
            </w:pPr>
            <w:r>
              <w:rPr>
                <w:color w:val="000000"/>
                <w:sz w:val="24"/>
                <w:szCs w:val="24"/>
              </w:rPr>
              <w:t>太极股份</w:t>
            </w:r>
          </w:p>
        </w:tc>
        <w:tc>
          <w:tcPr>
            <w:tcW w:w="1880" w:type="dxa"/>
            <w:vAlign w:val="center"/>
          </w:tcPr>
          <w:p w:rsidR="0066074F" w:rsidRDefault="00AF5070">
            <w:pPr>
              <w:jc w:val="right"/>
            </w:pPr>
            <w:r>
              <w:rPr>
                <w:color w:val="000000"/>
                <w:sz w:val="24"/>
                <w:szCs w:val="24"/>
              </w:rPr>
              <w:t>103,041,962.10</w:t>
            </w:r>
          </w:p>
        </w:tc>
        <w:tc>
          <w:tcPr>
            <w:tcW w:w="1724" w:type="dxa"/>
            <w:vAlign w:val="center"/>
          </w:tcPr>
          <w:p w:rsidR="0066074F" w:rsidRDefault="00AF5070">
            <w:pPr>
              <w:jc w:val="right"/>
            </w:pPr>
            <w:r>
              <w:rPr>
                <w:color w:val="000000"/>
                <w:sz w:val="24"/>
                <w:szCs w:val="24"/>
              </w:rPr>
              <w:t>2.82</w:t>
            </w:r>
          </w:p>
        </w:tc>
        <w:tc>
          <w:tcPr>
            <w:tcW w:w="1424" w:type="dxa"/>
            <w:vAlign w:val="center"/>
          </w:tcPr>
          <w:p w:rsidR="0066074F" w:rsidRDefault="00AF5070">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2,997,862,441.30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197,658,870.17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763,472,787.70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2,432,048,523.77</w:t>
            </w:r>
          </w:p>
        </w:tc>
      </w:tr>
    </w:tbl>
    <w:p w:rsidR="0066074F" w:rsidRDefault="00AF5070">
      <w:pPr>
        <w:autoSpaceDE w:val="0"/>
        <w:autoSpaceDN w:val="0"/>
        <w:adjustRightInd w:val="0"/>
        <w:spacing w:before="29" w:line="288" w:lineRule="auto"/>
        <w:jc w:val="left"/>
        <w:rPr>
          <w:color w:val="000000"/>
          <w:sz w:val="24"/>
          <w:szCs w:val="24"/>
        </w:rPr>
      </w:pPr>
      <w:r>
        <w:rPr>
          <w:color w:val="000000"/>
          <w:sz w:val="24"/>
          <w:szCs w:val="24"/>
        </w:rPr>
        <w:lastRenderedPageBreak/>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323F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81,303,685.60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391A11" w:rsidP="00C15CAC">
            <w:pPr>
              <w:spacing w:line="288" w:lineRule="auto"/>
              <w:jc w:val="right"/>
              <w:rPr>
                <w:rFonts w:eastAsiaTheme="minorEastAsia"/>
                <w:color w:val="000000"/>
                <w:kern w:val="0"/>
                <w:sz w:val="24"/>
                <w:szCs w:val="24"/>
              </w:rPr>
            </w:pPr>
            <w:r>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391A11" w:rsidP="00C15CAC">
            <w:pPr>
              <w:spacing w:line="288" w:lineRule="auto"/>
              <w:jc w:val="right"/>
              <w:rPr>
                <w:rFonts w:eastAsiaTheme="minorEastAsia"/>
                <w:color w:val="000000"/>
                <w:kern w:val="0"/>
                <w:sz w:val="24"/>
                <w:szCs w:val="24"/>
              </w:rPr>
            </w:pPr>
            <w:r>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81,303,685.60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3.34</w:t>
            </w:r>
          </w:p>
        </w:tc>
      </w:tr>
    </w:tbl>
    <w:p w:rsidR="0066074F" w:rsidRDefault="00AF507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F1658B">
      <w:pPr>
        <w:autoSpaceDE w:val="0"/>
        <w:autoSpaceDN w:val="0"/>
        <w:adjustRightInd w:val="0"/>
        <w:spacing w:before="29" w:line="288" w:lineRule="auto"/>
        <w:ind w:firstLineChars="200" w:firstLine="480"/>
        <w:jc w:val="left"/>
        <w:rPr>
          <w:rFonts w:eastAsiaTheme="minorEastAsia"/>
          <w:color w:val="000000"/>
          <w:sz w:val="24"/>
        </w:rPr>
      </w:pPr>
      <w:r w:rsidRPr="00ED2620">
        <w:rPr>
          <w:rFonts w:eastAsiaTheme="minorEastAsia"/>
          <w:color w:val="000000"/>
          <w:sz w:val="24"/>
        </w:rPr>
        <w:t>2</w:t>
      </w:r>
      <w:r w:rsidRPr="00ED2620">
        <w:rPr>
          <w:rFonts w:eastAsiaTheme="minorEastAsia"/>
          <w:color w:val="000000"/>
          <w:sz w:val="24"/>
        </w:rPr>
        <w:t>、如果本报告期间发生转换出业务，则总赎回份额中包含该业务。</w:t>
      </w:r>
    </w:p>
    <w:p w:rsidR="009E1E23" w:rsidRDefault="009E1E23" w:rsidP="009E1E23">
      <w:pPr>
        <w:autoSpaceDE w:val="0"/>
        <w:autoSpaceDN w:val="0"/>
        <w:adjustRightInd w:val="0"/>
        <w:spacing w:before="29" w:line="288" w:lineRule="auto"/>
        <w:jc w:val="left"/>
        <w:rPr>
          <w:color w:val="000000"/>
          <w:sz w:val="24"/>
        </w:rPr>
      </w:pPr>
    </w:p>
    <w:p w:rsidR="009E1E23" w:rsidRPr="00F1658B" w:rsidRDefault="009E1E23" w:rsidP="009E1E23">
      <w:pPr>
        <w:spacing w:line="288" w:lineRule="auto"/>
        <w:jc w:val="left"/>
        <w:rPr>
          <w:b/>
          <w:sz w:val="24"/>
        </w:rPr>
      </w:pPr>
      <w:r w:rsidRPr="00F1658B">
        <w:rPr>
          <w:b/>
          <w:sz w:val="24"/>
        </w:rPr>
        <w:t xml:space="preserve">7.2 </w:t>
      </w:r>
      <w:r w:rsidRPr="00F1658B">
        <w:rPr>
          <w:rFonts w:hint="eastAsia"/>
          <w:b/>
          <w:sz w:val="24"/>
        </w:rPr>
        <w:t>基金管理人运用固有资金投资本基金交易明细</w:t>
      </w:r>
    </w:p>
    <w:p w:rsidR="009E1E23" w:rsidRPr="00F1658B" w:rsidRDefault="009E1E23" w:rsidP="009E1E23">
      <w:pPr>
        <w:autoSpaceDE w:val="0"/>
        <w:autoSpaceDN w:val="0"/>
        <w:adjustRightInd w:val="0"/>
        <w:spacing w:before="29" w:line="288" w:lineRule="auto"/>
        <w:jc w:val="left"/>
        <w:rPr>
          <w:sz w:val="24"/>
        </w:rPr>
      </w:pPr>
      <w:r w:rsidRPr="00F1658B">
        <w:rPr>
          <w:rFonts w:hint="eastAsia"/>
          <w:sz w:val="24"/>
        </w:rPr>
        <w:t>本基金管理人本报告期内未进行本基金的申购、赎回、红利再投等。</w:t>
      </w:r>
    </w:p>
    <w:p w:rsidR="009E1E23" w:rsidRPr="009E1E23" w:rsidRDefault="009E1E23" w:rsidP="00C15CAC">
      <w:pPr>
        <w:autoSpaceDE w:val="0"/>
        <w:autoSpaceDN w:val="0"/>
        <w:adjustRightInd w:val="0"/>
        <w:spacing w:before="29" w:line="288" w:lineRule="auto"/>
        <w:jc w:val="left"/>
        <w:rPr>
          <w:rFonts w:eastAsiaTheme="minorEastAsia"/>
          <w:color w:val="000000"/>
          <w:sz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鉴于交银施罗德稳健配置混合型证券投资基金的业绩比较基准的指数停止计算编制，本基金管理人根据基金合同的相关约定，经与基金托管人协商一致，并报中国证监会备案，决定自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日起将交银施罗德稳健配置混合型证券投资基金的业绩比较基准由原</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中证综合债券指数</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66074F" w:rsidRDefault="00AF507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66074F" w:rsidRDefault="00AF507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66074F" w:rsidRDefault="00AF5070">
      <w:pPr>
        <w:spacing w:before="29" w:line="288" w:lineRule="auto"/>
        <w:ind w:firstLineChars="200" w:firstLine="480"/>
        <w:rPr>
          <w:color w:val="000000"/>
          <w:sz w:val="24"/>
          <w:szCs w:val="24"/>
        </w:rPr>
      </w:pPr>
      <w:r>
        <w:rPr>
          <w:color w:val="000000"/>
          <w:sz w:val="24"/>
          <w:szCs w:val="24"/>
        </w:rPr>
        <w:lastRenderedPageBreak/>
        <w:t>3</w:t>
      </w:r>
      <w:r>
        <w:rPr>
          <w:color w:val="000000"/>
          <w:sz w:val="24"/>
          <w:szCs w:val="24"/>
        </w:rPr>
        <w:t>、《交银施罗德稳健配置混合型证券投资基金招募说明书》；</w:t>
      </w:r>
    </w:p>
    <w:p w:rsidR="0066074F" w:rsidRDefault="00AF507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66074F" w:rsidRDefault="00AF5070">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66074F" w:rsidRDefault="00AF507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66074F" w:rsidRDefault="00AF507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66074F" w:rsidRDefault="00AF507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9EC" w:rsidRDefault="006A19EC" w:rsidP="00876D65">
      <w:r>
        <w:separator/>
      </w:r>
    </w:p>
  </w:endnote>
  <w:endnote w:type="continuationSeparator" w:id="0">
    <w:p w:rsidR="006A19EC" w:rsidRDefault="006A19E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734BB">
      <w:rPr>
        <w:kern w:val="0"/>
        <w:szCs w:val="21"/>
      </w:rPr>
      <w:fldChar w:fldCharType="begin"/>
    </w:r>
    <w:r>
      <w:rPr>
        <w:kern w:val="0"/>
        <w:szCs w:val="21"/>
      </w:rPr>
      <w:instrText xml:space="preserve"> PAGE </w:instrText>
    </w:r>
    <w:r w:rsidR="009734BB">
      <w:rPr>
        <w:kern w:val="0"/>
        <w:szCs w:val="21"/>
      </w:rPr>
      <w:fldChar w:fldCharType="separate"/>
    </w:r>
    <w:r w:rsidR="00F1658B">
      <w:rPr>
        <w:noProof/>
        <w:kern w:val="0"/>
        <w:szCs w:val="21"/>
      </w:rPr>
      <w:t>1</w:t>
    </w:r>
    <w:r w:rsidR="009734BB">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734BB">
      <w:rPr>
        <w:kern w:val="0"/>
        <w:szCs w:val="21"/>
      </w:rPr>
      <w:fldChar w:fldCharType="begin"/>
    </w:r>
    <w:r>
      <w:rPr>
        <w:kern w:val="0"/>
        <w:szCs w:val="21"/>
      </w:rPr>
      <w:instrText xml:space="preserve"> NUMPAGES </w:instrText>
    </w:r>
    <w:r w:rsidR="009734BB">
      <w:rPr>
        <w:kern w:val="0"/>
        <w:szCs w:val="21"/>
      </w:rPr>
      <w:fldChar w:fldCharType="separate"/>
    </w:r>
    <w:r w:rsidR="00F1658B">
      <w:rPr>
        <w:noProof/>
        <w:kern w:val="0"/>
        <w:szCs w:val="21"/>
      </w:rPr>
      <w:t>11</w:t>
    </w:r>
    <w:r w:rsidR="009734BB">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9EC" w:rsidRDefault="006A19EC" w:rsidP="00876D65">
      <w:r>
        <w:separator/>
      </w:r>
    </w:p>
  </w:footnote>
  <w:footnote w:type="continuationSeparator" w:id="0">
    <w:p w:rsidR="006A19EC" w:rsidRDefault="006A19E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1A11"/>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65C3C"/>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74F"/>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9EC"/>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1E23"/>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AF5070"/>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58B"/>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E76764-9F1A-4BDE-912B-D3DE9F16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90DE1-B6F6-4EF2-8AE1-F3AAA486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11</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562</cp:revision>
  <dcterms:created xsi:type="dcterms:W3CDTF">2012-10-16T06:07:00Z</dcterms:created>
  <dcterms:modified xsi:type="dcterms:W3CDTF">2015-10-22T07:33:00Z</dcterms:modified>
</cp:coreProperties>
</file>