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二〇一五年十月二十七日</w:t>
      </w:r>
    </w:p>
    <w:p w:rsidR="00902E3F" w:rsidRPr="000E4C40" w:rsidRDefault="00902E3F" w:rsidP="005266E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D763E" w:rsidRDefault="005663E8">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FD763E" w:rsidRDefault="005663E8">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FD763E" w:rsidRDefault="005663E8">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FD763E" w:rsidRDefault="005663E8">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FD763E" w:rsidRDefault="005663E8">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20,079,514,371.26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986,162,632.42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19,093,351,738.84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5,926,894.43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99,771,659.12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5,926,894.43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99,771,659.12</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986,162,632.42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19,093,351,738.84</w:t>
            </w:r>
          </w:p>
        </w:tc>
      </w:tr>
    </w:tbl>
    <w:p w:rsidR="00FD763E" w:rsidRDefault="005663E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D763E">
        <w:trPr>
          <w:jc w:val="center"/>
        </w:trPr>
        <w:tc>
          <w:tcPr>
            <w:tcW w:w="1266" w:type="dxa"/>
            <w:vAlign w:val="center"/>
          </w:tcPr>
          <w:p w:rsidR="00FD763E" w:rsidRDefault="005663E8">
            <w:pPr>
              <w:jc w:val="left"/>
            </w:pPr>
            <w:r>
              <w:rPr>
                <w:color w:val="000000"/>
              </w:rPr>
              <w:lastRenderedPageBreak/>
              <w:t>过去三个月</w:t>
            </w:r>
          </w:p>
        </w:tc>
        <w:tc>
          <w:tcPr>
            <w:tcW w:w="1267" w:type="dxa"/>
            <w:vAlign w:val="center"/>
          </w:tcPr>
          <w:p w:rsidR="00FD763E" w:rsidRDefault="005663E8">
            <w:pPr>
              <w:jc w:val="center"/>
            </w:pPr>
            <w:r>
              <w:rPr>
                <w:color w:val="000000"/>
              </w:rPr>
              <w:t>0.6333%</w:t>
            </w:r>
          </w:p>
        </w:tc>
        <w:tc>
          <w:tcPr>
            <w:tcW w:w="1267" w:type="dxa"/>
            <w:vAlign w:val="center"/>
          </w:tcPr>
          <w:p w:rsidR="00FD763E" w:rsidRDefault="005663E8">
            <w:pPr>
              <w:jc w:val="center"/>
            </w:pPr>
            <w:r>
              <w:rPr>
                <w:color w:val="000000"/>
              </w:rPr>
              <w:t>0.0019%</w:t>
            </w:r>
          </w:p>
        </w:tc>
        <w:tc>
          <w:tcPr>
            <w:tcW w:w="1267" w:type="dxa"/>
            <w:vAlign w:val="center"/>
          </w:tcPr>
          <w:p w:rsidR="00FD763E" w:rsidRDefault="005663E8">
            <w:pPr>
              <w:jc w:val="center"/>
            </w:pPr>
            <w:r>
              <w:rPr>
                <w:color w:val="000000"/>
              </w:rPr>
              <w:t>0.4290%</w:t>
            </w:r>
          </w:p>
        </w:tc>
        <w:tc>
          <w:tcPr>
            <w:tcW w:w="1267" w:type="dxa"/>
            <w:vAlign w:val="center"/>
          </w:tcPr>
          <w:p w:rsidR="00FD763E" w:rsidRDefault="005663E8">
            <w:pPr>
              <w:jc w:val="center"/>
            </w:pPr>
            <w:r>
              <w:rPr>
                <w:color w:val="000000"/>
              </w:rPr>
              <w:t>0.0003%</w:t>
            </w:r>
          </w:p>
        </w:tc>
        <w:tc>
          <w:tcPr>
            <w:tcW w:w="1267" w:type="dxa"/>
            <w:vAlign w:val="center"/>
          </w:tcPr>
          <w:p w:rsidR="00FD763E" w:rsidRDefault="005663E8">
            <w:pPr>
              <w:jc w:val="center"/>
            </w:pPr>
            <w:r>
              <w:rPr>
                <w:color w:val="000000"/>
              </w:rPr>
              <w:t>0.2043%</w:t>
            </w:r>
          </w:p>
        </w:tc>
        <w:tc>
          <w:tcPr>
            <w:tcW w:w="1267" w:type="dxa"/>
            <w:vAlign w:val="center"/>
          </w:tcPr>
          <w:p w:rsidR="00FD763E" w:rsidRDefault="005663E8">
            <w:pPr>
              <w:jc w:val="center"/>
            </w:pPr>
            <w:r>
              <w:rPr>
                <w:color w:val="000000"/>
              </w:rPr>
              <w:t>0.0016%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D763E">
        <w:trPr>
          <w:jc w:val="center"/>
        </w:trPr>
        <w:tc>
          <w:tcPr>
            <w:tcW w:w="1266" w:type="dxa"/>
            <w:vAlign w:val="center"/>
          </w:tcPr>
          <w:p w:rsidR="00FD763E" w:rsidRDefault="005663E8">
            <w:pPr>
              <w:jc w:val="left"/>
            </w:pPr>
            <w:r>
              <w:rPr>
                <w:color w:val="000000"/>
              </w:rPr>
              <w:t>过去三个月</w:t>
            </w:r>
          </w:p>
        </w:tc>
        <w:tc>
          <w:tcPr>
            <w:tcW w:w="1267" w:type="dxa"/>
            <w:vAlign w:val="center"/>
          </w:tcPr>
          <w:p w:rsidR="00FD763E" w:rsidRDefault="005663E8">
            <w:pPr>
              <w:jc w:val="center"/>
            </w:pPr>
            <w:r>
              <w:rPr>
                <w:color w:val="000000"/>
              </w:rPr>
              <w:t>0.6941%</w:t>
            </w:r>
          </w:p>
        </w:tc>
        <w:tc>
          <w:tcPr>
            <w:tcW w:w="1267" w:type="dxa"/>
            <w:vAlign w:val="center"/>
          </w:tcPr>
          <w:p w:rsidR="00FD763E" w:rsidRDefault="005663E8">
            <w:pPr>
              <w:jc w:val="center"/>
            </w:pPr>
            <w:r>
              <w:rPr>
                <w:color w:val="000000"/>
              </w:rPr>
              <w:t>0.0019%</w:t>
            </w:r>
          </w:p>
        </w:tc>
        <w:tc>
          <w:tcPr>
            <w:tcW w:w="1267" w:type="dxa"/>
            <w:vAlign w:val="center"/>
          </w:tcPr>
          <w:p w:rsidR="00FD763E" w:rsidRDefault="005663E8">
            <w:pPr>
              <w:jc w:val="center"/>
            </w:pPr>
            <w:r>
              <w:rPr>
                <w:color w:val="000000"/>
              </w:rPr>
              <w:t>0.4290%</w:t>
            </w:r>
          </w:p>
        </w:tc>
        <w:tc>
          <w:tcPr>
            <w:tcW w:w="1267" w:type="dxa"/>
            <w:vAlign w:val="center"/>
          </w:tcPr>
          <w:p w:rsidR="00FD763E" w:rsidRDefault="005663E8">
            <w:pPr>
              <w:jc w:val="center"/>
            </w:pPr>
            <w:r>
              <w:rPr>
                <w:color w:val="000000"/>
              </w:rPr>
              <w:t>0.0003%</w:t>
            </w:r>
          </w:p>
        </w:tc>
        <w:tc>
          <w:tcPr>
            <w:tcW w:w="1267" w:type="dxa"/>
            <w:vAlign w:val="center"/>
          </w:tcPr>
          <w:p w:rsidR="00FD763E" w:rsidRDefault="005663E8">
            <w:pPr>
              <w:jc w:val="center"/>
            </w:pPr>
            <w:r>
              <w:rPr>
                <w:color w:val="000000"/>
              </w:rPr>
              <w:t>0.2651%</w:t>
            </w:r>
          </w:p>
        </w:tc>
        <w:tc>
          <w:tcPr>
            <w:tcW w:w="1267" w:type="dxa"/>
            <w:vAlign w:val="center"/>
          </w:tcPr>
          <w:p w:rsidR="00FD763E" w:rsidRDefault="005663E8">
            <w:pPr>
              <w:jc w:val="center"/>
            </w:pPr>
            <w:r>
              <w:rPr>
                <w:color w:val="000000"/>
              </w:rPr>
              <w:t>0.0016%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D763E">
        <w:trPr>
          <w:jc w:val="center"/>
        </w:trPr>
        <w:tc>
          <w:tcPr>
            <w:tcW w:w="945" w:type="dxa"/>
            <w:vAlign w:val="center"/>
          </w:tcPr>
          <w:p w:rsidR="00FD763E" w:rsidRDefault="005663E8">
            <w:pPr>
              <w:jc w:val="center"/>
            </w:pPr>
            <w:r>
              <w:rPr>
                <w:color w:val="000000"/>
                <w:sz w:val="24"/>
              </w:rPr>
              <w:t>黄莹洁</w:t>
            </w:r>
          </w:p>
        </w:tc>
        <w:tc>
          <w:tcPr>
            <w:tcW w:w="1589" w:type="dxa"/>
            <w:vAlign w:val="center"/>
          </w:tcPr>
          <w:p w:rsidR="00FD763E" w:rsidRDefault="005663E8">
            <w:pPr>
              <w:jc w:val="center"/>
            </w:pPr>
            <w:r>
              <w:rPr>
                <w:color w:val="000000"/>
                <w:sz w:val="24"/>
              </w:rPr>
              <w:t>交银货币、交银理财</w:t>
            </w:r>
            <w:r>
              <w:rPr>
                <w:color w:val="000000"/>
                <w:sz w:val="24"/>
              </w:rPr>
              <w:t>21</w:t>
            </w:r>
            <w:r>
              <w:rPr>
                <w:color w:val="000000"/>
                <w:sz w:val="24"/>
              </w:rPr>
              <w:t>天债券、交银现金宝货币、交银丰享收益债券、交银丰泽收益债券的基金经理</w:t>
            </w:r>
          </w:p>
        </w:tc>
        <w:tc>
          <w:tcPr>
            <w:tcW w:w="1478" w:type="dxa"/>
            <w:vAlign w:val="center"/>
          </w:tcPr>
          <w:p w:rsidR="00FD763E" w:rsidRDefault="005663E8">
            <w:pPr>
              <w:jc w:val="center"/>
            </w:pPr>
            <w:r>
              <w:rPr>
                <w:color w:val="000000"/>
                <w:sz w:val="24"/>
              </w:rPr>
              <w:t>2015-05-27</w:t>
            </w:r>
          </w:p>
        </w:tc>
        <w:tc>
          <w:tcPr>
            <w:tcW w:w="1478" w:type="dxa"/>
            <w:vAlign w:val="center"/>
          </w:tcPr>
          <w:p w:rsidR="00FD763E" w:rsidRDefault="005663E8">
            <w:pPr>
              <w:jc w:val="center"/>
            </w:pPr>
            <w:r>
              <w:rPr>
                <w:color w:val="000000"/>
                <w:sz w:val="24"/>
              </w:rPr>
              <w:t>-</w:t>
            </w:r>
          </w:p>
        </w:tc>
        <w:tc>
          <w:tcPr>
            <w:tcW w:w="986" w:type="dxa"/>
            <w:vAlign w:val="center"/>
          </w:tcPr>
          <w:p w:rsidR="00FD763E" w:rsidRDefault="005663E8">
            <w:pPr>
              <w:jc w:val="center"/>
            </w:pPr>
            <w:r>
              <w:rPr>
                <w:color w:val="000000"/>
                <w:sz w:val="24"/>
              </w:rPr>
              <w:t>7</w:t>
            </w:r>
            <w:r>
              <w:rPr>
                <w:color w:val="000000"/>
                <w:sz w:val="24"/>
              </w:rPr>
              <w:t>年</w:t>
            </w:r>
          </w:p>
        </w:tc>
        <w:tc>
          <w:tcPr>
            <w:tcW w:w="2392" w:type="dxa"/>
            <w:vAlign w:val="center"/>
          </w:tcPr>
          <w:p w:rsidR="00FD763E" w:rsidRDefault="005663E8">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D763E" w:rsidRDefault="005663E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D763E" w:rsidRDefault="005663E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763E" w:rsidRDefault="005663E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D763E" w:rsidRDefault="005663E8">
      <w:pPr>
        <w:spacing w:before="29" w:line="288" w:lineRule="auto"/>
        <w:ind w:firstLineChars="200" w:firstLine="480"/>
        <w:rPr>
          <w:color w:val="000000"/>
          <w:sz w:val="24"/>
        </w:rPr>
      </w:pPr>
      <w:r>
        <w:rPr>
          <w:color w:val="000000"/>
          <w:sz w:val="24"/>
        </w:rPr>
        <w:t>本报告期内，经济增长低迷，央行继续维持宽松的货币政策，除降准、降息以外，同时使用各类货币政策工具对中短期流动性进行调节，带动货币市场利率继续下行。随着权益市场的大幅调整以及</w:t>
      </w:r>
      <w:r>
        <w:rPr>
          <w:color w:val="000000"/>
          <w:sz w:val="24"/>
        </w:rPr>
        <w:t>IPO</w:t>
      </w:r>
      <w:r>
        <w:rPr>
          <w:color w:val="000000"/>
          <w:sz w:val="24"/>
        </w:rPr>
        <w:t>暂停的局面，大量配资、两融、打新资金需要重新配置，从而推动债券市场收益率大幅下行。同时资金回流债市后对高收益信用债的大力配置，将信用利差压缩到历史低位。</w:t>
      </w:r>
    </w:p>
    <w:p w:rsidR="00FD763E" w:rsidRDefault="005663E8">
      <w:pPr>
        <w:spacing w:before="29" w:line="288" w:lineRule="auto"/>
        <w:ind w:firstLineChars="200" w:firstLine="480"/>
        <w:rPr>
          <w:color w:val="000000"/>
          <w:sz w:val="24"/>
        </w:rPr>
      </w:pPr>
      <w:r>
        <w:rPr>
          <w:color w:val="000000"/>
          <w:sz w:val="24"/>
        </w:rPr>
        <w:t>基金操作方面，本基金通过合理有效的久期管理，保障了组合充足的流动性；同时保持中性的债券仓位，分享了债券收益率下行带来的估值收益。由于期限利差的收窄，本基金适当降低了组合杠杆，总体投资业绩平稳。</w:t>
      </w:r>
      <w:r>
        <w:rPr>
          <w:color w:val="000000"/>
          <w:sz w:val="24"/>
        </w:rPr>
        <w:t xml:space="preserve"> </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经济基本面依旧疲弱，央行仍将保持宽松货币政策。但需要密切关注政府政策大力刺激下，经济边际改善的可能性，以及风险资产回暖对债市的表现抑制。组合管理方面，本基金将注意跟踪流动性变化趋势并有针对性的作出资金安排，尽力保障流动性充裕和资金安全；同时密切关注经济走势和政策变化，审时度势选择合适的投资品种，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0.6333%</w:t>
      </w:r>
      <w:r w:rsidRPr="000E4C40">
        <w:rPr>
          <w:color w:val="000000"/>
          <w:sz w:val="24"/>
        </w:rPr>
        <w:t>，同期业绩比较基准收益率为</w:t>
      </w:r>
      <w:r w:rsidRPr="000E4C40">
        <w:rPr>
          <w:color w:val="000000"/>
          <w:sz w:val="24"/>
        </w:rPr>
        <w:t>0.4290%</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0.6941%</w:t>
      </w:r>
      <w:r w:rsidRPr="000E4C40">
        <w:rPr>
          <w:color w:val="000000"/>
          <w:sz w:val="24"/>
        </w:rPr>
        <w:t>，同期业绩比较基准收益率为</w:t>
      </w:r>
      <w:r w:rsidRPr="000E4C40">
        <w:rPr>
          <w:color w:val="000000"/>
          <w:sz w:val="24"/>
        </w:rPr>
        <w:t>0.4290%</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6,678,116,976.05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6,678,116,976.05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1,799,591,340.92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52,452,220.21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0.26</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11,551,443,596.79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57.41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93,541,038.95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20,122,692,952.71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1.19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26.74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18.40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99.75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1,027,790,340.65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1,027,790,340.65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39,916,821.96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4,575,413,329.09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22.79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1,034,996,484.35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5.15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6,678,116,976.05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33.26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51"/>
        <w:gridCol w:w="1296"/>
        <w:gridCol w:w="1825"/>
        <w:gridCol w:w="1215"/>
        <w:gridCol w:w="2147"/>
        <w:gridCol w:w="143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D763E">
        <w:trPr>
          <w:jc w:val="center"/>
        </w:trPr>
        <w:tc>
          <w:tcPr>
            <w:tcW w:w="0" w:type="auto"/>
            <w:vAlign w:val="center"/>
          </w:tcPr>
          <w:p w:rsidR="00FD763E" w:rsidRDefault="005663E8">
            <w:pPr>
              <w:jc w:val="center"/>
            </w:pPr>
            <w:r>
              <w:rPr>
                <w:color w:val="000000"/>
                <w:sz w:val="24"/>
              </w:rPr>
              <w:t>1</w:t>
            </w:r>
          </w:p>
        </w:tc>
        <w:tc>
          <w:tcPr>
            <w:tcW w:w="0" w:type="auto"/>
            <w:vAlign w:val="center"/>
          </w:tcPr>
          <w:p w:rsidR="00FD763E" w:rsidRDefault="005663E8">
            <w:pPr>
              <w:jc w:val="center"/>
            </w:pPr>
            <w:r>
              <w:rPr>
                <w:color w:val="000000"/>
                <w:sz w:val="24"/>
              </w:rPr>
              <w:t>111591940</w:t>
            </w:r>
          </w:p>
        </w:tc>
        <w:tc>
          <w:tcPr>
            <w:tcW w:w="0" w:type="auto"/>
            <w:vAlign w:val="center"/>
          </w:tcPr>
          <w:p w:rsidR="00FD763E" w:rsidRDefault="005663E8">
            <w:pPr>
              <w:jc w:val="center"/>
            </w:pPr>
            <w:r>
              <w:rPr>
                <w:color w:val="000000"/>
                <w:sz w:val="24"/>
              </w:rPr>
              <w:t>15</w:t>
            </w:r>
            <w:r>
              <w:rPr>
                <w:color w:val="000000"/>
                <w:sz w:val="24"/>
              </w:rPr>
              <w:t>西安银行</w:t>
            </w:r>
            <w:r>
              <w:rPr>
                <w:color w:val="000000"/>
                <w:sz w:val="24"/>
              </w:rPr>
              <w:t>CD006</w:t>
            </w:r>
          </w:p>
        </w:tc>
        <w:tc>
          <w:tcPr>
            <w:tcW w:w="0" w:type="auto"/>
            <w:vAlign w:val="center"/>
          </w:tcPr>
          <w:p w:rsidR="00FD763E" w:rsidRDefault="005663E8">
            <w:pPr>
              <w:jc w:val="right"/>
            </w:pPr>
            <w:r>
              <w:rPr>
                <w:color w:val="000000"/>
                <w:sz w:val="24"/>
              </w:rPr>
              <w:t>4,500,000</w:t>
            </w:r>
          </w:p>
        </w:tc>
        <w:tc>
          <w:tcPr>
            <w:tcW w:w="0" w:type="auto"/>
            <w:vAlign w:val="center"/>
          </w:tcPr>
          <w:p w:rsidR="00FD763E" w:rsidRDefault="005663E8">
            <w:pPr>
              <w:jc w:val="right"/>
            </w:pPr>
            <w:r>
              <w:rPr>
                <w:color w:val="000000"/>
                <w:sz w:val="24"/>
              </w:rPr>
              <w:t>441,935,153.28</w:t>
            </w:r>
          </w:p>
        </w:tc>
        <w:tc>
          <w:tcPr>
            <w:tcW w:w="0" w:type="auto"/>
            <w:vAlign w:val="center"/>
          </w:tcPr>
          <w:p w:rsidR="00FD763E" w:rsidRDefault="005663E8">
            <w:pPr>
              <w:jc w:val="right"/>
            </w:pPr>
            <w:r>
              <w:rPr>
                <w:color w:val="000000"/>
                <w:sz w:val="24"/>
              </w:rPr>
              <w:t>2.20</w:t>
            </w:r>
          </w:p>
        </w:tc>
      </w:tr>
      <w:tr w:rsidR="00FD763E">
        <w:trPr>
          <w:jc w:val="center"/>
        </w:trPr>
        <w:tc>
          <w:tcPr>
            <w:tcW w:w="0" w:type="auto"/>
            <w:vAlign w:val="center"/>
          </w:tcPr>
          <w:p w:rsidR="00FD763E" w:rsidRDefault="005663E8">
            <w:pPr>
              <w:jc w:val="center"/>
            </w:pPr>
            <w:r>
              <w:rPr>
                <w:color w:val="000000"/>
                <w:sz w:val="24"/>
              </w:rPr>
              <w:t>2</w:t>
            </w:r>
          </w:p>
        </w:tc>
        <w:tc>
          <w:tcPr>
            <w:tcW w:w="0" w:type="auto"/>
            <w:vAlign w:val="center"/>
          </w:tcPr>
          <w:p w:rsidR="00FD763E" w:rsidRDefault="005663E8">
            <w:pPr>
              <w:jc w:val="center"/>
            </w:pPr>
            <w:r>
              <w:rPr>
                <w:color w:val="000000"/>
                <w:sz w:val="24"/>
              </w:rPr>
              <w:t>150403</w:t>
            </w:r>
          </w:p>
        </w:tc>
        <w:tc>
          <w:tcPr>
            <w:tcW w:w="0" w:type="auto"/>
            <w:vAlign w:val="center"/>
          </w:tcPr>
          <w:p w:rsidR="00FD763E" w:rsidRDefault="005663E8">
            <w:pPr>
              <w:jc w:val="center"/>
            </w:pPr>
            <w:r>
              <w:rPr>
                <w:color w:val="000000"/>
                <w:sz w:val="24"/>
              </w:rPr>
              <w:t>15</w:t>
            </w:r>
            <w:r>
              <w:rPr>
                <w:color w:val="000000"/>
                <w:sz w:val="24"/>
              </w:rPr>
              <w:t>农发</w:t>
            </w:r>
            <w:r>
              <w:rPr>
                <w:color w:val="000000"/>
                <w:sz w:val="24"/>
              </w:rPr>
              <w:t>03</w:t>
            </w:r>
          </w:p>
        </w:tc>
        <w:tc>
          <w:tcPr>
            <w:tcW w:w="0" w:type="auto"/>
            <w:vAlign w:val="center"/>
          </w:tcPr>
          <w:p w:rsidR="00FD763E" w:rsidRDefault="005663E8">
            <w:pPr>
              <w:jc w:val="right"/>
            </w:pPr>
            <w:r>
              <w:rPr>
                <w:color w:val="000000"/>
                <w:sz w:val="24"/>
              </w:rPr>
              <w:t>3,500,000</w:t>
            </w:r>
          </w:p>
        </w:tc>
        <w:tc>
          <w:tcPr>
            <w:tcW w:w="0" w:type="auto"/>
            <w:vAlign w:val="center"/>
          </w:tcPr>
          <w:p w:rsidR="00FD763E" w:rsidRDefault="005663E8">
            <w:pPr>
              <w:jc w:val="right"/>
            </w:pPr>
            <w:r>
              <w:rPr>
                <w:color w:val="000000"/>
                <w:sz w:val="24"/>
              </w:rPr>
              <w:t>351,249,365.68</w:t>
            </w:r>
          </w:p>
        </w:tc>
        <w:tc>
          <w:tcPr>
            <w:tcW w:w="0" w:type="auto"/>
            <w:vAlign w:val="center"/>
          </w:tcPr>
          <w:p w:rsidR="00FD763E" w:rsidRDefault="005663E8">
            <w:pPr>
              <w:jc w:val="right"/>
            </w:pPr>
            <w:r>
              <w:rPr>
                <w:color w:val="000000"/>
                <w:sz w:val="24"/>
              </w:rPr>
              <w:t>1.75</w:t>
            </w:r>
          </w:p>
        </w:tc>
      </w:tr>
      <w:tr w:rsidR="00FD763E">
        <w:trPr>
          <w:jc w:val="center"/>
        </w:trPr>
        <w:tc>
          <w:tcPr>
            <w:tcW w:w="0" w:type="auto"/>
            <w:vAlign w:val="center"/>
          </w:tcPr>
          <w:p w:rsidR="00FD763E" w:rsidRDefault="005663E8">
            <w:pPr>
              <w:jc w:val="center"/>
            </w:pPr>
            <w:r>
              <w:rPr>
                <w:color w:val="000000"/>
                <w:sz w:val="24"/>
              </w:rPr>
              <w:t>3</w:t>
            </w:r>
          </w:p>
        </w:tc>
        <w:tc>
          <w:tcPr>
            <w:tcW w:w="0" w:type="auto"/>
            <w:vAlign w:val="center"/>
          </w:tcPr>
          <w:p w:rsidR="00FD763E" w:rsidRDefault="005663E8">
            <w:pPr>
              <w:jc w:val="center"/>
            </w:pPr>
            <w:r>
              <w:rPr>
                <w:color w:val="000000"/>
                <w:sz w:val="24"/>
              </w:rPr>
              <w:t>011507003</w:t>
            </w:r>
          </w:p>
        </w:tc>
        <w:tc>
          <w:tcPr>
            <w:tcW w:w="0" w:type="auto"/>
            <w:vAlign w:val="center"/>
          </w:tcPr>
          <w:p w:rsidR="00FD763E" w:rsidRDefault="005663E8">
            <w:pPr>
              <w:jc w:val="center"/>
            </w:pPr>
            <w:r>
              <w:rPr>
                <w:color w:val="000000"/>
                <w:sz w:val="24"/>
              </w:rPr>
              <w:t>15</w:t>
            </w:r>
            <w:r>
              <w:rPr>
                <w:color w:val="000000"/>
                <w:sz w:val="24"/>
              </w:rPr>
              <w:t>南电</w:t>
            </w:r>
            <w:r>
              <w:rPr>
                <w:color w:val="000000"/>
                <w:sz w:val="24"/>
              </w:rPr>
              <w:t>SCP003</w:t>
            </w:r>
          </w:p>
        </w:tc>
        <w:tc>
          <w:tcPr>
            <w:tcW w:w="0" w:type="auto"/>
            <w:vAlign w:val="center"/>
          </w:tcPr>
          <w:p w:rsidR="00FD763E" w:rsidRDefault="005663E8">
            <w:pPr>
              <w:jc w:val="right"/>
            </w:pPr>
            <w:r>
              <w:rPr>
                <w:color w:val="000000"/>
                <w:sz w:val="24"/>
              </w:rPr>
              <w:t>3,000,000</w:t>
            </w:r>
          </w:p>
        </w:tc>
        <w:tc>
          <w:tcPr>
            <w:tcW w:w="0" w:type="auto"/>
            <w:vAlign w:val="center"/>
          </w:tcPr>
          <w:p w:rsidR="00FD763E" w:rsidRDefault="005663E8">
            <w:pPr>
              <w:jc w:val="right"/>
            </w:pPr>
            <w:r>
              <w:rPr>
                <w:color w:val="000000"/>
                <w:sz w:val="24"/>
              </w:rPr>
              <w:t>300,000,079.99</w:t>
            </w:r>
          </w:p>
        </w:tc>
        <w:tc>
          <w:tcPr>
            <w:tcW w:w="0" w:type="auto"/>
            <w:vAlign w:val="center"/>
          </w:tcPr>
          <w:p w:rsidR="00FD763E" w:rsidRDefault="005663E8">
            <w:pPr>
              <w:jc w:val="right"/>
            </w:pPr>
            <w:r>
              <w:rPr>
                <w:color w:val="000000"/>
                <w:sz w:val="24"/>
              </w:rPr>
              <w:t>1.49</w:t>
            </w:r>
          </w:p>
        </w:tc>
      </w:tr>
      <w:tr w:rsidR="00FD763E">
        <w:trPr>
          <w:jc w:val="center"/>
        </w:trPr>
        <w:tc>
          <w:tcPr>
            <w:tcW w:w="0" w:type="auto"/>
            <w:vAlign w:val="center"/>
          </w:tcPr>
          <w:p w:rsidR="00FD763E" w:rsidRDefault="005663E8">
            <w:pPr>
              <w:jc w:val="center"/>
            </w:pPr>
            <w:r>
              <w:rPr>
                <w:color w:val="000000"/>
                <w:sz w:val="24"/>
              </w:rPr>
              <w:t>4</w:t>
            </w:r>
          </w:p>
        </w:tc>
        <w:tc>
          <w:tcPr>
            <w:tcW w:w="0" w:type="auto"/>
            <w:vAlign w:val="center"/>
          </w:tcPr>
          <w:p w:rsidR="00FD763E" w:rsidRDefault="005663E8">
            <w:pPr>
              <w:jc w:val="center"/>
            </w:pPr>
            <w:r>
              <w:rPr>
                <w:color w:val="000000"/>
                <w:sz w:val="24"/>
              </w:rPr>
              <w:t>150411</w:t>
            </w:r>
          </w:p>
        </w:tc>
        <w:tc>
          <w:tcPr>
            <w:tcW w:w="0" w:type="auto"/>
            <w:vAlign w:val="center"/>
          </w:tcPr>
          <w:p w:rsidR="00FD763E" w:rsidRDefault="005663E8">
            <w:pPr>
              <w:jc w:val="center"/>
            </w:pPr>
            <w:r>
              <w:rPr>
                <w:color w:val="000000"/>
                <w:sz w:val="24"/>
              </w:rPr>
              <w:t>15</w:t>
            </w:r>
            <w:r>
              <w:rPr>
                <w:color w:val="000000"/>
                <w:sz w:val="24"/>
              </w:rPr>
              <w:t>农发</w:t>
            </w:r>
            <w:r>
              <w:rPr>
                <w:color w:val="000000"/>
                <w:sz w:val="24"/>
              </w:rPr>
              <w:t>11</w:t>
            </w:r>
          </w:p>
        </w:tc>
        <w:tc>
          <w:tcPr>
            <w:tcW w:w="0" w:type="auto"/>
            <w:vAlign w:val="center"/>
          </w:tcPr>
          <w:p w:rsidR="00FD763E" w:rsidRDefault="005663E8">
            <w:pPr>
              <w:jc w:val="right"/>
            </w:pPr>
            <w:r>
              <w:rPr>
                <w:color w:val="000000"/>
                <w:sz w:val="24"/>
              </w:rPr>
              <w:t>2,250,000</w:t>
            </w:r>
          </w:p>
        </w:tc>
        <w:tc>
          <w:tcPr>
            <w:tcW w:w="0" w:type="auto"/>
            <w:vAlign w:val="center"/>
          </w:tcPr>
          <w:p w:rsidR="00FD763E" w:rsidRDefault="005663E8">
            <w:pPr>
              <w:jc w:val="right"/>
            </w:pPr>
            <w:r>
              <w:rPr>
                <w:color w:val="000000"/>
                <w:sz w:val="24"/>
              </w:rPr>
              <w:t>225,695,694.33</w:t>
            </w:r>
          </w:p>
        </w:tc>
        <w:tc>
          <w:tcPr>
            <w:tcW w:w="0" w:type="auto"/>
            <w:vAlign w:val="center"/>
          </w:tcPr>
          <w:p w:rsidR="00FD763E" w:rsidRDefault="005663E8">
            <w:pPr>
              <w:jc w:val="right"/>
            </w:pPr>
            <w:r>
              <w:rPr>
                <w:color w:val="000000"/>
                <w:sz w:val="24"/>
              </w:rPr>
              <w:t>1.12</w:t>
            </w:r>
          </w:p>
        </w:tc>
      </w:tr>
      <w:tr w:rsidR="00FD763E">
        <w:trPr>
          <w:jc w:val="center"/>
        </w:trPr>
        <w:tc>
          <w:tcPr>
            <w:tcW w:w="0" w:type="auto"/>
            <w:vAlign w:val="center"/>
          </w:tcPr>
          <w:p w:rsidR="00FD763E" w:rsidRDefault="005663E8">
            <w:pPr>
              <w:jc w:val="center"/>
            </w:pPr>
            <w:r>
              <w:rPr>
                <w:color w:val="000000"/>
                <w:sz w:val="24"/>
              </w:rPr>
              <w:t>5</w:t>
            </w:r>
          </w:p>
        </w:tc>
        <w:tc>
          <w:tcPr>
            <w:tcW w:w="0" w:type="auto"/>
            <w:vAlign w:val="center"/>
          </w:tcPr>
          <w:p w:rsidR="00FD763E" w:rsidRDefault="005663E8">
            <w:pPr>
              <w:jc w:val="center"/>
            </w:pPr>
            <w:r>
              <w:rPr>
                <w:color w:val="000000"/>
                <w:sz w:val="24"/>
              </w:rPr>
              <w:t>150211</w:t>
            </w:r>
          </w:p>
        </w:tc>
        <w:tc>
          <w:tcPr>
            <w:tcW w:w="0" w:type="auto"/>
            <w:vAlign w:val="center"/>
          </w:tcPr>
          <w:p w:rsidR="00FD763E" w:rsidRDefault="005663E8">
            <w:pPr>
              <w:jc w:val="center"/>
            </w:pPr>
            <w:r>
              <w:rPr>
                <w:color w:val="000000"/>
                <w:sz w:val="24"/>
              </w:rPr>
              <w:t>15</w:t>
            </w:r>
            <w:r>
              <w:rPr>
                <w:color w:val="000000"/>
                <w:sz w:val="24"/>
              </w:rPr>
              <w:t>国开</w:t>
            </w:r>
            <w:r>
              <w:rPr>
                <w:color w:val="000000"/>
                <w:sz w:val="24"/>
              </w:rPr>
              <w:t>11</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200,672,345.56</w:t>
            </w:r>
          </w:p>
        </w:tc>
        <w:tc>
          <w:tcPr>
            <w:tcW w:w="0" w:type="auto"/>
            <w:vAlign w:val="center"/>
          </w:tcPr>
          <w:p w:rsidR="00FD763E" w:rsidRDefault="005663E8">
            <w:pPr>
              <w:jc w:val="right"/>
            </w:pPr>
            <w:r>
              <w:rPr>
                <w:color w:val="000000"/>
                <w:sz w:val="24"/>
              </w:rPr>
              <w:t>1.00</w:t>
            </w:r>
          </w:p>
        </w:tc>
      </w:tr>
      <w:tr w:rsidR="00FD763E">
        <w:trPr>
          <w:jc w:val="center"/>
        </w:trPr>
        <w:tc>
          <w:tcPr>
            <w:tcW w:w="0" w:type="auto"/>
            <w:vAlign w:val="center"/>
          </w:tcPr>
          <w:p w:rsidR="00FD763E" w:rsidRDefault="005663E8">
            <w:pPr>
              <w:jc w:val="center"/>
            </w:pPr>
            <w:r>
              <w:rPr>
                <w:color w:val="000000"/>
                <w:sz w:val="24"/>
              </w:rPr>
              <w:t>6</w:t>
            </w:r>
          </w:p>
        </w:tc>
        <w:tc>
          <w:tcPr>
            <w:tcW w:w="0" w:type="auto"/>
            <w:vAlign w:val="center"/>
          </w:tcPr>
          <w:p w:rsidR="00FD763E" w:rsidRDefault="005663E8">
            <w:pPr>
              <w:jc w:val="center"/>
            </w:pPr>
            <w:r>
              <w:rPr>
                <w:color w:val="000000"/>
                <w:sz w:val="24"/>
              </w:rPr>
              <w:t>011586006</w:t>
            </w:r>
          </w:p>
        </w:tc>
        <w:tc>
          <w:tcPr>
            <w:tcW w:w="0" w:type="auto"/>
            <w:vAlign w:val="center"/>
          </w:tcPr>
          <w:p w:rsidR="00FD763E" w:rsidRDefault="005663E8">
            <w:pPr>
              <w:jc w:val="center"/>
            </w:pPr>
            <w:r>
              <w:rPr>
                <w:color w:val="000000"/>
                <w:sz w:val="24"/>
              </w:rPr>
              <w:t>15</w:t>
            </w:r>
            <w:r>
              <w:rPr>
                <w:color w:val="000000"/>
                <w:sz w:val="24"/>
              </w:rPr>
              <w:t>光明</w:t>
            </w:r>
            <w:r>
              <w:rPr>
                <w:color w:val="000000"/>
                <w:sz w:val="24"/>
              </w:rPr>
              <w:t>SCP006</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199,983,274.39</w:t>
            </w:r>
          </w:p>
        </w:tc>
        <w:tc>
          <w:tcPr>
            <w:tcW w:w="0" w:type="auto"/>
            <w:vAlign w:val="center"/>
          </w:tcPr>
          <w:p w:rsidR="00FD763E" w:rsidRDefault="005663E8">
            <w:pPr>
              <w:jc w:val="right"/>
            </w:pPr>
            <w:r>
              <w:rPr>
                <w:color w:val="000000"/>
                <w:sz w:val="24"/>
              </w:rPr>
              <w:t>1.00</w:t>
            </w:r>
          </w:p>
        </w:tc>
      </w:tr>
      <w:tr w:rsidR="00FD763E">
        <w:trPr>
          <w:jc w:val="center"/>
        </w:trPr>
        <w:tc>
          <w:tcPr>
            <w:tcW w:w="0" w:type="auto"/>
            <w:vAlign w:val="center"/>
          </w:tcPr>
          <w:p w:rsidR="00FD763E" w:rsidRDefault="005663E8">
            <w:pPr>
              <w:jc w:val="center"/>
            </w:pPr>
            <w:r>
              <w:rPr>
                <w:color w:val="000000"/>
                <w:sz w:val="24"/>
              </w:rPr>
              <w:t>7</w:t>
            </w:r>
          </w:p>
        </w:tc>
        <w:tc>
          <w:tcPr>
            <w:tcW w:w="0" w:type="auto"/>
            <w:vAlign w:val="center"/>
          </w:tcPr>
          <w:p w:rsidR="00FD763E" w:rsidRDefault="005663E8">
            <w:pPr>
              <w:jc w:val="center"/>
            </w:pPr>
            <w:r>
              <w:rPr>
                <w:color w:val="000000"/>
                <w:sz w:val="24"/>
              </w:rPr>
              <w:t>041555013</w:t>
            </w:r>
          </w:p>
        </w:tc>
        <w:tc>
          <w:tcPr>
            <w:tcW w:w="0" w:type="auto"/>
            <w:vAlign w:val="center"/>
          </w:tcPr>
          <w:p w:rsidR="00FD763E" w:rsidRDefault="005663E8">
            <w:pPr>
              <w:jc w:val="center"/>
            </w:pPr>
            <w:r>
              <w:rPr>
                <w:color w:val="000000"/>
                <w:sz w:val="24"/>
              </w:rPr>
              <w:t>15</w:t>
            </w:r>
            <w:r>
              <w:rPr>
                <w:color w:val="000000"/>
                <w:sz w:val="24"/>
              </w:rPr>
              <w:t>陕延油</w:t>
            </w:r>
            <w:r>
              <w:rPr>
                <w:color w:val="000000"/>
                <w:sz w:val="24"/>
              </w:rPr>
              <w:t>CP001</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199,950,900.89</w:t>
            </w:r>
          </w:p>
        </w:tc>
        <w:tc>
          <w:tcPr>
            <w:tcW w:w="0" w:type="auto"/>
            <w:vAlign w:val="center"/>
          </w:tcPr>
          <w:p w:rsidR="00FD763E" w:rsidRDefault="005663E8">
            <w:pPr>
              <w:jc w:val="right"/>
            </w:pPr>
            <w:r>
              <w:rPr>
                <w:color w:val="000000"/>
                <w:sz w:val="24"/>
              </w:rPr>
              <w:t>1.00</w:t>
            </w:r>
          </w:p>
        </w:tc>
      </w:tr>
      <w:tr w:rsidR="00FD763E">
        <w:trPr>
          <w:jc w:val="center"/>
        </w:trPr>
        <w:tc>
          <w:tcPr>
            <w:tcW w:w="0" w:type="auto"/>
            <w:vAlign w:val="center"/>
          </w:tcPr>
          <w:p w:rsidR="00FD763E" w:rsidRDefault="005663E8">
            <w:pPr>
              <w:jc w:val="center"/>
            </w:pPr>
            <w:r>
              <w:rPr>
                <w:color w:val="000000"/>
                <w:sz w:val="24"/>
              </w:rPr>
              <w:t>8</w:t>
            </w:r>
          </w:p>
        </w:tc>
        <w:tc>
          <w:tcPr>
            <w:tcW w:w="0" w:type="auto"/>
            <w:vAlign w:val="center"/>
          </w:tcPr>
          <w:p w:rsidR="00FD763E" w:rsidRDefault="005663E8">
            <w:pPr>
              <w:jc w:val="center"/>
            </w:pPr>
            <w:r>
              <w:rPr>
                <w:color w:val="000000"/>
                <w:sz w:val="24"/>
              </w:rPr>
              <w:t>041562020</w:t>
            </w:r>
          </w:p>
        </w:tc>
        <w:tc>
          <w:tcPr>
            <w:tcW w:w="0" w:type="auto"/>
            <w:vAlign w:val="center"/>
          </w:tcPr>
          <w:p w:rsidR="00FD763E" w:rsidRDefault="005663E8">
            <w:pPr>
              <w:jc w:val="center"/>
            </w:pPr>
            <w:r>
              <w:rPr>
                <w:color w:val="000000"/>
                <w:sz w:val="24"/>
              </w:rPr>
              <w:t>15</w:t>
            </w:r>
            <w:r>
              <w:rPr>
                <w:color w:val="000000"/>
                <w:sz w:val="24"/>
              </w:rPr>
              <w:t>沪世茂</w:t>
            </w:r>
            <w:r>
              <w:rPr>
                <w:color w:val="000000"/>
                <w:sz w:val="24"/>
              </w:rPr>
              <w:t>CP002</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199,943,609.66</w:t>
            </w:r>
          </w:p>
        </w:tc>
        <w:tc>
          <w:tcPr>
            <w:tcW w:w="0" w:type="auto"/>
            <w:vAlign w:val="center"/>
          </w:tcPr>
          <w:p w:rsidR="00FD763E" w:rsidRDefault="005663E8">
            <w:pPr>
              <w:jc w:val="right"/>
            </w:pPr>
            <w:r>
              <w:rPr>
                <w:color w:val="000000"/>
                <w:sz w:val="24"/>
              </w:rPr>
              <w:t>1.00</w:t>
            </w:r>
          </w:p>
        </w:tc>
      </w:tr>
      <w:tr w:rsidR="00FD763E">
        <w:trPr>
          <w:jc w:val="center"/>
        </w:trPr>
        <w:tc>
          <w:tcPr>
            <w:tcW w:w="0" w:type="auto"/>
            <w:vAlign w:val="center"/>
          </w:tcPr>
          <w:p w:rsidR="00FD763E" w:rsidRDefault="005663E8">
            <w:pPr>
              <w:jc w:val="center"/>
            </w:pPr>
            <w:r>
              <w:rPr>
                <w:color w:val="000000"/>
                <w:sz w:val="24"/>
              </w:rPr>
              <w:t>9</w:t>
            </w:r>
          </w:p>
        </w:tc>
        <w:tc>
          <w:tcPr>
            <w:tcW w:w="0" w:type="auto"/>
            <w:vAlign w:val="center"/>
          </w:tcPr>
          <w:p w:rsidR="00FD763E" w:rsidRDefault="005663E8">
            <w:pPr>
              <w:jc w:val="center"/>
            </w:pPr>
            <w:r>
              <w:rPr>
                <w:color w:val="000000"/>
                <w:sz w:val="24"/>
              </w:rPr>
              <w:t>011517015</w:t>
            </w:r>
          </w:p>
        </w:tc>
        <w:tc>
          <w:tcPr>
            <w:tcW w:w="0" w:type="auto"/>
            <w:vAlign w:val="center"/>
          </w:tcPr>
          <w:p w:rsidR="00FD763E" w:rsidRDefault="005663E8">
            <w:pPr>
              <w:jc w:val="center"/>
            </w:pPr>
            <w:r>
              <w:rPr>
                <w:color w:val="000000"/>
                <w:sz w:val="24"/>
              </w:rPr>
              <w:t>15</w:t>
            </w:r>
            <w:r>
              <w:rPr>
                <w:color w:val="000000"/>
                <w:sz w:val="24"/>
              </w:rPr>
              <w:t>华电</w:t>
            </w:r>
            <w:r>
              <w:rPr>
                <w:color w:val="000000"/>
                <w:sz w:val="24"/>
              </w:rPr>
              <w:t>SCP015</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199,929,429.91</w:t>
            </w:r>
          </w:p>
        </w:tc>
        <w:tc>
          <w:tcPr>
            <w:tcW w:w="0" w:type="auto"/>
            <w:vAlign w:val="center"/>
          </w:tcPr>
          <w:p w:rsidR="00FD763E" w:rsidRDefault="005663E8">
            <w:pPr>
              <w:jc w:val="right"/>
            </w:pPr>
            <w:r>
              <w:rPr>
                <w:color w:val="000000"/>
                <w:sz w:val="24"/>
              </w:rPr>
              <w:t>1.00</w:t>
            </w:r>
          </w:p>
        </w:tc>
      </w:tr>
      <w:tr w:rsidR="00FD763E">
        <w:trPr>
          <w:jc w:val="center"/>
        </w:trPr>
        <w:tc>
          <w:tcPr>
            <w:tcW w:w="0" w:type="auto"/>
            <w:vAlign w:val="center"/>
          </w:tcPr>
          <w:p w:rsidR="00FD763E" w:rsidRDefault="005663E8">
            <w:pPr>
              <w:jc w:val="center"/>
            </w:pPr>
            <w:r>
              <w:rPr>
                <w:color w:val="000000"/>
                <w:sz w:val="24"/>
              </w:rPr>
              <w:t>10</w:t>
            </w:r>
          </w:p>
        </w:tc>
        <w:tc>
          <w:tcPr>
            <w:tcW w:w="0" w:type="auto"/>
            <w:vAlign w:val="center"/>
          </w:tcPr>
          <w:p w:rsidR="00FD763E" w:rsidRDefault="005663E8">
            <w:pPr>
              <w:jc w:val="center"/>
            </w:pPr>
            <w:r>
              <w:rPr>
                <w:color w:val="000000"/>
                <w:sz w:val="24"/>
              </w:rPr>
              <w:t>111519062</w:t>
            </w:r>
          </w:p>
        </w:tc>
        <w:tc>
          <w:tcPr>
            <w:tcW w:w="0" w:type="auto"/>
            <w:vAlign w:val="center"/>
          </w:tcPr>
          <w:p w:rsidR="00FD763E" w:rsidRDefault="005663E8">
            <w:pPr>
              <w:jc w:val="center"/>
            </w:pPr>
            <w:r>
              <w:rPr>
                <w:color w:val="000000"/>
                <w:sz w:val="24"/>
              </w:rPr>
              <w:t>15</w:t>
            </w:r>
            <w:r>
              <w:rPr>
                <w:color w:val="000000"/>
                <w:sz w:val="24"/>
              </w:rPr>
              <w:t>恒丰银行</w:t>
            </w:r>
            <w:r>
              <w:rPr>
                <w:color w:val="000000"/>
                <w:sz w:val="24"/>
              </w:rPr>
              <w:t>CD062</w:t>
            </w:r>
          </w:p>
        </w:tc>
        <w:tc>
          <w:tcPr>
            <w:tcW w:w="0" w:type="auto"/>
            <w:vAlign w:val="center"/>
          </w:tcPr>
          <w:p w:rsidR="00FD763E" w:rsidRDefault="005663E8">
            <w:pPr>
              <w:jc w:val="right"/>
            </w:pPr>
            <w:r>
              <w:rPr>
                <w:color w:val="000000"/>
                <w:sz w:val="24"/>
              </w:rPr>
              <w:t>2,000,000</w:t>
            </w:r>
          </w:p>
        </w:tc>
        <w:tc>
          <w:tcPr>
            <w:tcW w:w="0" w:type="auto"/>
            <w:vAlign w:val="center"/>
          </w:tcPr>
          <w:p w:rsidR="00FD763E" w:rsidRDefault="005663E8">
            <w:pPr>
              <w:jc w:val="right"/>
            </w:pPr>
            <w:r>
              <w:rPr>
                <w:color w:val="000000"/>
                <w:sz w:val="24"/>
              </w:rPr>
              <w:t>198,547,901.78</w:t>
            </w:r>
          </w:p>
        </w:tc>
        <w:tc>
          <w:tcPr>
            <w:tcW w:w="0" w:type="auto"/>
            <w:vAlign w:val="center"/>
          </w:tcPr>
          <w:p w:rsidR="00FD763E" w:rsidRDefault="005663E8">
            <w:pPr>
              <w:jc w:val="right"/>
            </w:pPr>
            <w:r>
              <w:rPr>
                <w:color w:val="000000"/>
                <w:sz w:val="24"/>
              </w:rPr>
              <w:t>0.99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0.1690%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0.0769%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0C4F5E" w:rsidP="00281564">
            <w:pPr>
              <w:spacing w:before="29" w:line="288" w:lineRule="auto"/>
              <w:jc w:val="right"/>
              <w:rPr>
                <w:sz w:val="24"/>
              </w:rPr>
            </w:pPr>
            <w:bookmarkStart w:id="2" w:name="_GoBack"/>
            <w:bookmarkEnd w:id="2"/>
            <w:r w:rsidRPr="000C4F5E">
              <w:rPr>
                <w:color w:val="000000"/>
                <w:sz w:val="24"/>
              </w:rPr>
              <w:t>0.1171%</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77,544,032.31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15,997,006.64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93,541,038.95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934,989,538.65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6,461,749,225.62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1,825,575,523.84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22,712,652,939.79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1,774,402,430.07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10,081,050,426.57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986,162,632.42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19,093,351,738.84</w:t>
            </w:r>
          </w:p>
        </w:tc>
      </w:tr>
    </w:tbl>
    <w:p w:rsidR="00FD763E" w:rsidRDefault="005663E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FD763E">
        <w:trPr>
          <w:jc w:val="center"/>
        </w:trPr>
        <w:tc>
          <w:tcPr>
            <w:tcW w:w="1454" w:type="dxa"/>
            <w:vAlign w:val="center"/>
          </w:tcPr>
          <w:p w:rsidR="00FD763E" w:rsidRDefault="005663E8">
            <w:pPr>
              <w:jc w:val="center"/>
            </w:pPr>
            <w:r>
              <w:rPr>
                <w:color w:val="000000"/>
                <w:sz w:val="24"/>
              </w:rPr>
              <w:t>1</w:t>
            </w:r>
          </w:p>
        </w:tc>
        <w:tc>
          <w:tcPr>
            <w:tcW w:w="1678" w:type="dxa"/>
            <w:vAlign w:val="center"/>
          </w:tcPr>
          <w:p w:rsidR="00FD763E" w:rsidRDefault="005663E8">
            <w:pPr>
              <w:jc w:val="center"/>
            </w:pPr>
            <w:r>
              <w:rPr>
                <w:color w:val="000000"/>
                <w:sz w:val="24"/>
              </w:rPr>
              <w:t>红利再投</w:t>
            </w:r>
          </w:p>
        </w:tc>
        <w:tc>
          <w:tcPr>
            <w:tcW w:w="1249" w:type="dxa"/>
            <w:vAlign w:val="center"/>
          </w:tcPr>
          <w:p w:rsidR="00FD763E" w:rsidRDefault="005663E8">
            <w:pPr>
              <w:jc w:val="center"/>
            </w:pPr>
            <w:r>
              <w:rPr>
                <w:color w:val="000000"/>
                <w:sz w:val="24"/>
              </w:rPr>
              <w:t>2015-09-30</w:t>
            </w:r>
          </w:p>
        </w:tc>
        <w:tc>
          <w:tcPr>
            <w:tcW w:w="1544" w:type="dxa"/>
            <w:vAlign w:val="center"/>
          </w:tcPr>
          <w:p w:rsidR="00FD763E" w:rsidRDefault="005663E8">
            <w:pPr>
              <w:jc w:val="right"/>
            </w:pPr>
            <w:r>
              <w:rPr>
                <w:color w:val="000000"/>
                <w:sz w:val="24"/>
              </w:rPr>
              <w:t>438,692.03</w:t>
            </w:r>
          </w:p>
        </w:tc>
        <w:tc>
          <w:tcPr>
            <w:tcW w:w="1670" w:type="dxa"/>
            <w:vAlign w:val="center"/>
          </w:tcPr>
          <w:p w:rsidR="00FD763E" w:rsidRDefault="005663E8">
            <w:pPr>
              <w:jc w:val="right"/>
            </w:pPr>
            <w:r>
              <w:rPr>
                <w:color w:val="000000"/>
                <w:sz w:val="24"/>
              </w:rPr>
              <w:t>438,692.03</w:t>
            </w:r>
          </w:p>
        </w:tc>
        <w:tc>
          <w:tcPr>
            <w:tcW w:w="1273" w:type="dxa"/>
            <w:vAlign w:val="center"/>
          </w:tcPr>
          <w:p w:rsidR="00FD763E" w:rsidRDefault="005663E8">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438,692.03</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438,692.03</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5266E4" w:rsidRDefault="000F2DA3" w:rsidP="00281564">
      <w:pPr>
        <w:autoSpaceDE w:val="0"/>
        <w:autoSpaceDN w:val="0"/>
        <w:adjustRightInd w:val="0"/>
        <w:spacing w:before="29" w:line="288" w:lineRule="auto"/>
        <w:jc w:val="left"/>
        <w:rPr>
          <w:color w:val="000000"/>
          <w:sz w:val="24"/>
        </w:rPr>
      </w:pPr>
      <w:r w:rsidRPr="000E4C40">
        <w:rPr>
          <w:color w:val="000000"/>
          <w:sz w:val="24"/>
        </w:rPr>
        <w:t>注：</w:t>
      </w:r>
      <w:r w:rsidR="005266E4">
        <w:rPr>
          <w:rFonts w:hint="eastAsia"/>
          <w:color w:val="000000"/>
          <w:sz w:val="24"/>
        </w:rPr>
        <w:t>1</w:t>
      </w:r>
      <w:r w:rsidR="005266E4">
        <w:rPr>
          <w:rFonts w:hint="eastAsia"/>
          <w:color w:val="000000"/>
          <w:sz w:val="24"/>
        </w:rPr>
        <w:t>、</w:t>
      </w:r>
      <w:r w:rsidR="005266E4" w:rsidRPr="008640AE">
        <w:rPr>
          <w:color w:val="000000"/>
          <w:sz w:val="24"/>
        </w:rPr>
        <w:t>本基金管理人本报告期末持有本基金份额</w:t>
      </w:r>
      <w:r w:rsidR="005266E4" w:rsidRPr="005663E8">
        <w:rPr>
          <w:color w:val="000000"/>
          <w:sz w:val="24"/>
        </w:rPr>
        <w:t>60</w:t>
      </w:r>
      <w:r w:rsidR="005266E4">
        <w:rPr>
          <w:rFonts w:hint="eastAsia"/>
          <w:color w:val="000000"/>
          <w:sz w:val="24"/>
        </w:rPr>
        <w:t>,</w:t>
      </w:r>
      <w:r w:rsidR="005266E4" w:rsidRPr="005663E8">
        <w:rPr>
          <w:color w:val="000000"/>
          <w:sz w:val="24"/>
        </w:rPr>
        <w:t>443</w:t>
      </w:r>
      <w:r w:rsidR="005266E4">
        <w:rPr>
          <w:rFonts w:hint="eastAsia"/>
          <w:color w:val="000000"/>
          <w:sz w:val="24"/>
        </w:rPr>
        <w:t>,</w:t>
      </w:r>
      <w:r w:rsidR="005266E4" w:rsidRPr="005663E8">
        <w:rPr>
          <w:color w:val="000000"/>
          <w:sz w:val="24"/>
        </w:rPr>
        <w:t>996.05</w:t>
      </w:r>
      <w:r w:rsidR="005266E4" w:rsidRPr="008640AE">
        <w:rPr>
          <w:color w:val="000000"/>
          <w:sz w:val="24"/>
        </w:rPr>
        <w:t>份，占本基金期末总份额的</w:t>
      </w:r>
      <w:r w:rsidR="005266E4">
        <w:rPr>
          <w:rFonts w:hint="eastAsia"/>
          <w:color w:val="000000"/>
          <w:sz w:val="24"/>
        </w:rPr>
        <w:t>0.30</w:t>
      </w:r>
      <w:r w:rsidR="005266E4" w:rsidRPr="008640AE">
        <w:rPr>
          <w:color w:val="000000"/>
          <w:sz w:val="24"/>
        </w:rPr>
        <w:t>%</w:t>
      </w:r>
      <w:r w:rsidR="000C4F5E">
        <w:rPr>
          <w:rFonts w:hint="eastAsia"/>
          <w:color w:val="000000"/>
          <w:sz w:val="24"/>
        </w:rPr>
        <w:t>；</w:t>
      </w:r>
    </w:p>
    <w:p w:rsidR="000F2DA3" w:rsidRDefault="005266E4" w:rsidP="00281564">
      <w:pPr>
        <w:autoSpaceDE w:val="0"/>
        <w:autoSpaceDN w:val="0"/>
        <w:adjustRightInd w:val="0"/>
        <w:spacing w:before="29" w:line="288" w:lineRule="auto"/>
        <w:jc w:val="left"/>
        <w:rPr>
          <w:color w:val="000000"/>
          <w:sz w:val="24"/>
        </w:rPr>
      </w:pPr>
      <w:r>
        <w:rPr>
          <w:rFonts w:hint="eastAsia"/>
          <w:color w:val="000000"/>
          <w:sz w:val="24"/>
        </w:rPr>
        <w:t xml:space="preserve">    2</w:t>
      </w:r>
      <w:r w:rsidR="005663E8">
        <w:rPr>
          <w:rFonts w:hint="eastAsia"/>
          <w:color w:val="000000"/>
          <w:sz w:val="24"/>
        </w:rPr>
        <w:t>、</w:t>
      </w:r>
      <w:r w:rsidR="000F2DA3" w:rsidRPr="000E4C40">
        <w:rPr>
          <w:color w:val="000000"/>
          <w:sz w:val="24"/>
        </w:rPr>
        <w:t>本基金收益分配按月结转份额</w:t>
      </w:r>
      <w:r w:rsidR="000C4F5E">
        <w:rPr>
          <w:rFonts w:hint="eastAsia"/>
          <w:color w:val="000000"/>
          <w:sz w:val="24"/>
        </w:rPr>
        <w:t>。</w:t>
      </w:r>
    </w:p>
    <w:p w:rsidR="0018245B" w:rsidRPr="000E4C40" w:rsidRDefault="005663E8" w:rsidP="00281564">
      <w:pPr>
        <w:autoSpaceDE w:val="0"/>
        <w:autoSpaceDN w:val="0"/>
        <w:adjustRightInd w:val="0"/>
        <w:spacing w:before="29" w:line="288" w:lineRule="auto"/>
        <w:jc w:val="left"/>
        <w:rPr>
          <w:color w:val="000000"/>
          <w:sz w:val="24"/>
        </w:rPr>
      </w:pPr>
      <w:r>
        <w:rPr>
          <w:rFonts w:hint="eastAsia"/>
          <w:color w:val="000000"/>
          <w:sz w:val="24"/>
        </w:rPr>
        <w:t xml:space="preserve">  </w:t>
      </w:r>
    </w:p>
    <w:p w:rsidR="00C03EF8" w:rsidRPr="009268A2" w:rsidRDefault="009D74FC" w:rsidP="005266E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FD763E" w:rsidRDefault="005663E8">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FD763E" w:rsidRDefault="005663E8">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FD763E" w:rsidRDefault="005663E8">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FD763E" w:rsidRDefault="005663E8">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FD763E" w:rsidRDefault="005663E8">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FD763E" w:rsidRDefault="005663E8">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D763E" w:rsidRDefault="005663E8">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FD763E" w:rsidRDefault="005663E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9C00E8">
      <w:rPr>
        <w:kern w:val="0"/>
        <w:szCs w:val="21"/>
      </w:rPr>
      <w:fldChar w:fldCharType="begin"/>
    </w:r>
    <w:r>
      <w:rPr>
        <w:kern w:val="0"/>
        <w:szCs w:val="21"/>
      </w:rPr>
      <w:instrText xml:space="preserve"> PAGE </w:instrText>
    </w:r>
    <w:r w:rsidR="009C00E8">
      <w:rPr>
        <w:kern w:val="0"/>
        <w:szCs w:val="21"/>
      </w:rPr>
      <w:fldChar w:fldCharType="separate"/>
    </w:r>
    <w:r w:rsidR="000C4F5E">
      <w:rPr>
        <w:noProof/>
        <w:kern w:val="0"/>
        <w:szCs w:val="21"/>
      </w:rPr>
      <w:t>11</w:t>
    </w:r>
    <w:r w:rsidR="009C00E8">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9C00E8">
      <w:rPr>
        <w:rFonts w:hint="eastAsia"/>
        <w:kern w:val="0"/>
        <w:szCs w:val="21"/>
      </w:rPr>
      <w:fldChar w:fldCharType="begin"/>
    </w:r>
    <w:r>
      <w:rPr>
        <w:kern w:val="0"/>
        <w:szCs w:val="21"/>
      </w:rPr>
      <w:instrText xml:space="preserve"> NUMPAGES </w:instrText>
    </w:r>
    <w:r w:rsidR="009C00E8">
      <w:rPr>
        <w:rFonts w:hint="eastAsia"/>
        <w:kern w:val="0"/>
        <w:szCs w:val="21"/>
      </w:rPr>
      <w:fldChar w:fldCharType="separate"/>
    </w:r>
    <w:r w:rsidR="000C4F5E">
      <w:rPr>
        <w:noProof/>
        <w:kern w:val="0"/>
        <w:szCs w:val="21"/>
      </w:rPr>
      <w:t>13</w:t>
    </w:r>
    <w:r w:rsidR="009C00E8">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2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C4F5E"/>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266E4"/>
    <w:rsid w:val="00533490"/>
    <w:rsid w:val="00542985"/>
    <w:rsid w:val="0054464B"/>
    <w:rsid w:val="0054477E"/>
    <w:rsid w:val="0054785C"/>
    <w:rsid w:val="00555883"/>
    <w:rsid w:val="00560F94"/>
    <w:rsid w:val="005633AD"/>
    <w:rsid w:val="005663E8"/>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00E8"/>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D763E"/>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o:shapelayout v:ext="edit">
      <o:idmap v:ext="edit" data="1"/>
    </o:shapelayout>
  </w:shapeDefaults>
  <w:doNotEmbedSmartTags/>
  <w:decimalSymbol w:val="."/>
  <w:listSeparator w:val=","/>
  <w15:docId w15:val="{3EACC5B1-A0F7-4524-A3F6-4055CC785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DDF679A-96AA-4C39-BCAA-CE67C166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13</Pages>
  <Words>1097</Words>
  <Characters>6253</Characters>
  <Application>Microsoft Office Word</Application>
  <DocSecurity>0</DocSecurity>
  <Lines>52</Lines>
  <Paragraphs>14</Paragraphs>
  <ScaleCrop>false</ScaleCrop>
  <Company>jysld</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308</cp:revision>
  <cp:lastPrinted>2009-01-22T10:11:00Z</cp:lastPrinted>
  <dcterms:created xsi:type="dcterms:W3CDTF">2012-11-21T05:49:00Z</dcterms:created>
  <dcterms:modified xsi:type="dcterms:W3CDTF">2015-10-22T09:50:00Z</dcterms:modified>
</cp:coreProperties>
</file>