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2015年第3季度报告</w:t>
      </w:r>
    </w:p>
    <w:p w:rsidR="004061AC" w:rsidRPr="0081286B" w:rsidRDefault="00655CD8" w:rsidP="00C15CAC">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2015年9月30日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
      </w:r>
      <w:proofErr w:type="spellStart"/>
      <w:r w:rsidRPr="0081286B">
        <w:rPr>
          <w:b/>
          <w:color w:val="000000"/>
          <w:sz w:val="24"/>
          <w:szCs w:val="24"/>
        </w:rPr>
        <w:t/>
      </w:r>
      <w:proofErr w:type="spellEnd"/>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
      </w:r>
      <w:proofErr w:type="spellStart"/>
      <w:r w:rsidRPr="0081286B">
        <w:rPr>
          <w:b/>
          <w:color w:val="000000"/>
          <w:sz w:val="24"/>
          <w:szCs w:val="24"/>
        </w:rPr>
        <w:t/>
      </w:r>
      <w:proofErr w:type="spellEnd"/>
      <w:r w:rsidRPr="0081286B">
        <w:rPr>
          <w:b/>
          <w:color w:val="000000"/>
          <w:sz w:val="24"/>
          <w:szCs w:val="24"/>
        </w:rPr>
        <w:t>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proofErr w:type="spellStart"/>
      <w:r w:rsidR="00F16E3F" w:rsidRPr="0081286B">
        <w:rPr>
          <w:b/>
          <w:color w:val="000000"/>
          <w:sz w:val="24"/>
          <w:szCs w:val="24"/>
        </w:rPr>
        <w:t/>
      </w:r>
      <w:r w:rsidR="0042009D" w:rsidRPr="0081286B">
        <w:rPr>
          <w:b/>
          <w:color w:val="000000"/>
          <w:sz w:val="24"/>
          <w:szCs w:val="24"/>
        </w:rPr>
        <w:t/>
      </w:r>
      <w:proofErr w:type="spellEnd"/>
      <w:r w:rsidR="00F16E3F" w:rsidRPr="0081286B">
        <w:rPr>
          <w:b/>
          <w:color w:val="000000"/>
          <w:sz w:val="24"/>
          <w:szCs w:val="24"/>
        </w:rPr>
        <w:t>二〇一五年十月二十七日</w:t>
      </w:r>
    </w:p>
    <w:p w:rsidR="004061AC" w:rsidRPr="00414345" w:rsidRDefault="004061AC" w:rsidP="00F323FF">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基金托管人中国农业银行股份有限公司根据本基金合同规定，于2015年10月26日复核了本报告中的财务指标、净值表现和投资组合报告等内容，保证复核内容不存在虚假记载、误导性陈述或者重大遗漏。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本报告期自2015年7月1日起至9月30日止。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2005年9月29日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2,578,718,014.13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75%×沪深300指数+25%×中信标普全债指数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2015年7月1日-</w:t>
            </w:r>
            <w:proofErr w:type="spellStart"/>
            <w:r w:rsidRPr="00414345">
              <w:rPr>
                <w:color w:val="000000"/>
                <w:sz w:val="24"/>
                <w:szCs w:val="24"/>
              </w:rPr>
              <w:t/>
            </w:r>
            <w:proofErr w:type="spellEnd"/>
            <w:r w:rsidRPr="00414345">
              <w:rPr>
                <w:color w:val="000000"/>
                <w:sz w:val="24"/>
                <w:szCs w:val="24"/>
              </w:rPr>
              <w:t>2015年9月30日)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-186,303,565.34</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-566,115,247.21</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-0.2156</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2,330,384,415.29</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0.9037</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r w:rsidR="004061AC" w:rsidRPr="00414345">
        <w:rPr>
          <w:color w:val="000000"/>
          <w:sz w:val="24"/>
          <w:szCs w:val="24"/>
        </w:rPr>
        <w:t/>
      </w:r>
      <w:proofErr w:type="spellEnd"/>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-18.67%</w:t>
            </w:r>
          </w:p>
        </w:tc>
        <w:tc>
          <w:tcPr>
            <w:vAlign w:val="center"/>
          </w:tcPr>
          <w:p>
            <w:pPr>
              <w:jc w:val="center"/>
            </w:pPr>
            <w:r>
              <w:rPr>
                <w:color w:val="000000"/>
                <w:sz w:val="24"/>
                <w:szCs w:val="24"/>
              </w:rPr>
              <w:t>3.61%</w:t>
            </w:r>
          </w:p>
        </w:tc>
        <w:tc>
          <w:tcPr>
            <w:vAlign w:val="center"/>
          </w:tcPr>
          <w:p>
            <w:pPr>
              <w:jc w:val="center"/>
            </w:pPr>
            <w:r>
              <w:rPr>
                <w:color w:val="000000"/>
                <w:sz w:val="24"/>
                <w:szCs w:val="24"/>
              </w:rPr>
              <w:t>-21.26%</w:t>
            </w:r>
          </w:p>
        </w:tc>
        <w:tc>
          <w:tcPr>
            <w:vAlign w:val="center"/>
          </w:tcPr>
          <w:p>
            <w:pPr>
              <w:jc w:val="center"/>
            </w:pPr>
            <w:r>
              <w:rPr>
                <w:color w:val="000000"/>
                <w:sz w:val="24"/>
                <w:szCs w:val="24"/>
              </w:rPr>
              <w:t>2.51%</w:t>
            </w:r>
          </w:p>
        </w:tc>
        <w:tc>
          <w:tcPr>
            <w:vAlign w:val="center"/>
          </w:tcPr>
          <w:p>
            <w:pPr>
              <w:jc w:val="center"/>
            </w:pPr>
            <w:r>
              <w:rPr>
                <w:color w:val="000000"/>
                <w:sz w:val="24"/>
                <w:szCs w:val="24"/>
              </w:rPr>
              <w:t>2.59%</w:t>
            </w:r>
          </w:p>
        </w:tc>
        <w:tc>
          <w:tcPr>
            <w:vAlign w:val="center"/>
          </w:tcPr>
          <w:p>
            <w:pPr>
              <w:jc w:val="center"/>
            </w:pPr>
            <w:r>
              <w:rPr>
                <w:color w:val="000000"/>
                <w:sz w:val="24"/>
                <w:szCs w:val="24"/>
              </w:rPr>
              <w:t>1.10%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
      </w:r>
      <w:proofErr w:type="spellStart"/>
      <w:r w:rsidR="0042009D" w:rsidRPr="00414345">
        <w:rPr>
          <w:rFonts w:ascii="Times New Roman" w:hAnsi="Times New Roman" w:cs="Times New Roman"/>
          <w:sz w:val="24"/>
          <w:szCs w:val="24"/>
        </w:rPr>
        <w:t/>
      </w:r>
      <w:proofErr w:type="spellEnd"/>
      <w:r w:rsidR="0042009D" w:rsidRPr="00414345">
        <w:rPr>
          <w:rFonts w:ascii="Times New Roman" w:hAnsi="Times New Roman" w:cs="Times New Roman"/>
          <w:sz w:val="24"/>
          <w:szCs w:val="24"/>
        </w:rPr>
        <w:t>2005年9月29日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
      </w:r>
      <w:proofErr w:type="spellStart"/>
      <w:r w:rsidR="00AE7962" w:rsidRPr="00414345">
        <w:rPr>
          <w:rFonts w:ascii="Times New Roman" w:hAnsi="Times New Roman" w:cs="Times New Roman"/>
          <w:sz w:val="24"/>
          <w:szCs w:val="24"/>
        </w:rPr>
        <w:t/>
      </w:r>
      <w:proofErr w:type="spellEnd"/>
      <w:r w:rsidR="00AE7962" w:rsidRPr="00414345">
        <w:rPr>
          <w:rFonts w:ascii="Times New Roman" w:hAnsi="Times New Roman" w:cs="Times New Roman"/>
          <w:sz w:val="24"/>
          <w:szCs w:val="24"/>
        </w:rPr>
        <w:t>2015年9月30日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r w:rsidR="004061AC" w:rsidRPr="00414345">
        <w:rPr>
          <w:color w:val="000000"/>
          <w:sz w:val="24"/>
          <w:szCs w:val="24"/>
        </w:rPr>
        <w:t/>
      </w:r>
      <w:proofErr w:type="spellEnd"/>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曹文俊</w:t>
            </w:r>
          </w:p>
        </w:tc>
        <w:tc>
          <w:tcPr>
            <w:vAlign w:val="center"/>
          </w:tcPr>
          <w:p>
            <w:pPr>
              <w:jc w:val="center"/>
            </w:pPr>
            <w:r>
              <w:rPr>
                <w:color w:val="000000"/>
                <w:sz w:val="24"/>
                <w:szCs w:val="24"/>
              </w:rPr>
              <w:t>交银精选混合、交银趋势混合的基金经理</w:t>
            </w:r>
          </w:p>
        </w:tc>
        <w:tc>
          <w:tcPr>
            <w:vAlign w:val="center"/>
          </w:tcPr>
          <w:p>
            <w:pPr>
              <w:jc w:val="center"/>
            </w:pPr>
            <w:r>
              <w:rPr>
                <w:color w:val="000000"/>
                <w:sz w:val="24"/>
                <w:szCs w:val="24"/>
              </w:rPr>
              <w:t>2014-10-22</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曹文俊先生，硕士学位。历任申银万国证券研究所有限公司助理分析师，申万巴黎基金管理有限公司（现申万菱信基金管理有限公司）研究员。2010年加入交银施罗德基金管理有限公司，历任行业分析师、基金经理助理。</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proofErr w:type="spellStart"/>
      <w:r w:rsidR="00957594" w:rsidRPr="00414345">
        <w:rPr>
          <w:color w:val="000000"/>
          <w:sz w:val="24"/>
          <w:szCs w:val="24"/>
        </w:rPr>
        <w:t/>
      </w:r>
      <w:proofErr w:type="spellEnd"/>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三季度市场一路下跌寻底，整体跌幅较大，同时伴随显著缩量。从指数表现来看，主板和中小盘指数表现差异并不大，市场呈现普跌格局，降杠杆是市场大幅下跌的核心原因。从宏观数据来看，经济增速依然疲软，国内经济刺激力度进一步加强，宽松货币政策延续；而海外市场，美国因经济数据表现反复，加息预期有所缓和，有利于市场流动性改善。三季度本基金净值表现跑赢业绩比较基准，主要缘于组合及时采取积极防御策略，一定程度上避免了净值损失。</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展望未来一个季度，我们对市场的态度由谨慎转向较为乐观，或将积极参与投资。我们从防御策略转向较为乐观态度主要有两个原因：一方面，经历快速去杠杆过程后，市场的杠杆水平已经大幅下降；另一方面，从绝对估值水平来看，部分优质成长股的估值已经具备一定吸引力。选股方向上，我们认为三季度业绩增速仍需考验，因此在三季度业绩明朗之前，选股侧重点依然在于挑选业绩风险较小的优质成长股，待三季报披露后可以考虑适当增加中期空间大的主题型品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截至2015年9月30日，本基金份额净值为0.9037元，本报告期份额净值增长率为-18.67%，同期业绩比较基准增长率为-21.26%。</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1,893,937,280.61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80.53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1,893,937,280.61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80.53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130,393,000.00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130,393,000.00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
            </w:r>
            <w:proofErr w:type="spellStart"/>
            <w:r w:rsidRPr="00414345">
              <w:rPr>
                <w:rFonts w:eastAsiaTheme="minorEastAsia"/>
                <w:color w:val="000000"/>
                <w:sz w:val="24"/>
                <w:szCs w:val="24"/>
              </w:rPr>
              <w:t/>
            </w:r>
            <w:proofErr w:type="spellEnd"/>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
            </w:r>
            <w:proofErr w:type="spellStart"/>
            <w:r w:rsidRPr="00414345">
              <w:rPr>
                <w:rFonts w:eastAsiaTheme="minorEastAsia"/>
                <w:color w:val="000000"/>
                <w:sz w:val="24"/>
                <w:szCs w:val="24"/>
              </w:rPr>
              <w:t/>
            </w:r>
            <w:proofErr w:type="spellEnd"/>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323,560,475.35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13.76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4,045,494.59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0.17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2,351,936,250.55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proofErr w:type="spellStart"/>
            <w:r w:rsidRPr="00414345">
              <w:rPr>
                <w:color w:val="000000"/>
                <w:sz w:val="24"/>
                <w:szCs w:val="24"/>
              </w:rPr>
              <w:t/>
            </w:r>
            <w:r w:rsidRPr="00414345">
              <w:rPr>
                <w:color w:val="000000"/>
                <w:sz w:val="24"/>
                <w:szCs w:val="24"/>
              </w:rPr>
              <w:lastRenderedPageBreak/>
              <w:t/>
            </w:r>
            <w:proofErr w:type="spellEnd"/>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1,278,200,794.44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54.85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31,261,968.75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151,911,947.02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57,768,741.50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2.48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119,684,699.92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35,678,662.00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219,430,466.98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9.42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1,893,937,280.61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81.27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000902</w:t>
            </w:r>
          </w:p>
        </w:tc>
        <w:tc>
          <w:tcPr>
            <w:vAlign w:val="center"/>
          </w:tcPr>
          <w:p>
            <w:pPr>
              <w:jc w:val="center"/>
            </w:pPr>
            <w:r>
              <w:rPr>
                <w:color w:val="000000"/>
                <w:sz w:val="24"/>
                <w:szCs w:val="24"/>
              </w:rPr>
              <w:t>新洋丰</w:t>
            </w:r>
          </w:p>
        </w:tc>
        <w:tc>
          <w:tcPr>
            <w:vAlign w:val="center"/>
          </w:tcPr>
          <w:p>
            <w:pPr>
              <w:jc w:val="right"/>
            </w:pPr>
            <w:r>
              <w:rPr>
                <w:color w:val="000000"/>
                <w:sz w:val="24"/>
                <w:szCs w:val="24"/>
              </w:rPr>
              <w:t>7,687,536</w:t>
            </w:r>
          </w:p>
        </w:tc>
        <w:tc>
          <w:tcPr>
            <w:vAlign w:val="center"/>
          </w:tcPr>
          <w:p>
            <w:pPr>
              <w:jc w:val="right"/>
            </w:pPr>
            <w:r>
              <w:rPr>
                <w:color w:val="000000"/>
                <w:sz w:val="24"/>
                <w:szCs w:val="24"/>
              </w:rPr>
              <w:t>171,047,676.00</w:t>
            </w:r>
          </w:p>
        </w:tc>
        <w:tc>
          <w:tcPr>
            <w:vAlign w:val="center"/>
          </w:tcPr>
          <w:p>
            <w:pPr>
              <w:jc w:val="right"/>
            </w:pPr>
            <w:r>
              <w:rPr>
                <w:color w:val="000000"/>
                <w:sz w:val="24"/>
                <w:szCs w:val="24"/>
              </w:rPr>
              <w:t>7.34</w:t>
            </w:r>
          </w:p>
        </w:tc>
      </w:tr>
      <w:tr>
        <w:tc>
          <w:tcPr>
            <w:vAlign w:val="center"/>
          </w:tcPr>
          <w:p>
            <w:pPr>
              <w:jc w:val="center"/>
            </w:pPr>
            <w:r>
              <w:rPr>
                <w:color w:val="000000"/>
                <w:sz w:val="24"/>
                <w:szCs w:val="24"/>
              </w:rPr>
              <w:t>2</w:t>
            </w:r>
          </w:p>
        </w:tc>
        <w:tc>
          <w:tcPr>
            <w:vAlign w:val="center"/>
          </w:tcPr>
          <w:p>
            <w:pPr>
              <w:jc w:val="center"/>
            </w:pPr>
            <w:r>
              <w:rPr>
                <w:color w:val="000000"/>
                <w:sz w:val="24"/>
                <w:szCs w:val="24"/>
              </w:rPr>
              <w:t>600763</w:t>
            </w:r>
          </w:p>
        </w:tc>
        <w:tc>
          <w:tcPr>
            <w:vAlign w:val="center"/>
          </w:tcPr>
          <w:p>
            <w:pPr>
              <w:jc w:val="center"/>
            </w:pPr>
            <w:r>
              <w:rPr>
                <w:color w:val="000000"/>
                <w:sz w:val="24"/>
                <w:szCs w:val="24"/>
              </w:rPr>
              <w:t>通策医疗</w:t>
            </w:r>
          </w:p>
        </w:tc>
        <w:tc>
          <w:tcPr>
            <w:vAlign w:val="center"/>
          </w:tcPr>
          <w:p>
            <w:pPr>
              <w:jc w:val="right"/>
            </w:pPr>
            <w:r>
              <w:rPr>
                <w:color w:val="000000"/>
                <w:sz w:val="24"/>
                <w:szCs w:val="24"/>
              </w:rPr>
              <w:t>1,996,090</w:t>
            </w:r>
          </w:p>
        </w:tc>
        <w:tc>
          <w:tcPr>
            <w:vAlign w:val="center"/>
          </w:tcPr>
          <w:p>
            <w:pPr>
              <w:jc w:val="right"/>
            </w:pPr>
            <w:r>
              <w:rPr>
                <w:color w:val="000000"/>
                <w:sz w:val="24"/>
                <w:szCs w:val="24"/>
              </w:rPr>
              <w:t>147,211,637.50</w:t>
            </w:r>
          </w:p>
        </w:tc>
        <w:tc>
          <w:tcPr>
            <w:vAlign w:val="center"/>
          </w:tcPr>
          <w:p>
            <w:pPr>
              <w:jc w:val="right"/>
            </w:pPr>
            <w:r>
              <w:rPr>
                <w:color w:val="000000"/>
                <w:sz w:val="24"/>
                <w:szCs w:val="24"/>
              </w:rPr>
              <w:t>6.32</w:t>
            </w:r>
          </w:p>
        </w:tc>
      </w:tr>
      <w:tr>
        <w:tc>
          <w:tcPr>
            <w:vAlign w:val="center"/>
          </w:tcPr>
          <w:p>
            <w:pPr>
              <w:jc w:val="center"/>
            </w:pPr>
            <w:r>
              <w:rPr>
                <w:color w:val="000000"/>
                <w:sz w:val="24"/>
                <w:szCs w:val="24"/>
              </w:rPr>
              <w:t>3</w:t>
            </w:r>
          </w:p>
        </w:tc>
        <w:tc>
          <w:tcPr>
            <w:vAlign w:val="center"/>
          </w:tcPr>
          <w:p>
            <w:pPr>
              <w:jc w:val="center"/>
            </w:pPr>
            <w:r>
              <w:rPr>
                <w:color w:val="000000"/>
                <w:sz w:val="24"/>
                <w:szCs w:val="24"/>
              </w:rPr>
              <w:t>002415</w:t>
            </w:r>
          </w:p>
        </w:tc>
        <w:tc>
          <w:tcPr>
            <w:vAlign w:val="center"/>
          </w:tcPr>
          <w:p>
            <w:pPr>
              <w:jc w:val="center"/>
            </w:pPr>
            <w:r>
              <w:rPr>
                <w:color w:val="000000"/>
                <w:sz w:val="24"/>
                <w:szCs w:val="24"/>
              </w:rPr>
              <w:t>海康威视</w:t>
            </w:r>
          </w:p>
        </w:tc>
        <w:tc>
          <w:tcPr>
            <w:vAlign w:val="center"/>
          </w:tcPr>
          <w:p>
            <w:pPr>
              <w:jc w:val="right"/>
            </w:pPr>
            <w:r>
              <w:rPr>
                <w:color w:val="000000"/>
                <w:sz w:val="24"/>
                <w:szCs w:val="24"/>
              </w:rPr>
              <w:t>4,034,707</w:t>
            </w:r>
          </w:p>
        </w:tc>
        <w:tc>
          <w:tcPr>
            <w:vAlign w:val="center"/>
          </w:tcPr>
          <w:p>
            <w:pPr>
              <w:jc w:val="right"/>
            </w:pPr>
            <w:r>
              <w:rPr>
                <w:color w:val="000000"/>
                <w:sz w:val="24"/>
                <w:szCs w:val="24"/>
              </w:rPr>
              <w:t>131,450,754.06</w:t>
            </w:r>
          </w:p>
        </w:tc>
        <w:tc>
          <w:tcPr>
            <w:vAlign w:val="center"/>
          </w:tcPr>
          <w:p>
            <w:pPr>
              <w:jc w:val="right"/>
            </w:pPr>
            <w:r>
              <w:rPr>
                <w:color w:val="000000"/>
                <w:sz w:val="24"/>
                <w:szCs w:val="24"/>
              </w:rPr>
              <w:t>5.64</w:t>
            </w:r>
          </w:p>
        </w:tc>
      </w:tr>
      <w:tr>
        <w:tc>
          <w:tcPr>
            <w:vAlign w:val="center"/>
          </w:tcPr>
          <w:p>
            <w:pPr>
              <w:jc w:val="center"/>
            </w:pPr>
            <w:r>
              <w:rPr>
                <w:color w:val="000000"/>
                <w:sz w:val="24"/>
                <w:szCs w:val="24"/>
              </w:rPr>
              <w:t>4</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2,682,015</w:t>
            </w:r>
          </w:p>
        </w:tc>
        <w:tc>
          <w:tcPr>
            <w:vAlign w:val="center"/>
          </w:tcPr>
          <w:p>
            <w:pPr>
              <w:jc w:val="right"/>
            </w:pPr>
            <w:r>
              <w:rPr>
                <w:color w:val="000000"/>
                <w:sz w:val="24"/>
                <w:szCs w:val="24"/>
              </w:rPr>
              <w:t>123,882,272.85</w:t>
            </w:r>
          </w:p>
        </w:tc>
        <w:tc>
          <w:tcPr>
            <w:vAlign w:val="center"/>
          </w:tcPr>
          <w:p>
            <w:pPr>
              <w:jc w:val="right"/>
            </w:pPr>
            <w:r>
              <w:rPr>
                <w:color w:val="000000"/>
                <w:sz w:val="24"/>
                <w:szCs w:val="24"/>
              </w:rPr>
              <w:t>5.32</w:t>
            </w:r>
          </w:p>
        </w:tc>
      </w:tr>
      <w:tr>
        <w:tc>
          <w:tcPr>
            <w:vAlign w:val="center"/>
          </w:tcPr>
          <w:p>
            <w:pPr>
              <w:jc w:val="center"/>
            </w:pPr>
            <w:r>
              <w:rPr>
                <w:color w:val="000000"/>
                <w:sz w:val="24"/>
                <w:szCs w:val="24"/>
              </w:rPr>
              <w:t>5</w:t>
            </w:r>
          </w:p>
        </w:tc>
        <w:tc>
          <w:tcPr>
            <w:vAlign w:val="center"/>
          </w:tcPr>
          <w:p>
            <w:pPr>
              <w:jc w:val="center"/>
            </w:pPr>
            <w:r>
              <w:rPr>
                <w:color w:val="000000"/>
                <w:sz w:val="24"/>
                <w:szCs w:val="24"/>
              </w:rPr>
              <w:t>002020</w:t>
            </w:r>
          </w:p>
        </w:tc>
        <w:tc>
          <w:tcPr>
            <w:vAlign w:val="center"/>
          </w:tcPr>
          <w:p>
            <w:pPr>
              <w:jc w:val="center"/>
            </w:pPr>
            <w:r>
              <w:rPr>
                <w:color w:val="000000"/>
                <w:sz w:val="24"/>
                <w:szCs w:val="24"/>
              </w:rPr>
              <w:t>京新药业</w:t>
            </w:r>
          </w:p>
        </w:tc>
        <w:tc>
          <w:tcPr>
            <w:vAlign w:val="center"/>
          </w:tcPr>
          <w:p>
            <w:pPr>
              <w:jc w:val="right"/>
            </w:pPr>
            <w:r>
              <w:rPr>
                <w:color w:val="000000"/>
                <w:sz w:val="24"/>
                <w:szCs w:val="24"/>
              </w:rPr>
              <w:t>4,394,352</w:t>
            </w:r>
          </w:p>
        </w:tc>
        <w:tc>
          <w:tcPr>
            <w:vAlign w:val="center"/>
          </w:tcPr>
          <w:p>
            <w:pPr>
              <w:jc w:val="right"/>
            </w:pPr>
            <w:r>
              <w:rPr>
                <w:color w:val="000000"/>
                <w:sz w:val="24"/>
                <w:szCs w:val="24"/>
              </w:rPr>
              <w:t>116,450,328.00</w:t>
            </w:r>
          </w:p>
        </w:tc>
        <w:tc>
          <w:tcPr>
            <w:vAlign w:val="center"/>
          </w:tcPr>
          <w:p>
            <w:pPr>
              <w:jc w:val="right"/>
            </w:pPr>
            <w:r>
              <w:rPr>
                <w:color w:val="000000"/>
                <w:sz w:val="24"/>
                <w:szCs w:val="24"/>
              </w:rPr>
              <w:t>5.00</w:t>
            </w:r>
          </w:p>
        </w:tc>
      </w:tr>
      <w:tr>
        <w:tc>
          <w:tcPr>
            <w:vAlign w:val="center"/>
          </w:tcPr>
          <w:p>
            <w:pPr>
              <w:jc w:val="center"/>
            </w:pPr>
            <w:r>
              <w:rPr>
                <w:color w:val="000000"/>
                <w:sz w:val="24"/>
                <w:szCs w:val="24"/>
              </w:rPr>
              <w:t>6</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3,461,456</w:t>
            </w:r>
          </w:p>
        </w:tc>
        <w:tc>
          <w:tcPr>
            <w:vAlign w:val="center"/>
          </w:tcPr>
          <w:p>
            <w:pPr>
              <w:jc w:val="right"/>
            </w:pPr>
            <w:r>
              <w:rPr>
                <w:color w:val="000000"/>
                <w:sz w:val="24"/>
                <w:szCs w:val="24"/>
              </w:rPr>
              <w:t>102,355,253.92</w:t>
            </w:r>
          </w:p>
        </w:tc>
        <w:tc>
          <w:tcPr>
            <w:vAlign w:val="center"/>
          </w:tcPr>
          <w:p>
            <w:pPr>
              <w:jc w:val="right"/>
            </w:pPr>
            <w:r>
              <w:rPr>
                <w:color w:val="000000"/>
                <w:sz w:val="24"/>
                <w:szCs w:val="24"/>
              </w:rPr>
              <w:t>4.39</w:t>
            </w:r>
          </w:p>
        </w:tc>
      </w:tr>
      <w:tr>
        <w:tc>
          <w:tcPr>
            <w:vAlign w:val="center"/>
          </w:tcPr>
          <w:p>
            <w:pPr>
              <w:jc w:val="center"/>
            </w:pPr>
            <w:r>
              <w:rPr>
                <w:color w:val="000000"/>
                <w:sz w:val="24"/>
                <w:szCs w:val="24"/>
              </w:rPr>
              <w:t>7</w:t>
            </w:r>
          </w:p>
        </w:tc>
        <w:tc>
          <w:tcPr>
            <w:vAlign w:val="center"/>
          </w:tcPr>
          <w:p>
            <w:pPr>
              <w:jc w:val="center"/>
            </w:pPr>
            <w:r>
              <w:rPr>
                <w:color w:val="000000"/>
                <w:sz w:val="24"/>
                <w:szCs w:val="24"/>
              </w:rPr>
              <w:t>002169</w:t>
            </w:r>
          </w:p>
        </w:tc>
        <w:tc>
          <w:tcPr>
            <w:vAlign w:val="center"/>
          </w:tcPr>
          <w:p>
            <w:pPr>
              <w:jc w:val="center"/>
            </w:pPr>
            <w:r>
              <w:rPr>
                <w:color w:val="000000"/>
                <w:sz w:val="24"/>
                <w:szCs w:val="24"/>
              </w:rPr>
              <w:t>智光电气</w:t>
            </w:r>
          </w:p>
        </w:tc>
        <w:tc>
          <w:tcPr>
            <w:vAlign w:val="center"/>
          </w:tcPr>
          <w:p>
            <w:pPr>
              <w:jc w:val="right"/>
            </w:pPr>
            <w:r>
              <w:rPr>
                <w:color w:val="000000"/>
                <w:sz w:val="24"/>
                <w:szCs w:val="24"/>
              </w:rPr>
              <w:t>5,000,021</w:t>
            </w:r>
          </w:p>
        </w:tc>
        <w:tc>
          <w:tcPr>
            <w:vAlign w:val="center"/>
          </w:tcPr>
          <w:p>
            <w:pPr>
              <w:jc w:val="right"/>
            </w:pPr>
            <w:r>
              <w:rPr>
                <w:color w:val="000000"/>
                <w:sz w:val="24"/>
                <w:szCs w:val="24"/>
              </w:rPr>
              <w:t>88,650,372.33</w:t>
            </w:r>
          </w:p>
        </w:tc>
        <w:tc>
          <w:tcPr>
            <w:vAlign w:val="center"/>
          </w:tcPr>
          <w:p>
            <w:pPr>
              <w:jc w:val="right"/>
            </w:pPr>
            <w:r>
              <w:rPr>
                <w:color w:val="000000"/>
                <w:sz w:val="24"/>
                <w:szCs w:val="24"/>
              </w:rPr>
              <w:t>3.80</w:t>
            </w:r>
          </w:p>
        </w:tc>
      </w:tr>
      <w:tr>
        <w:tc>
          <w:tcPr>
            <w:vAlign w:val="center"/>
          </w:tcPr>
          <w:p>
            <w:pPr>
              <w:jc w:val="center"/>
            </w:pPr>
            <w:r>
              <w:rPr>
                <w:color w:val="000000"/>
                <w:sz w:val="24"/>
                <w:szCs w:val="24"/>
              </w:rPr>
              <w:t>8</w:t>
            </w:r>
          </w:p>
        </w:tc>
        <w:tc>
          <w:tcPr>
            <w:vAlign w:val="center"/>
          </w:tcPr>
          <w:p>
            <w:pPr>
              <w:jc w:val="center"/>
            </w:pPr>
            <w:r>
              <w:rPr>
                <w:color w:val="000000"/>
                <w:sz w:val="24"/>
                <w:szCs w:val="24"/>
              </w:rPr>
              <w:t>002717</w:t>
            </w:r>
          </w:p>
        </w:tc>
        <w:tc>
          <w:tcPr>
            <w:vAlign w:val="center"/>
          </w:tcPr>
          <w:p>
            <w:pPr>
              <w:jc w:val="center"/>
            </w:pPr>
            <w:r>
              <w:rPr>
                <w:color w:val="000000"/>
                <w:sz w:val="24"/>
                <w:szCs w:val="24"/>
              </w:rPr>
              <w:t>岭南园林</w:t>
            </w:r>
          </w:p>
        </w:tc>
        <w:tc>
          <w:tcPr>
            <w:vAlign w:val="center"/>
          </w:tcPr>
          <w:p>
            <w:pPr>
              <w:jc w:val="right"/>
            </w:pPr>
            <w:r>
              <w:rPr>
                <w:color w:val="000000"/>
                <w:sz w:val="24"/>
                <w:szCs w:val="24"/>
              </w:rPr>
              <w:t>5,520,791</w:t>
            </w:r>
          </w:p>
        </w:tc>
        <w:tc>
          <w:tcPr>
            <w:vAlign w:val="center"/>
          </w:tcPr>
          <w:p>
            <w:pPr>
              <w:jc w:val="right"/>
            </w:pPr>
            <w:r>
              <w:rPr>
                <w:color w:val="000000"/>
                <w:sz w:val="24"/>
                <w:szCs w:val="24"/>
              </w:rPr>
              <w:t>82,922,280.82</w:t>
            </w:r>
          </w:p>
        </w:tc>
        <w:tc>
          <w:tcPr>
            <w:vAlign w:val="center"/>
          </w:tcPr>
          <w:p>
            <w:pPr>
              <w:jc w:val="right"/>
            </w:pPr>
            <w:r>
              <w:rPr>
                <w:color w:val="000000"/>
                <w:sz w:val="24"/>
                <w:szCs w:val="24"/>
              </w:rPr>
              <w:t>3.56</w:t>
            </w:r>
          </w:p>
        </w:tc>
      </w:tr>
      <w:tr>
        <w:tc>
          <w:tcPr>
            <w:vAlign w:val="center"/>
          </w:tcPr>
          <w:p>
            <w:pPr>
              <w:jc w:val="center"/>
            </w:pPr>
            <w:r>
              <w:rPr>
                <w:color w:val="000000"/>
                <w:sz w:val="24"/>
                <w:szCs w:val="24"/>
              </w:rPr>
              <w:t>9</w:t>
            </w:r>
          </w:p>
        </w:tc>
        <w:tc>
          <w:tcPr>
            <w:vAlign w:val="center"/>
          </w:tcPr>
          <w:p>
            <w:pPr>
              <w:jc w:val="center"/>
            </w:pPr>
            <w:r>
              <w:rPr>
                <w:color w:val="000000"/>
                <w:sz w:val="24"/>
                <w:szCs w:val="24"/>
              </w:rPr>
              <w:t>600074</w:t>
            </w:r>
          </w:p>
        </w:tc>
        <w:tc>
          <w:tcPr>
            <w:vAlign w:val="center"/>
          </w:tcPr>
          <w:p>
            <w:pPr>
              <w:jc w:val="center"/>
            </w:pPr>
            <w:r>
              <w:rPr>
                <w:color w:val="000000"/>
                <w:sz w:val="24"/>
                <w:szCs w:val="24"/>
              </w:rPr>
              <w:t>保千里</w:t>
            </w:r>
          </w:p>
        </w:tc>
        <w:tc>
          <w:tcPr>
            <w:vAlign w:val="center"/>
          </w:tcPr>
          <w:p>
            <w:pPr>
              <w:jc w:val="right"/>
            </w:pPr>
            <w:r>
              <w:rPr>
                <w:color w:val="000000"/>
                <w:sz w:val="24"/>
                <w:szCs w:val="24"/>
              </w:rPr>
              <w:t>6,021,475</w:t>
            </w:r>
          </w:p>
        </w:tc>
        <w:tc>
          <w:tcPr>
            <w:vAlign w:val="center"/>
          </w:tcPr>
          <w:p>
            <w:pPr>
              <w:jc w:val="right"/>
            </w:pPr>
            <w:r>
              <w:rPr>
                <w:color w:val="000000"/>
                <w:sz w:val="24"/>
                <w:szCs w:val="24"/>
              </w:rPr>
              <w:t>73,160,921.25</w:t>
            </w:r>
          </w:p>
        </w:tc>
        <w:tc>
          <w:tcPr>
            <w:vAlign w:val="center"/>
          </w:tcPr>
          <w:p>
            <w:pPr>
              <w:jc w:val="right"/>
            </w:pPr>
            <w:r>
              <w:rPr>
                <w:color w:val="000000"/>
                <w:sz w:val="24"/>
                <w:szCs w:val="24"/>
              </w:rPr>
              <w:t>3.14</w:t>
            </w:r>
          </w:p>
        </w:tc>
      </w:tr>
      <w:tr>
        <w:tc>
          <w:tcPr>
            <w:vAlign w:val="center"/>
          </w:tcPr>
          <w:p>
            <w:pPr>
              <w:jc w:val="center"/>
            </w:pPr>
            <w:r>
              <w:rPr>
                <w:color w:val="000000"/>
                <w:sz w:val="24"/>
                <w:szCs w:val="24"/>
              </w:rPr>
              <w:t>10</w:t>
            </w:r>
          </w:p>
        </w:tc>
        <w:tc>
          <w:tcPr>
            <w:vAlign w:val="center"/>
          </w:tcPr>
          <w:p>
            <w:pPr>
              <w:jc w:val="center"/>
            </w:pPr>
            <w:r>
              <w:rPr>
                <w:color w:val="000000"/>
                <w:sz w:val="24"/>
                <w:szCs w:val="24"/>
              </w:rPr>
              <w:t>300347</w:t>
            </w:r>
          </w:p>
        </w:tc>
        <w:tc>
          <w:tcPr>
            <w:vAlign w:val="center"/>
          </w:tcPr>
          <w:p>
            <w:pPr>
              <w:jc w:val="center"/>
            </w:pPr>
            <w:r>
              <w:rPr>
                <w:color w:val="000000"/>
                <w:sz w:val="24"/>
                <w:szCs w:val="24"/>
              </w:rPr>
              <w:t>泰格医药</w:t>
            </w:r>
          </w:p>
        </w:tc>
        <w:tc>
          <w:tcPr>
            <w:vAlign w:val="center"/>
          </w:tcPr>
          <w:p>
            <w:pPr>
              <w:jc w:val="right"/>
            </w:pPr>
            <w:r>
              <w:rPr>
                <w:color w:val="000000"/>
                <w:sz w:val="24"/>
                <w:szCs w:val="24"/>
              </w:rPr>
              <w:t>2,230,907</w:t>
            </w:r>
          </w:p>
        </w:tc>
        <w:tc>
          <w:tcPr>
            <w:vAlign w:val="center"/>
          </w:tcPr>
          <w:p>
            <w:pPr>
              <w:jc w:val="right"/>
            </w:pPr>
            <w:r>
              <w:rPr>
                <w:color w:val="000000"/>
                <w:sz w:val="24"/>
                <w:szCs w:val="24"/>
              </w:rPr>
              <w:t>72,169,841.45</w:t>
            </w:r>
          </w:p>
        </w:tc>
        <w:tc>
          <w:tcPr>
            <w:vAlign w:val="center"/>
          </w:tcPr>
          <w:p>
            <w:pPr>
              <w:jc w:val="right"/>
            </w:pPr>
            <w:r>
              <w:rPr>
                <w:color w:val="000000"/>
                <w:sz w:val="24"/>
                <w:szCs w:val="24"/>
              </w:rPr>
              <w:t>3.10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roofErr w:type="spellStart"/>
            <w:r w:rsidR="00F71057" w:rsidRPr="00414345">
              <w:rPr>
                <w:color w:val="000000"/>
                <w:sz w:val="24"/>
                <w:szCs w:val="24"/>
              </w:rPr>
              <w:t/>
            </w:r>
            <w:proofErr w:type="spellEnd"/>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130,393,000.00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5.60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130,393,000.00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130,393,000.00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5.60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150416</w:t>
            </w:r>
          </w:p>
        </w:tc>
        <w:tc>
          <w:tcPr>
            <w:vAlign w:val="center"/>
          </w:tcPr>
          <w:p>
            <w:pPr>
              <w:jc w:val="center"/>
            </w:pPr>
            <w:r>
              <w:rPr>
                <w:color w:val="000000"/>
                <w:sz w:val="24"/>
                <w:szCs w:val="24"/>
              </w:rPr>
              <w:t>15农发16</w:t>
            </w:r>
          </w:p>
        </w:tc>
        <w:tc>
          <w:tcPr>
            <w:vAlign w:val="center"/>
          </w:tcPr>
          <w:p>
            <w:pPr>
              <w:jc w:val="right"/>
            </w:pPr>
            <w:r>
              <w:rPr>
                <w:color w:val="000000"/>
                <w:sz w:val="24"/>
                <w:szCs w:val="24"/>
              </w:rPr>
              <w:t>1,000,000</w:t>
            </w:r>
          </w:p>
        </w:tc>
        <w:tc>
          <w:tcPr>
            <w:vAlign w:val="center"/>
          </w:tcPr>
          <w:p>
            <w:pPr>
              <w:jc w:val="right"/>
            </w:pPr>
            <w:r>
              <w:rPr>
                <w:color w:val="000000"/>
                <w:sz w:val="24"/>
                <w:szCs w:val="24"/>
              </w:rPr>
              <w:t>100,030,000.00</w:t>
            </w:r>
          </w:p>
        </w:tc>
        <w:tc>
          <w:tcPr>
            <w:vAlign w:val="center"/>
          </w:tcPr>
          <w:p>
            <w:pPr>
              <w:jc w:val="right"/>
            </w:pPr>
            <w:r>
              <w:rPr>
                <w:color w:val="000000"/>
                <w:sz w:val="24"/>
                <w:szCs w:val="24"/>
              </w:rPr>
              <w:t>4.29</w:t>
            </w:r>
          </w:p>
        </w:tc>
      </w:tr>
      <w:tr>
        <w:tc>
          <w:tcPr>
            <w:vAlign w:val="center"/>
          </w:tcPr>
          <w:p>
            <w:pPr>
              <w:jc w:val="center"/>
            </w:pPr>
            <w:r>
              <w:rPr>
                <w:color w:val="000000"/>
                <w:sz w:val="24"/>
                <w:szCs w:val="24"/>
              </w:rPr>
              <w:t>2</w:t>
            </w:r>
          </w:p>
        </w:tc>
        <w:tc>
          <w:tcPr>
            <w:vAlign w:val="center"/>
          </w:tcPr>
          <w:p>
            <w:pPr>
              <w:jc w:val="center"/>
            </w:pPr>
            <w:r>
              <w:rPr>
                <w:color w:val="000000"/>
                <w:sz w:val="24"/>
                <w:szCs w:val="24"/>
              </w:rPr>
              <w:t>110412</w:t>
            </w:r>
          </w:p>
        </w:tc>
        <w:tc>
          <w:tcPr>
            <w:vAlign w:val="center"/>
          </w:tcPr>
          <w:p>
            <w:pPr>
              <w:jc w:val="center"/>
            </w:pPr>
            <w:r>
              <w:rPr>
                <w:color w:val="000000"/>
                <w:sz w:val="24"/>
                <w:szCs w:val="24"/>
              </w:rPr>
              <w:t>11农发12</w:t>
            </w:r>
          </w:p>
        </w:tc>
        <w:tc>
          <w:tcPr>
            <w:vAlign w:val="center"/>
          </w:tcPr>
          <w:p>
            <w:pPr>
              <w:jc w:val="right"/>
            </w:pPr>
            <w:r>
              <w:rPr>
                <w:color w:val="000000"/>
                <w:sz w:val="24"/>
                <w:szCs w:val="24"/>
              </w:rPr>
              <w:t>300,000</w:t>
            </w:r>
          </w:p>
        </w:tc>
        <w:tc>
          <w:tcPr>
            <w:vAlign w:val="center"/>
          </w:tcPr>
          <w:p>
            <w:pPr>
              <w:jc w:val="right"/>
            </w:pPr>
            <w:r>
              <w:rPr>
                <w:color w:val="000000"/>
                <w:sz w:val="24"/>
                <w:szCs w:val="24"/>
              </w:rPr>
              <w:t>30,363,000.00</w:t>
            </w:r>
          </w:p>
        </w:tc>
        <w:tc>
          <w:tcPr>
            <w:vAlign w:val="center"/>
          </w:tcPr>
          <w:p>
            <w:pPr>
              <w:jc w:val="right"/>
            </w:pPr>
            <w:r>
              <w:rPr>
                <w:color w:val="000000"/>
                <w:sz w:val="24"/>
                <w:szCs w:val="24"/>
              </w:rPr>
              <w:t>1.30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r w:rsidR="004061AC" w:rsidRPr="00414345">
        <w:rPr>
          <w:color w:val="000000"/>
          <w:sz w:val="24"/>
          <w:szCs w:val="24"/>
        </w:rPr>
        <w:t/>
      </w:r>
      <w:proofErr w:type="spellEnd"/>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r w:rsidRPr="00414345">
        <w:rPr>
          <w:sz w:val="24"/>
          <w:szCs w:val="24"/>
        </w:rPr>
        <w:t/>
      </w:r>
      <w:proofErr w:type="spellEnd"/>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r w:rsidR="00315D5D" w:rsidRPr="00414345">
        <w:rPr>
          <w:color w:val="000000"/>
          <w:sz w:val="24"/>
          <w:szCs w:val="24"/>
        </w:rPr>
        <w:t/>
      </w:r>
      <w:proofErr w:type="spellEnd"/>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xml:space="preserve">本基金本报告期末未持有股指期货。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2,870,677.35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921,460.76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253,356.48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4,045,494.59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r w:rsidR="004061AC" w:rsidRPr="00414345">
        <w:rPr>
          <w:color w:val="000000"/>
          <w:sz w:val="24"/>
          <w:szCs w:val="24"/>
        </w:rPr>
        <w:t/>
      </w:r>
      <w:proofErr w:type="spellEnd"/>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Ind w:w="15" w:type="dxa"/>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600763</w:t>
            </w:r>
          </w:p>
        </w:tc>
        <w:tc>
          <w:tcPr>
            <w:vAlign w:val="center"/>
          </w:tcPr>
          <w:p>
            <w:pPr>
              <w:jc w:val="center"/>
            </w:pPr>
            <w:r>
              <w:rPr>
                <w:color w:val="000000"/>
                <w:sz w:val="24"/>
                <w:szCs w:val="24"/>
              </w:rPr>
              <w:t>通策医疗</w:t>
            </w:r>
          </w:p>
        </w:tc>
        <w:tc>
          <w:tcPr>
            <w:vAlign w:val="center"/>
          </w:tcPr>
          <w:p>
            <w:pPr>
              <w:jc w:val="right"/>
            </w:pPr>
            <w:r>
              <w:rPr>
                <w:color w:val="000000"/>
                <w:sz w:val="24"/>
                <w:szCs w:val="24"/>
              </w:rPr>
              <w:t>147,211,637.50</w:t>
            </w:r>
          </w:p>
        </w:tc>
        <w:tc>
          <w:tcPr>
            <w:vAlign w:val="center"/>
          </w:tcPr>
          <w:p>
            <w:pPr>
              <w:jc w:val="right"/>
            </w:pPr>
            <w:r>
              <w:rPr>
                <w:color w:val="000000"/>
                <w:sz w:val="24"/>
                <w:szCs w:val="24"/>
              </w:rPr>
              <w:t>6.32</w:t>
            </w:r>
          </w:p>
        </w:tc>
        <w:tc>
          <w:tcPr>
            <w:vAlign w:val="center"/>
          </w:tcPr>
          <w:p>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proofErr w:type="spellStart"/>
      <w:r w:rsidR="001675CD" w:rsidRPr="00414345">
        <w:rPr>
          <w:color w:val="000000"/>
          <w:sz w:val="24"/>
          <w:szCs w:val="24"/>
        </w:rPr>
        <w:t/>
      </w:r>
      <w:proofErr w:type="spellEnd"/>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2,744,529,629.51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w:t>
            </w:r>
            <w:r w:rsidR="004061AC" w:rsidRPr="00414345">
              <w:rPr>
                <w:color w:val="000000"/>
                <w:kern w:val="0"/>
                <w:sz w:val="24"/>
                <w:szCs w:val="24"/>
              </w:rPr>
              <w:lastRenderedPageBreak/>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lastRenderedPageBreak/>
              <w:t/>
            </w:r>
            <w:proofErr w:type="spellStart"/>
            <w:r w:rsidRPr="00414345">
              <w:rPr>
                <w:color w:val="000000"/>
                <w:sz w:val="24"/>
                <w:szCs w:val="24"/>
              </w:rPr>
              <w:t/>
            </w:r>
            <w:r w:rsidRPr="00414345">
              <w:rPr>
                <w:color w:val="000000"/>
                <w:sz w:val="24"/>
                <w:szCs w:val="24"/>
              </w:rPr>
              <w:lastRenderedPageBreak/>
              <w:t/>
            </w:r>
            <w:proofErr w:type="spellEnd"/>
            <w:r w:rsidRPr="00414345">
              <w:rPr>
                <w:color w:val="000000"/>
                <w:sz w:val="24"/>
                <w:szCs w:val="24"/>
              </w:rPr>
              <w:t>163,302,441.29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329,114,056.67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2,578,718,014.13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r w:rsidR="004061AC" w:rsidRPr="00414345">
        <w:rPr>
          <w:color w:val="000000"/>
          <w:sz w:val="24"/>
          <w:szCs w:val="24"/>
        </w:rPr>
        <w:t/>
      </w:r>
      <w:proofErr w:type="spellEnd"/>
      <w:r w:rsidR="004061AC" w:rsidRPr="00414345">
        <w:rPr>
          <w:color w:val="000000"/>
          <w:sz w:val="24"/>
          <w:szCs w:val="24"/>
        </w:rPr>
        <w:t xml:space="preserve">    2、如果本报告期间发生转换出业务，则总赎回份额中包含该业务。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F323FF">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proofErr w:type="spellStart"/>
      <w:r w:rsidRPr="00ED2620">
        <w:rPr>
          <w:rFonts w:eastAsiaTheme="minorEastAsia"/>
          <w:sz w:val="24"/>
        </w:rPr>
        <w:t/>
      </w:r>
      <w:proofErr w:type="spellEnd"/>
      <w:r w:rsidRPr="00ED2620">
        <w:rPr>
          <w:rFonts w:eastAsiaTheme="minorEastAsia"/>
          <w:sz w:val="24"/>
        </w:rPr>
        <w:t/>
      </w:r>
      <w:r w:rsidRPr="00ED2620">
        <w:rPr>
          <w:rFonts w:eastAsiaTheme="minorEastAsia" w:hAnsiTheme="minorEastAsia"/>
          <w:color w:val="000000"/>
          <w:kern w:val="0"/>
          <w:sz w:val="24"/>
        </w:rPr>
        <w:t>单位：份</w:t>
      </w:r>
    </w:p>
    <w:tbl>
      <w:tblPr>
        <w:tblW w:w="8868" w:type="dxa"/>
        <w:jc w:val="center"/>
        <w:tblLayout w:type="fixed"/>
        <w:tblLook w:val="04A0"/>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roofErr w:type="spellStart"/>
            <w:r w:rsidRPr="00ED2620">
              <w:rPr>
                <w:rFonts w:eastAsiaTheme="minorEastAsia"/>
              </w:rPr>
              <w:t/>
            </w:r>
            <w:proofErr w:type="spellEnd"/>
            <w:r w:rsidRPr="00ED2620">
              <w:rPr>
                <w:rFonts w:eastAsiaTheme="minorEastAsia"/>
              </w:rPr>
              <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95,457,385.41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
            </w:r>
            <w:proofErr w:type="spellStart"/>
            <w:r w:rsidRPr="00ED2620">
              <w:rPr>
                <w:rFonts w:eastAsiaTheme="minorEastAsia"/>
                <w:color w:val="000000"/>
                <w:kern w:val="0"/>
                <w:sz w:val="24"/>
              </w:rPr>
              <w:t/>
            </w:r>
            <w:proofErr w:type="spellEnd"/>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
            </w:r>
            <w:proofErr w:type="spellStart"/>
            <w:r w:rsidRPr="00ED2620">
              <w:rPr>
                <w:rFonts w:eastAsiaTheme="minorEastAsia"/>
                <w:color w:val="000000"/>
                <w:sz w:val="24"/>
              </w:rPr>
              <w:t/>
            </w:r>
            <w:proofErr w:type="spellEnd"/>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
            </w:r>
            <w:proofErr w:type="spellStart"/>
            <w:r w:rsidRPr="00ED2620">
              <w:rPr>
                <w:rFonts w:eastAsiaTheme="minorEastAsia"/>
                <w:color w:val="000000"/>
                <w:kern w:val="0"/>
                <w:sz w:val="24"/>
              </w:rPr>
              <w:t/>
            </w:r>
            <w:proofErr w:type="spellEnd"/>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
            </w:r>
            <w:proofErr w:type="spellStart"/>
            <w:r w:rsidRPr="00ED2620">
              <w:rPr>
                <w:rFonts w:eastAsiaTheme="minorEastAsia"/>
                <w:color w:val="000000"/>
                <w:sz w:val="24"/>
              </w:rPr>
              <w:t/>
            </w:r>
            <w:proofErr w:type="spellEnd"/>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
            </w:r>
            <w:proofErr w:type="spellStart"/>
            <w:r w:rsidRPr="00ED2620">
              <w:rPr>
                <w:rFonts w:eastAsiaTheme="minorEastAsia"/>
                <w:color w:val="000000"/>
                <w:sz w:val="24"/>
              </w:rPr>
              <w:t/>
            </w:r>
            <w:proofErr w:type="spellEnd"/>
            <w:r w:rsidRPr="00ED2620">
              <w:rPr>
                <w:rFonts w:eastAsiaTheme="minorEastAsia"/>
                <w:color w:val="000000"/>
                <w:sz w:val="24"/>
              </w:rPr>
              <w:t>95,457,385.41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
            </w:r>
            <w:proofErr w:type="spellStart"/>
            <w:r w:rsidRPr="00ED2620">
              <w:rPr>
                <w:rFonts w:eastAsiaTheme="minorEastAsia"/>
                <w:color w:val="000000"/>
                <w:sz w:val="24"/>
              </w:rPr>
              <w:t/>
            </w:r>
            <w:proofErr w:type="spellEnd"/>
            <w:r w:rsidRPr="00ED2620">
              <w:rPr>
                <w:rFonts w:eastAsiaTheme="minorEastAsia"/>
                <w:color w:val="000000"/>
                <w:sz w:val="24"/>
              </w:rPr>
              <w:t>3.70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r w:rsidRPr="00ED2620">
        <w:rPr>
          <w:rFonts w:eastAsiaTheme="minorEastAsia"/>
          <w:color w:val="000000"/>
          <w:sz w:val="24"/>
        </w:rPr>
        <w:t/>
      </w:r>
      <w:proofErr w:type="spellEnd"/>
      <w:r w:rsidRPr="00ED2620">
        <w:rPr>
          <w:rFonts w:eastAsiaTheme="minorEastAsia"/>
          <w:color w:val="000000"/>
          <w:sz w:val="24"/>
        </w:rPr>
        <w:t xml:space="preserve">    2、如果本报告期间发生转换出业务，则总赎回份额中包含该业务。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r w:rsidRPr="00414345">
        <w:rPr>
          <w:color w:val="000000"/>
          <w:sz w:val="24"/>
        </w:rPr>
        <w:t/>
      </w:r>
      <w:proofErr w:type="spellEnd"/>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D02347" w:rsidP="00F323FF">
      <w:pPr>
        <w:pStyle w:val="1"/>
        <w:spacing w:beforeLines="100" w:afterLines="100" w:line="288" w:lineRule="auto"/>
        <w:jc w:val="center"/>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r w:rsidR="004061AC" w:rsidRPr="00414345">
        <w:rPr>
          <w:color w:val="000000"/>
          <w:kern w:val="0"/>
          <w:sz w:val="24"/>
          <w:szCs w:val="24"/>
        </w:rPr>
        <w:t>§</w:t>
      </w:r>
      <w:r w:rsidR="00D21FFF" w:rsidRPr="00414345">
        <w:rPr>
          <w:color w:val="000000"/>
          <w:kern w:val="0"/>
          <w:sz w:val="24"/>
          <w:szCs w:val="24"/>
        </w:rPr>
        <w:t/>
      </w:r>
      <w:r w:rsidR="006423B9" w:rsidRPr="00414345">
        <w:rPr>
          <w:color w:val="000000"/>
          <w:kern w:val="0"/>
          <w:sz w:val="24"/>
          <w:szCs w:val="24"/>
        </w:rPr>
        <w:t/>
      </w:r>
      <w:r w:rsidR="00676095" w:rsidRPr="00414345">
        <w:rPr>
          <w:color w:val="000000"/>
          <w:kern w:val="0"/>
          <w:sz w:val="24"/>
          <w:szCs w:val="24"/>
        </w:rPr>
        <w:t>8</w:t>
      </w:r>
      <w:r w:rsidR="00A3030E" w:rsidRPr="00414345">
        <w:rPr>
          <w:color w:val="000000"/>
          <w:kern w:val="0"/>
          <w:sz w:val="24"/>
          <w:szCs w:val="24"/>
        </w:rPr>
        <w:t xml:space="preserve"> </w:t>
      </w:r>
      <w:r w:rsidR="004061AC" w:rsidRPr="00414345">
        <w:rPr>
          <w:color w:val="000000"/>
          <w:kern w:val="0"/>
          <w:sz w:val="24"/>
          <w:szCs w:val="24"/>
        </w:rPr>
        <w:t>影响投资者决策的其他重要信息</w:t>
      </w:r>
    </w:p>
    <w:p>
      <w:pPr>
        <w:spacing w:before="29" w:line="288" w:lineRule="auto"/>
        <w:ind w:firstLineChars="200" w:firstLine="480"/>
        <w:rPr>
          <w:color w:val="000000"/>
          <w:sz w:val="24"/>
          <w:szCs w:val="24"/>
        </w:rPr>
      </w:pPr>
      <w:r>
        <w:rPr>
          <w:color w:val="000000"/>
          <w:sz w:val="24"/>
          <w:szCs w:val="24"/>
        </w:rPr>
        <w:t>1.  根据《中华人民共和国证券投资基金法》、《关于实施&lt;公开募集证券投资基金运作管理办法&gt;有关问题的规定》以及《公开募集证券投资基金运作管理办法》第三十条的规定“基金合同和基金招募说明书应当按照下列规定载明基金的类别：（一）百分之八十以上的基金资产投资于股票的，为股票基金；……（五）投资于股票、债券、货币市场工具或其他基金份额，并且股票投资、债券投资、基金投资的比例不符合第（一）项、第（二）项、第（四）项规定的，为混合基金；……”，由于交银施罗德精选股票证券投资基金的基金投资比例已不符合《公开募集证券投资基金运作管理办法》中关于股票型基金的要求，经与基金托管人协商一致，并报中国证监会备案，本基金管理人决定自2015年8月8日起，调整本基金类型为混合型基金，基金名称变更为“交银施罗德精选混合型证券投资基金”，同时相应修改基金合同和托管协议相关表述。详情请见本基金管理人于2015年8月5日发布的《交银施罗德基金管理有限公司关于旗下部分基金变更基金类别及修改基金名称并相应修改基金合同和托管协议的公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 鉴于交银施罗德精选混合型证券投资基金的业绩比较基准的指数停止计算编制，本基金管理人根据基金合同的相关约定，经与基金托管人协商一致，并报中国证监会备案，决定自2015年10月1日起将交银施罗德精选混合型证券投资基金的业绩比较基准由原“75%×沪深300指数+25%×中信全债指数”变更为“75%×沪深300指数+25%×中证综合债券指数”，并相应修改基金合同的有关内容。详情请见本基金管理人于2015年9月28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1、中国证监会批准交银施罗德精选股票证券投资基金募集的文件； </w:t>
      </w:r>
    </w:p>
    <w:p>
      <w:pPr>
        <w:spacing w:before="29" w:line="288" w:lineRule="auto"/>
        <w:ind w:firstLineChars="200" w:firstLine="480"/>
        <w:rPr>
          <w:color w:val="000000"/>
          <w:sz w:val="24"/>
          <w:szCs w:val="24"/>
        </w:rPr>
      </w:pPr>
      <w:r>
        <w:rPr>
          <w:color w:val="000000"/>
          <w:sz w:val="24"/>
          <w:szCs w:val="24"/>
        </w:rPr>
        <w:t xml:space="preserve">2、《交银施罗德精选混合型证券投资基金基金合同》； </w:t>
      </w:r>
    </w:p>
    <w:p>
      <w:pPr>
        <w:spacing w:before="29" w:line="288" w:lineRule="auto"/>
        <w:ind w:firstLineChars="200" w:firstLine="480"/>
        <w:rPr>
          <w:color w:val="000000"/>
          <w:sz w:val="24"/>
          <w:szCs w:val="24"/>
        </w:rPr>
      </w:pPr>
      <w:r>
        <w:rPr>
          <w:color w:val="000000"/>
          <w:sz w:val="24"/>
          <w:szCs w:val="24"/>
        </w:rPr>
        <w:t xml:space="preserve">3、《交银施罗德精选混合型证券投资基金招募说明书》； </w:t>
      </w:r>
    </w:p>
    <w:p>
      <w:pPr>
        <w:spacing w:before="29" w:line="288" w:lineRule="auto"/>
        <w:ind w:firstLineChars="200" w:firstLine="480"/>
        <w:rPr>
          <w:color w:val="000000"/>
          <w:sz w:val="24"/>
          <w:szCs w:val="24"/>
        </w:rPr>
      </w:pPr>
      <w:r>
        <w:rPr>
          <w:color w:val="000000"/>
          <w:sz w:val="24"/>
          <w:szCs w:val="24"/>
        </w:rPr>
        <w:t xml:space="preserve">4、《交银施罗德精选混合型证券投资基金托管协议》； </w:t>
      </w:r>
    </w:p>
    <w:p>
      <w:pPr>
        <w:spacing w:before="29" w:line="288" w:lineRule="auto"/>
        <w:ind w:firstLineChars="200" w:firstLine="480"/>
        <w:rPr>
          <w:color w:val="000000"/>
          <w:sz w:val="24"/>
          <w:szCs w:val="24"/>
        </w:rPr>
      </w:pPr>
      <w:r>
        <w:rPr>
          <w:color w:val="000000"/>
          <w:sz w:val="24"/>
          <w:szCs w:val="24"/>
        </w:rPr>
        <w:t xml:space="preserve">5、关于募集交银施罗德精选股票证券投资基金之法律意见书； </w:t>
      </w:r>
    </w:p>
    <w:p>
      <w:pPr>
        <w:spacing w:before="29" w:line="288" w:lineRule="auto"/>
        <w:ind w:firstLineChars="200" w:firstLine="480"/>
        <w:rPr>
          <w:color w:val="000000"/>
          <w:sz w:val="24"/>
          <w:szCs w:val="24"/>
        </w:rPr>
      </w:pPr>
      <w:r>
        <w:rPr>
          <w:color w:val="000000"/>
          <w:sz w:val="24"/>
          <w:szCs w:val="24"/>
        </w:rPr>
        <w:t xml:space="preserve">6、基金管理人业务资格批件、营业执照； </w:t>
      </w:r>
    </w:p>
    <w:p>
      <w:pPr>
        <w:spacing w:before="29" w:line="288" w:lineRule="auto"/>
        <w:ind w:firstLineChars="200" w:firstLine="480"/>
        <w:rPr>
          <w:color w:val="000000"/>
          <w:sz w:val="24"/>
          <w:szCs w:val="24"/>
        </w:rPr>
      </w:pPr>
      <w:r>
        <w:rPr>
          <w:color w:val="000000"/>
          <w:sz w:val="24"/>
          <w:szCs w:val="24"/>
        </w:rPr>
        <w:t xml:space="preserve">7、基金托管人业务资格批件、营业执照；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ABF" w:rsidRDefault="00443ABF" w:rsidP="00876D65">
      <w:r>
        <w:separator/>
      </w:r>
    </w:p>
  </w:endnote>
  <w:endnote w:type="continuationSeparator" w:id="0">
    <w:p w:rsidR="00443ABF" w:rsidRDefault="00443ABF"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F323FF">
      <w:rPr>
        <w:noProof/>
        <w:kern w:val="0"/>
        <w:szCs w:val="21"/>
      </w:rPr>
      <w:t>13</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F323FF">
      <w:rPr>
        <w:noProof/>
        <w:kern w:val="0"/>
        <w:szCs w:val="21"/>
      </w:rPr>
      <w:t>22</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ABF" w:rsidRDefault="00443ABF" w:rsidP="00876D65">
      <w:r>
        <w:separator/>
      </w:r>
    </w:p>
  </w:footnote>
  <w:footnote w:type="continuationSeparator" w:id="0">
    <w:p w:rsidR="00443ABF" w:rsidRDefault="00443ABF" w:rsidP="00876D65">
      <w:r>
        <w:continuationSeparator/>
      </w:r>
    </w:p>
  </w:footnote>
  <w:footnote w:type="separator" w:id="-1">
    <w:p w:rsidR="00443ABF" w:rsidRDefault="00443ABF" w:rsidP="00876D65">
      <w:r>
        <w:separator/>
      </w:r>
    </w:p>
  </w:footnote>
  <w:footnote w:type="continuationSeparator" w:id="0">
    <w:p w:rsidR="00443ABF" w:rsidRDefault="00443ABF"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fontTable" Target="fontTable.xml"/>
  <Relationship Id="rId12" Type="http://schemas.openxmlformats.org/officeDocument/2006/relationships/theme" Target="theme/theme1.xml"/>
  <Relationship Id="rId13"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2679C-E14B-4A61-9A4A-D8397538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22</Pages>
  <Words>3162</Words>
  <Characters>18024</Characters>
  <Application>Microsoft Office Word</Application>
  <DocSecurity>0</DocSecurity>
  <Lines>150</Lines>
  <Paragraphs>42</Paragraphs>
  <ScaleCrop>false</ScaleCrop>
  <Company/>
  <LinksUpToDate>false</LinksUpToDate>
  <CharactersWithSpaces>21144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2012-10-16T06:07:00Z</dcterms:created>
  <lastModifiedBy>韩永强</lastModifiedBy>
  <dcterms:modified xsi:type="dcterms:W3CDTF">2015-09-29T02:15:00Z</dcterms:modified>
  <revision>559</revision>
</coreProperties>
</file>