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二〇一五年十月二十七日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8E4D57">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861118" w:rsidRDefault="00D012A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861118" w:rsidRDefault="00D012A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10</w:t>
      </w:r>
      <w:r>
        <w:rPr>
          <w:color w:val="000000"/>
          <w:sz w:val="24"/>
        </w:rPr>
        <w:t>月</w:t>
      </w:r>
      <w:r>
        <w:rPr>
          <w:color w:val="000000"/>
          <w:sz w:val="24"/>
        </w:rPr>
        <w:t>26</w:t>
      </w:r>
      <w:r>
        <w:rPr>
          <w:color w:val="000000"/>
          <w:sz w:val="24"/>
        </w:rPr>
        <w:t xml:space="preserve">日复核了本报告中的财务指标、净值表现和投资组合报告等内容，保证复核内容不存在虚假记载、误导性陈述或者重大遗漏。　　</w:t>
      </w:r>
    </w:p>
    <w:p w:rsidR="00861118" w:rsidRDefault="00D012A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861118" w:rsidRDefault="00D012A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861118" w:rsidRDefault="00D012AD">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28,437,924.18</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012AD" w:rsidRPr="008640AE" w:rsidTr="00D012AD">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D012AD" w:rsidRPr="008640AE" w:rsidTr="00D012A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-12,960,778.76</w:t>
            </w:r>
          </w:p>
        </w:tc>
      </w:tr>
      <w:tr w:rsidR="00D012AD" w:rsidRPr="008640AE" w:rsidTr="00D012A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-14,215,408.45</w:t>
            </w:r>
          </w:p>
        </w:tc>
      </w:tr>
      <w:tr w:rsidR="00D012AD" w:rsidRPr="008640AE" w:rsidTr="00D012A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-0.4155</w:t>
            </w:r>
          </w:p>
        </w:tc>
      </w:tr>
      <w:tr w:rsidR="00D012AD" w:rsidRPr="008640AE" w:rsidTr="00D012A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32,511,117.12</w:t>
            </w:r>
          </w:p>
        </w:tc>
      </w:tr>
      <w:tr w:rsidR="00D012AD" w:rsidRPr="008640AE" w:rsidTr="00D012AD">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1.143</w:t>
            </w:r>
          </w:p>
        </w:tc>
      </w:tr>
    </w:tbl>
    <w:p w:rsidR="00861118" w:rsidRDefault="00D012A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861118">
        <w:trPr>
          <w:jc w:val="center"/>
        </w:trPr>
        <w:tc>
          <w:tcPr>
            <w:tcW w:w="1701" w:type="dxa"/>
            <w:vAlign w:val="center"/>
          </w:tcPr>
          <w:p w:rsidR="00861118" w:rsidRDefault="00D012AD">
            <w:pPr>
              <w:jc w:val="left"/>
            </w:pPr>
            <w:r>
              <w:rPr>
                <w:color w:val="000000"/>
                <w:sz w:val="24"/>
              </w:rPr>
              <w:t>过去三个月</w:t>
            </w:r>
          </w:p>
        </w:tc>
        <w:tc>
          <w:tcPr>
            <w:tcW w:w="1194" w:type="dxa"/>
            <w:vAlign w:val="center"/>
          </w:tcPr>
          <w:p w:rsidR="00861118" w:rsidRDefault="00D012AD">
            <w:pPr>
              <w:jc w:val="right"/>
            </w:pPr>
            <w:r>
              <w:rPr>
                <w:color w:val="000000"/>
                <w:sz w:val="24"/>
              </w:rPr>
              <w:t>-10.14%</w:t>
            </w:r>
          </w:p>
        </w:tc>
        <w:tc>
          <w:tcPr>
            <w:tcW w:w="1194" w:type="dxa"/>
            <w:vAlign w:val="center"/>
          </w:tcPr>
          <w:p w:rsidR="00861118" w:rsidRDefault="00D012AD">
            <w:pPr>
              <w:jc w:val="right"/>
            </w:pPr>
            <w:r>
              <w:rPr>
                <w:color w:val="000000"/>
                <w:sz w:val="24"/>
              </w:rPr>
              <w:t>4.10%</w:t>
            </w:r>
          </w:p>
        </w:tc>
        <w:tc>
          <w:tcPr>
            <w:tcW w:w="1194" w:type="dxa"/>
            <w:vAlign w:val="center"/>
          </w:tcPr>
          <w:p w:rsidR="00861118" w:rsidRDefault="00D012AD">
            <w:pPr>
              <w:jc w:val="right"/>
            </w:pPr>
            <w:r>
              <w:rPr>
                <w:color w:val="000000"/>
                <w:sz w:val="24"/>
              </w:rPr>
              <w:t>-19.64%</w:t>
            </w:r>
          </w:p>
        </w:tc>
        <w:tc>
          <w:tcPr>
            <w:tcW w:w="1343" w:type="dxa"/>
            <w:vAlign w:val="center"/>
          </w:tcPr>
          <w:p w:rsidR="00861118" w:rsidRDefault="00D012AD">
            <w:pPr>
              <w:jc w:val="right"/>
            </w:pPr>
            <w:r>
              <w:rPr>
                <w:color w:val="000000"/>
                <w:sz w:val="24"/>
              </w:rPr>
              <w:t>1.35%</w:t>
            </w:r>
          </w:p>
        </w:tc>
        <w:tc>
          <w:tcPr>
            <w:tcW w:w="1194" w:type="dxa"/>
            <w:vAlign w:val="center"/>
          </w:tcPr>
          <w:p w:rsidR="00861118" w:rsidRDefault="00D012AD">
            <w:pPr>
              <w:jc w:val="right"/>
            </w:pPr>
            <w:r>
              <w:rPr>
                <w:color w:val="000000"/>
                <w:sz w:val="24"/>
              </w:rPr>
              <w:t>9.50%</w:t>
            </w:r>
          </w:p>
        </w:tc>
        <w:tc>
          <w:tcPr>
            <w:tcW w:w="1048" w:type="dxa"/>
            <w:vAlign w:val="center"/>
          </w:tcPr>
          <w:p w:rsidR="00861118" w:rsidRDefault="00D012AD">
            <w:pPr>
              <w:jc w:val="right"/>
            </w:pPr>
            <w:r>
              <w:rPr>
                <w:color w:val="000000"/>
                <w:sz w:val="24"/>
              </w:rPr>
              <w:t>2.75%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861118">
        <w:trPr>
          <w:jc w:val="center"/>
        </w:trPr>
        <w:tc>
          <w:tcPr>
            <w:tcW w:w="846" w:type="dxa"/>
            <w:vAlign w:val="center"/>
          </w:tcPr>
          <w:p w:rsidR="00861118" w:rsidRDefault="00D012AD">
            <w:pPr>
              <w:jc w:val="center"/>
            </w:pPr>
            <w:r>
              <w:rPr>
                <w:color w:val="000000"/>
                <w:sz w:val="24"/>
              </w:rPr>
              <w:t>蔡铮</w:t>
            </w:r>
          </w:p>
        </w:tc>
        <w:tc>
          <w:tcPr>
            <w:tcW w:w="845" w:type="dxa"/>
            <w:vAlign w:val="center"/>
          </w:tcPr>
          <w:p w:rsidR="00861118" w:rsidRDefault="00D012A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861118" w:rsidRDefault="00D012AD">
            <w:pPr>
              <w:jc w:val="center"/>
            </w:pPr>
            <w:r>
              <w:rPr>
                <w:color w:val="000000"/>
                <w:sz w:val="24"/>
              </w:rPr>
              <w:t>2015-04-22</w:t>
            </w:r>
          </w:p>
        </w:tc>
        <w:tc>
          <w:tcPr>
            <w:tcW w:w="1548" w:type="dxa"/>
            <w:vAlign w:val="center"/>
          </w:tcPr>
          <w:p w:rsidR="00861118" w:rsidRDefault="00D012AD">
            <w:pPr>
              <w:jc w:val="center"/>
            </w:pPr>
            <w:r>
              <w:rPr>
                <w:color w:val="000000"/>
                <w:sz w:val="24"/>
              </w:rPr>
              <w:t>-</w:t>
            </w:r>
          </w:p>
        </w:tc>
        <w:tc>
          <w:tcPr>
            <w:tcW w:w="1407" w:type="dxa"/>
            <w:vAlign w:val="center"/>
          </w:tcPr>
          <w:p w:rsidR="00861118" w:rsidRDefault="00D012AD">
            <w:pPr>
              <w:jc w:val="center"/>
            </w:pPr>
            <w:r>
              <w:rPr>
                <w:color w:val="000000"/>
                <w:sz w:val="24"/>
              </w:rPr>
              <w:t>6</w:t>
            </w:r>
            <w:r>
              <w:rPr>
                <w:color w:val="000000"/>
                <w:sz w:val="24"/>
              </w:rPr>
              <w:t>年</w:t>
            </w:r>
          </w:p>
        </w:tc>
        <w:tc>
          <w:tcPr>
            <w:tcW w:w="2673" w:type="dxa"/>
            <w:vAlign w:val="center"/>
          </w:tcPr>
          <w:p w:rsidR="00861118" w:rsidRDefault="00D012AD">
            <w:pPr>
              <w:jc w:val="left"/>
            </w:pPr>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861118">
        <w:trPr>
          <w:jc w:val="center"/>
        </w:trPr>
        <w:tc>
          <w:tcPr>
            <w:tcW w:w="2070" w:type="dxa"/>
            <w:vAlign w:val="center"/>
          </w:tcPr>
          <w:p w:rsidR="00861118" w:rsidRDefault="00D012AD">
            <w:pPr>
              <w:jc w:val="center"/>
            </w:pPr>
            <w:r>
              <w:rPr>
                <w:color w:val="000000"/>
                <w:sz w:val="24"/>
              </w:rPr>
              <w:t>Simon Webber</w:t>
            </w:r>
          </w:p>
        </w:tc>
        <w:tc>
          <w:tcPr>
            <w:tcW w:w="2465" w:type="dxa"/>
            <w:vAlign w:val="center"/>
          </w:tcPr>
          <w:p w:rsidR="00861118" w:rsidRDefault="00D012AD">
            <w:pPr>
              <w:jc w:val="center"/>
            </w:pPr>
            <w:r>
              <w:rPr>
                <w:color w:val="000000"/>
                <w:sz w:val="24"/>
              </w:rPr>
              <w:t>施罗德集团多区域（全球及国际）股票投资主管、全球和国际股票基金经理、全球气候变化股票基金经理</w:t>
            </w:r>
          </w:p>
        </w:tc>
        <w:tc>
          <w:tcPr>
            <w:tcW w:w="2116" w:type="dxa"/>
            <w:vAlign w:val="center"/>
          </w:tcPr>
          <w:p w:rsidR="00861118" w:rsidRDefault="00D012AD">
            <w:pPr>
              <w:jc w:val="center"/>
            </w:pPr>
            <w:r>
              <w:rPr>
                <w:color w:val="000000"/>
                <w:sz w:val="24"/>
              </w:rPr>
              <w:t>16</w:t>
            </w:r>
            <w:r>
              <w:rPr>
                <w:color w:val="000000"/>
                <w:sz w:val="24"/>
              </w:rPr>
              <w:t>年</w:t>
            </w:r>
          </w:p>
        </w:tc>
        <w:tc>
          <w:tcPr>
            <w:tcW w:w="2217" w:type="dxa"/>
            <w:vAlign w:val="center"/>
          </w:tcPr>
          <w:p w:rsidR="00861118" w:rsidRDefault="00D012AD">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861118" w:rsidRDefault="00D012A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61118" w:rsidRDefault="00D012A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61118" w:rsidRDefault="00D012A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861118" w:rsidRDefault="00D012AD">
      <w:pPr>
        <w:spacing w:before="29" w:line="288" w:lineRule="auto"/>
        <w:ind w:firstLineChars="200" w:firstLine="480"/>
        <w:rPr>
          <w:color w:val="000000"/>
          <w:sz w:val="24"/>
        </w:rPr>
      </w:pPr>
      <w:r>
        <w:rPr>
          <w:color w:val="000000"/>
          <w:sz w:val="24"/>
        </w:rPr>
        <w:t>三季度，各经济体的不确定性事件增加，带动全球股市下跌。</w:t>
      </w:r>
      <w:r>
        <w:rPr>
          <w:color w:val="000000"/>
          <w:sz w:val="24"/>
        </w:rPr>
        <w:t>A</w:t>
      </w:r>
      <w:r>
        <w:rPr>
          <w:color w:val="000000"/>
          <w:sz w:val="24"/>
        </w:rPr>
        <w:t>股市场下跌超过</w:t>
      </w:r>
      <w:r>
        <w:rPr>
          <w:color w:val="000000"/>
          <w:sz w:val="24"/>
        </w:rPr>
        <w:t>25%</w:t>
      </w:r>
      <w:r>
        <w:rPr>
          <w:color w:val="000000"/>
          <w:sz w:val="24"/>
        </w:rPr>
        <w:t>，美国市场回落约</w:t>
      </w:r>
      <w:r>
        <w:rPr>
          <w:color w:val="000000"/>
          <w:sz w:val="24"/>
        </w:rPr>
        <w:t>20%</w:t>
      </w:r>
      <w:r>
        <w:rPr>
          <w:color w:val="000000"/>
          <w:sz w:val="24"/>
        </w:rPr>
        <w:t>，德、法、日市场也都下跌超过</w:t>
      </w:r>
      <w:r>
        <w:rPr>
          <w:color w:val="000000"/>
          <w:sz w:val="24"/>
        </w:rPr>
        <w:t>10%</w:t>
      </w:r>
      <w:r>
        <w:rPr>
          <w:color w:val="000000"/>
          <w:sz w:val="24"/>
        </w:rPr>
        <w:t>。美国延后加息、人民币汇率改变中间价一次性贬值、欧洲难民涌入、大众汽车数据造假等扰动因素，都增添了全球经济前景的不确定性。受上述一系列事件的影响，香港市场亦出现</w:t>
      </w:r>
      <w:r>
        <w:rPr>
          <w:color w:val="000000"/>
          <w:sz w:val="24"/>
        </w:rPr>
        <w:t>20%</w:t>
      </w:r>
      <w:r>
        <w:rPr>
          <w:color w:val="000000"/>
          <w:sz w:val="24"/>
        </w:rPr>
        <w:t>的回落。本基金在三季度有一定的回撤，主要集中在</w:t>
      </w:r>
      <w:r>
        <w:rPr>
          <w:color w:val="000000"/>
          <w:sz w:val="24"/>
        </w:rPr>
        <w:t>7</w:t>
      </w:r>
      <w:r>
        <w:rPr>
          <w:color w:val="000000"/>
          <w:sz w:val="24"/>
        </w:rPr>
        <w:t>月、</w:t>
      </w:r>
      <w:r>
        <w:rPr>
          <w:color w:val="000000"/>
          <w:sz w:val="24"/>
        </w:rPr>
        <w:t>8</w:t>
      </w:r>
      <w:r>
        <w:rPr>
          <w:color w:val="000000"/>
          <w:sz w:val="24"/>
        </w:rPr>
        <w:t>月份，近一个月以来</w:t>
      </w:r>
      <w:r w:rsidR="00765A37">
        <w:rPr>
          <w:rFonts w:hint="eastAsia"/>
          <w:color w:val="000000"/>
          <w:sz w:val="24"/>
        </w:rPr>
        <w:t>，</w:t>
      </w:r>
      <w:r>
        <w:rPr>
          <w:color w:val="000000"/>
          <w:sz w:val="24"/>
        </w:rPr>
        <w:t>净值已企稳并重回正收益。</w:t>
      </w:r>
      <w:r>
        <w:rPr>
          <w:color w:val="000000"/>
          <w:sz w:val="24"/>
        </w:rPr>
        <w:t xml:space="preserve"> </w:t>
      </w:r>
    </w:p>
    <w:p w:rsidR="00B0116D" w:rsidRPr="008640AE" w:rsidRDefault="00B0116D" w:rsidP="005546C0">
      <w:pPr>
        <w:spacing w:before="29" w:line="288" w:lineRule="auto"/>
        <w:ind w:firstLineChars="200" w:firstLine="480"/>
        <w:rPr>
          <w:color w:val="000000"/>
          <w:sz w:val="24"/>
        </w:rPr>
      </w:pPr>
      <w:r w:rsidRPr="008640AE">
        <w:rPr>
          <w:color w:val="000000"/>
          <w:sz w:val="24"/>
        </w:rPr>
        <w:t>展望四季度，投资者信心难稳固，仍坚守自下而上的精选个股策略。在外部不确定性因素加大的背景下，美国能否在年内（</w:t>
      </w:r>
      <w:r w:rsidRPr="008640AE">
        <w:rPr>
          <w:color w:val="000000"/>
          <w:sz w:val="24"/>
        </w:rPr>
        <w:t>12</w:t>
      </w:r>
      <w:r w:rsidRPr="008640AE">
        <w:rPr>
          <w:color w:val="000000"/>
          <w:sz w:val="24"/>
        </w:rPr>
        <w:t>月）加息，投资者对此的分歧在增大，这将造成市场在短期难有稳固预期。在大环境预期不明朗的前提下，企业盈利差异亦将扩大。我们仍将坚守精选个股的策略，同时加强仓位分析和调整。积极在能源、环保、公用事业等领域挖掘投资机会，努力为投资者创造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1.143</w:t>
      </w:r>
      <w:r w:rsidRPr="008640AE">
        <w:rPr>
          <w:color w:val="000000"/>
          <w:sz w:val="24"/>
        </w:rPr>
        <w:t>元，本报告期份额净值增长率为</w:t>
      </w:r>
      <w:r w:rsidRPr="008640AE">
        <w:rPr>
          <w:color w:val="000000"/>
          <w:sz w:val="24"/>
        </w:rPr>
        <w:t>-10.14%</w:t>
      </w:r>
      <w:r w:rsidRPr="008640AE">
        <w:rPr>
          <w:color w:val="000000"/>
          <w:sz w:val="24"/>
        </w:rPr>
        <w:t>，同期业绩比较基准增长率为</w:t>
      </w:r>
      <w:r w:rsidRPr="008640AE">
        <w:rPr>
          <w:color w:val="000000"/>
          <w:sz w:val="24"/>
        </w:rPr>
        <w:t>-19.64%</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EA3F21" w:rsidRPr="008640AE" w:rsidRDefault="00EA3F21" w:rsidP="005546C0">
      <w:pPr>
        <w:spacing w:before="29" w:line="288" w:lineRule="auto"/>
        <w:ind w:firstLineChars="200" w:firstLine="480"/>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23,041,816.94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70.41</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23,041,816.94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70.41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9,641,770.11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29.46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40,291.21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0.12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32,723,878.26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861118">
        <w:trPr>
          <w:jc w:val="center"/>
        </w:trPr>
        <w:tc>
          <w:tcPr>
            <w:tcW w:w="2484" w:type="dxa"/>
            <w:vAlign w:val="center"/>
          </w:tcPr>
          <w:p w:rsidR="00861118" w:rsidRDefault="00D012AD">
            <w:pPr>
              <w:jc w:val="left"/>
            </w:pPr>
            <w:r>
              <w:rPr>
                <w:color w:val="000000"/>
                <w:sz w:val="24"/>
              </w:rPr>
              <w:t>香港</w:t>
            </w:r>
          </w:p>
        </w:tc>
        <w:tc>
          <w:tcPr>
            <w:tcW w:w="3214" w:type="dxa"/>
            <w:vAlign w:val="center"/>
          </w:tcPr>
          <w:p w:rsidR="00861118" w:rsidRDefault="00D012AD">
            <w:pPr>
              <w:jc w:val="right"/>
            </w:pPr>
            <w:r>
              <w:rPr>
                <w:color w:val="000000"/>
                <w:sz w:val="24"/>
              </w:rPr>
              <w:t>23,041,816.94</w:t>
            </w:r>
          </w:p>
        </w:tc>
        <w:tc>
          <w:tcPr>
            <w:tcW w:w="3170" w:type="dxa"/>
            <w:vAlign w:val="center"/>
          </w:tcPr>
          <w:p w:rsidR="00861118" w:rsidRDefault="00D012AD">
            <w:pPr>
              <w:jc w:val="right"/>
            </w:pPr>
            <w:r>
              <w:rPr>
                <w:color w:val="000000"/>
                <w:sz w:val="24"/>
              </w:rPr>
              <w:t>70.87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23,041,816.94</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70.87</w:t>
            </w:r>
          </w:p>
        </w:tc>
      </w:tr>
    </w:tbl>
    <w:p w:rsidR="00861118" w:rsidRDefault="00D012A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861118">
        <w:trPr>
          <w:jc w:val="center"/>
        </w:trPr>
        <w:tc>
          <w:tcPr>
            <w:tcW w:w="2904" w:type="dxa"/>
            <w:vAlign w:val="center"/>
          </w:tcPr>
          <w:p w:rsidR="00861118" w:rsidRDefault="00D012AD">
            <w:pPr>
              <w:jc w:val="left"/>
            </w:pPr>
            <w:r>
              <w:rPr>
                <w:color w:val="000000"/>
                <w:sz w:val="24"/>
              </w:rPr>
              <w:t>公共事业</w:t>
            </w:r>
          </w:p>
        </w:tc>
        <w:tc>
          <w:tcPr>
            <w:tcW w:w="2657" w:type="dxa"/>
            <w:vAlign w:val="center"/>
          </w:tcPr>
          <w:p w:rsidR="00861118" w:rsidRDefault="00D012AD">
            <w:pPr>
              <w:jc w:val="right"/>
            </w:pPr>
            <w:r>
              <w:rPr>
                <w:color w:val="000000"/>
                <w:sz w:val="24"/>
              </w:rPr>
              <w:t>7,277,930.36</w:t>
            </w:r>
          </w:p>
        </w:tc>
        <w:tc>
          <w:tcPr>
            <w:tcW w:w="3307" w:type="dxa"/>
            <w:vAlign w:val="center"/>
          </w:tcPr>
          <w:p w:rsidR="00861118" w:rsidRDefault="00D012AD">
            <w:pPr>
              <w:jc w:val="right"/>
            </w:pPr>
            <w:r>
              <w:rPr>
                <w:color w:val="000000"/>
                <w:sz w:val="24"/>
              </w:rPr>
              <w:t>22.39</w:t>
            </w:r>
          </w:p>
        </w:tc>
      </w:tr>
      <w:tr w:rsidR="00861118">
        <w:trPr>
          <w:jc w:val="center"/>
        </w:trPr>
        <w:tc>
          <w:tcPr>
            <w:tcW w:w="2904" w:type="dxa"/>
            <w:vAlign w:val="center"/>
          </w:tcPr>
          <w:p w:rsidR="00861118" w:rsidRDefault="00D012AD">
            <w:pPr>
              <w:jc w:val="left"/>
            </w:pPr>
            <w:r>
              <w:rPr>
                <w:color w:val="000000"/>
                <w:sz w:val="24"/>
              </w:rPr>
              <w:t>非必需消费品</w:t>
            </w:r>
          </w:p>
        </w:tc>
        <w:tc>
          <w:tcPr>
            <w:tcW w:w="2657" w:type="dxa"/>
            <w:vAlign w:val="center"/>
          </w:tcPr>
          <w:p w:rsidR="00861118" w:rsidRDefault="00D012AD">
            <w:pPr>
              <w:jc w:val="right"/>
            </w:pPr>
            <w:r>
              <w:rPr>
                <w:color w:val="000000"/>
                <w:sz w:val="24"/>
              </w:rPr>
              <w:t>4,794,402.47</w:t>
            </w:r>
          </w:p>
        </w:tc>
        <w:tc>
          <w:tcPr>
            <w:tcW w:w="3307" w:type="dxa"/>
            <w:vAlign w:val="center"/>
          </w:tcPr>
          <w:p w:rsidR="00861118" w:rsidRDefault="00D012AD">
            <w:pPr>
              <w:jc w:val="right"/>
            </w:pPr>
            <w:r>
              <w:rPr>
                <w:color w:val="000000"/>
                <w:sz w:val="24"/>
              </w:rPr>
              <w:t>14.75</w:t>
            </w:r>
          </w:p>
        </w:tc>
      </w:tr>
      <w:tr w:rsidR="00861118">
        <w:trPr>
          <w:jc w:val="center"/>
        </w:trPr>
        <w:tc>
          <w:tcPr>
            <w:tcW w:w="2904" w:type="dxa"/>
            <w:vAlign w:val="center"/>
          </w:tcPr>
          <w:p w:rsidR="00861118" w:rsidRDefault="00D012AD">
            <w:pPr>
              <w:jc w:val="left"/>
            </w:pPr>
            <w:r>
              <w:rPr>
                <w:color w:val="000000"/>
                <w:sz w:val="24"/>
              </w:rPr>
              <w:t>工业</w:t>
            </w:r>
          </w:p>
        </w:tc>
        <w:tc>
          <w:tcPr>
            <w:tcW w:w="2657" w:type="dxa"/>
            <w:vAlign w:val="center"/>
          </w:tcPr>
          <w:p w:rsidR="00861118" w:rsidRDefault="00D012AD">
            <w:pPr>
              <w:jc w:val="right"/>
            </w:pPr>
            <w:r>
              <w:rPr>
                <w:color w:val="000000"/>
                <w:sz w:val="24"/>
              </w:rPr>
              <w:t>3,721,709.89</w:t>
            </w:r>
          </w:p>
        </w:tc>
        <w:tc>
          <w:tcPr>
            <w:tcW w:w="3307" w:type="dxa"/>
            <w:vAlign w:val="center"/>
          </w:tcPr>
          <w:p w:rsidR="00861118" w:rsidRDefault="00D012AD">
            <w:pPr>
              <w:jc w:val="right"/>
            </w:pPr>
            <w:r>
              <w:rPr>
                <w:color w:val="000000"/>
                <w:sz w:val="24"/>
              </w:rPr>
              <w:t>11.45</w:t>
            </w:r>
          </w:p>
        </w:tc>
      </w:tr>
      <w:tr w:rsidR="00861118">
        <w:trPr>
          <w:jc w:val="center"/>
        </w:trPr>
        <w:tc>
          <w:tcPr>
            <w:tcW w:w="2904" w:type="dxa"/>
            <w:vAlign w:val="center"/>
          </w:tcPr>
          <w:p w:rsidR="00861118" w:rsidRDefault="00D012AD">
            <w:pPr>
              <w:jc w:val="left"/>
            </w:pPr>
            <w:r>
              <w:rPr>
                <w:color w:val="000000"/>
                <w:sz w:val="24"/>
              </w:rPr>
              <w:t>材料</w:t>
            </w:r>
          </w:p>
        </w:tc>
        <w:tc>
          <w:tcPr>
            <w:tcW w:w="2657" w:type="dxa"/>
            <w:vAlign w:val="center"/>
          </w:tcPr>
          <w:p w:rsidR="00861118" w:rsidRDefault="00D012AD">
            <w:pPr>
              <w:jc w:val="right"/>
            </w:pPr>
            <w:r>
              <w:rPr>
                <w:color w:val="000000"/>
                <w:sz w:val="24"/>
              </w:rPr>
              <w:t>2,872,663.56</w:t>
            </w:r>
          </w:p>
        </w:tc>
        <w:tc>
          <w:tcPr>
            <w:tcW w:w="3307" w:type="dxa"/>
            <w:vAlign w:val="center"/>
          </w:tcPr>
          <w:p w:rsidR="00861118" w:rsidRDefault="00D012AD">
            <w:pPr>
              <w:jc w:val="right"/>
            </w:pPr>
            <w:r>
              <w:rPr>
                <w:color w:val="000000"/>
                <w:sz w:val="24"/>
              </w:rPr>
              <w:t>8.84</w:t>
            </w:r>
          </w:p>
        </w:tc>
      </w:tr>
      <w:tr w:rsidR="00861118">
        <w:trPr>
          <w:jc w:val="center"/>
        </w:trPr>
        <w:tc>
          <w:tcPr>
            <w:tcW w:w="2904" w:type="dxa"/>
            <w:vAlign w:val="center"/>
          </w:tcPr>
          <w:p w:rsidR="00861118" w:rsidRDefault="00D012AD">
            <w:pPr>
              <w:jc w:val="left"/>
            </w:pPr>
            <w:r>
              <w:rPr>
                <w:color w:val="000000"/>
                <w:sz w:val="24"/>
              </w:rPr>
              <w:t>金融</w:t>
            </w:r>
          </w:p>
        </w:tc>
        <w:tc>
          <w:tcPr>
            <w:tcW w:w="2657" w:type="dxa"/>
            <w:vAlign w:val="center"/>
          </w:tcPr>
          <w:p w:rsidR="00861118" w:rsidRDefault="00D012AD">
            <w:pPr>
              <w:jc w:val="right"/>
            </w:pPr>
            <w:r>
              <w:rPr>
                <w:color w:val="000000"/>
                <w:sz w:val="24"/>
              </w:rPr>
              <w:t>1,747,742.74</w:t>
            </w:r>
          </w:p>
        </w:tc>
        <w:tc>
          <w:tcPr>
            <w:tcW w:w="3307" w:type="dxa"/>
            <w:vAlign w:val="center"/>
          </w:tcPr>
          <w:p w:rsidR="00861118" w:rsidRDefault="00D012AD">
            <w:pPr>
              <w:jc w:val="right"/>
            </w:pPr>
            <w:r>
              <w:rPr>
                <w:color w:val="000000"/>
                <w:sz w:val="24"/>
              </w:rPr>
              <w:t>5.38</w:t>
            </w:r>
          </w:p>
        </w:tc>
      </w:tr>
      <w:tr w:rsidR="00861118">
        <w:trPr>
          <w:jc w:val="center"/>
        </w:trPr>
        <w:tc>
          <w:tcPr>
            <w:tcW w:w="2904" w:type="dxa"/>
            <w:vAlign w:val="center"/>
          </w:tcPr>
          <w:p w:rsidR="00861118" w:rsidRDefault="00D012AD">
            <w:pPr>
              <w:jc w:val="left"/>
            </w:pPr>
            <w:r>
              <w:rPr>
                <w:color w:val="000000"/>
                <w:sz w:val="24"/>
              </w:rPr>
              <w:t>能源</w:t>
            </w:r>
          </w:p>
        </w:tc>
        <w:tc>
          <w:tcPr>
            <w:tcW w:w="2657" w:type="dxa"/>
            <w:vAlign w:val="center"/>
          </w:tcPr>
          <w:p w:rsidR="00861118" w:rsidRDefault="00D012AD">
            <w:pPr>
              <w:jc w:val="right"/>
            </w:pPr>
            <w:r>
              <w:rPr>
                <w:color w:val="000000"/>
                <w:sz w:val="24"/>
              </w:rPr>
              <w:t>1,655,550.65</w:t>
            </w:r>
          </w:p>
        </w:tc>
        <w:tc>
          <w:tcPr>
            <w:tcW w:w="3307" w:type="dxa"/>
            <w:vAlign w:val="center"/>
          </w:tcPr>
          <w:p w:rsidR="00861118" w:rsidRDefault="00D012AD">
            <w:pPr>
              <w:jc w:val="right"/>
            </w:pPr>
            <w:r>
              <w:rPr>
                <w:color w:val="000000"/>
                <w:sz w:val="24"/>
              </w:rPr>
              <w:t>5.09</w:t>
            </w:r>
          </w:p>
        </w:tc>
      </w:tr>
      <w:tr w:rsidR="00861118">
        <w:trPr>
          <w:jc w:val="center"/>
        </w:trPr>
        <w:tc>
          <w:tcPr>
            <w:tcW w:w="2904" w:type="dxa"/>
            <w:vAlign w:val="center"/>
          </w:tcPr>
          <w:p w:rsidR="00861118" w:rsidRDefault="00D012AD">
            <w:pPr>
              <w:jc w:val="left"/>
            </w:pPr>
            <w:r>
              <w:rPr>
                <w:color w:val="000000"/>
                <w:sz w:val="24"/>
              </w:rPr>
              <w:t>必需消费品</w:t>
            </w:r>
          </w:p>
        </w:tc>
        <w:tc>
          <w:tcPr>
            <w:tcW w:w="2657" w:type="dxa"/>
            <w:vAlign w:val="center"/>
          </w:tcPr>
          <w:p w:rsidR="00861118" w:rsidRDefault="00D012AD">
            <w:pPr>
              <w:jc w:val="right"/>
            </w:pPr>
            <w:r>
              <w:rPr>
                <w:color w:val="000000"/>
                <w:sz w:val="24"/>
              </w:rPr>
              <w:t>918,752.64</w:t>
            </w:r>
          </w:p>
        </w:tc>
        <w:tc>
          <w:tcPr>
            <w:tcW w:w="3307" w:type="dxa"/>
            <w:vAlign w:val="center"/>
          </w:tcPr>
          <w:p w:rsidR="00861118" w:rsidRDefault="00D012AD">
            <w:pPr>
              <w:jc w:val="right"/>
            </w:pPr>
            <w:r>
              <w:rPr>
                <w:color w:val="000000"/>
                <w:sz w:val="24"/>
              </w:rPr>
              <w:t>2.83</w:t>
            </w:r>
          </w:p>
        </w:tc>
      </w:tr>
      <w:tr w:rsidR="00861118">
        <w:trPr>
          <w:jc w:val="center"/>
        </w:trPr>
        <w:tc>
          <w:tcPr>
            <w:tcW w:w="2904" w:type="dxa"/>
            <w:vAlign w:val="center"/>
          </w:tcPr>
          <w:p w:rsidR="00861118" w:rsidRDefault="00D012AD">
            <w:pPr>
              <w:jc w:val="left"/>
            </w:pPr>
            <w:r>
              <w:rPr>
                <w:color w:val="000000"/>
                <w:sz w:val="24"/>
              </w:rPr>
              <w:t>信息技术</w:t>
            </w:r>
          </w:p>
        </w:tc>
        <w:tc>
          <w:tcPr>
            <w:tcW w:w="2657" w:type="dxa"/>
            <w:vAlign w:val="center"/>
          </w:tcPr>
          <w:p w:rsidR="00861118" w:rsidRDefault="00D012AD">
            <w:pPr>
              <w:jc w:val="right"/>
            </w:pPr>
            <w:r>
              <w:rPr>
                <w:color w:val="000000"/>
                <w:sz w:val="24"/>
              </w:rPr>
              <w:t>53,064.63</w:t>
            </w:r>
          </w:p>
        </w:tc>
        <w:tc>
          <w:tcPr>
            <w:tcW w:w="3307" w:type="dxa"/>
            <w:vAlign w:val="center"/>
          </w:tcPr>
          <w:p w:rsidR="00861118" w:rsidRDefault="00D012AD">
            <w:pPr>
              <w:jc w:val="right"/>
            </w:pPr>
            <w:r>
              <w:rPr>
                <w:color w:val="000000"/>
                <w:sz w:val="24"/>
              </w:rPr>
              <w:t>0.16</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23,041,816.94</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70.87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861118">
        <w:trPr>
          <w:jc w:val="center"/>
        </w:trPr>
        <w:tc>
          <w:tcPr>
            <w:tcW w:w="1243" w:type="dxa"/>
            <w:vAlign w:val="center"/>
          </w:tcPr>
          <w:p w:rsidR="00861118" w:rsidRDefault="00D012AD">
            <w:pPr>
              <w:jc w:val="center"/>
            </w:pPr>
            <w:r>
              <w:rPr>
                <w:color w:val="000000"/>
                <w:sz w:val="24"/>
              </w:rPr>
              <w:t>1</w:t>
            </w:r>
          </w:p>
        </w:tc>
        <w:tc>
          <w:tcPr>
            <w:tcW w:w="971" w:type="dxa"/>
            <w:vAlign w:val="center"/>
          </w:tcPr>
          <w:p w:rsidR="00861118" w:rsidRDefault="00D012AD">
            <w:pPr>
              <w:jc w:val="center"/>
            </w:pPr>
            <w:r>
              <w:rPr>
                <w:color w:val="000000"/>
                <w:sz w:val="24"/>
              </w:rPr>
              <w:t>Luk Fook Holdings (International) Limited</w:t>
            </w:r>
          </w:p>
        </w:tc>
        <w:tc>
          <w:tcPr>
            <w:tcW w:w="993" w:type="dxa"/>
            <w:vAlign w:val="center"/>
          </w:tcPr>
          <w:p w:rsidR="00861118" w:rsidRDefault="00D012AD">
            <w:pPr>
              <w:jc w:val="center"/>
            </w:pPr>
            <w:r>
              <w:rPr>
                <w:color w:val="000000"/>
                <w:sz w:val="24"/>
              </w:rPr>
              <w:t>六福集团</w:t>
            </w:r>
            <w:r>
              <w:rPr>
                <w:color w:val="000000"/>
                <w:sz w:val="24"/>
              </w:rPr>
              <w:t>(</w:t>
            </w:r>
            <w:r>
              <w:rPr>
                <w:color w:val="000000"/>
                <w:sz w:val="24"/>
              </w:rPr>
              <w:t>国际</w:t>
            </w:r>
            <w:r>
              <w:rPr>
                <w:color w:val="000000"/>
                <w:sz w:val="24"/>
              </w:rPr>
              <w:t>)</w:t>
            </w:r>
            <w:r>
              <w:rPr>
                <w:color w:val="000000"/>
                <w:sz w:val="24"/>
              </w:rPr>
              <w:t>有限公司</w:t>
            </w:r>
          </w:p>
        </w:tc>
        <w:tc>
          <w:tcPr>
            <w:tcW w:w="725" w:type="dxa"/>
            <w:vAlign w:val="center"/>
          </w:tcPr>
          <w:p w:rsidR="00861118" w:rsidRDefault="00D012AD">
            <w:pPr>
              <w:jc w:val="center"/>
            </w:pPr>
            <w:r>
              <w:rPr>
                <w:color w:val="000000"/>
                <w:sz w:val="24"/>
              </w:rPr>
              <w:t>590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97,000</w:t>
            </w:r>
          </w:p>
        </w:tc>
        <w:tc>
          <w:tcPr>
            <w:tcW w:w="975" w:type="dxa"/>
            <w:vAlign w:val="center"/>
          </w:tcPr>
          <w:p w:rsidR="00861118" w:rsidRDefault="00D012AD">
            <w:pPr>
              <w:jc w:val="right"/>
            </w:pPr>
            <w:r>
              <w:rPr>
                <w:color w:val="000000"/>
                <w:sz w:val="24"/>
              </w:rPr>
              <w:t>1,542,986.34</w:t>
            </w:r>
          </w:p>
        </w:tc>
        <w:tc>
          <w:tcPr>
            <w:tcW w:w="1175" w:type="dxa"/>
            <w:vAlign w:val="center"/>
          </w:tcPr>
          <w:p w:rsidR="00861118" w:rsidRDefault="00D012AD">
            <w:pPr>
              <w:jc w:val="right"/>
            </w:pPr>
            <w:r>
              <w:rPr>
                <w:color w:val="000000"/>
                <w:sz w:val="24"/>
              </w:rPr>
              <w:t>4.75</w:t>
            </w:r>
          </w:p>
        </w:tc>
      </w:tr>
      <w:tr w:rsidR="00861118">
        <w:trPr>
          <w:jc w:val="center"/>
        </w:trPr>
        <w:tc>
          <w:tcPr>
            <w:tcW w:w="1243" w:type="dxa"/>
            <w:vAlign w:val="center"/>
          </w:tcPr>
          <w:p w:rsidR="00861118" w:rsidRDefault="00D012AD">
            <w:pPr>
              <w:jc w:val="center"/>
            </w:pPr>
            <w:r>
              <w:rPr>
                <w:color w:val="000000"/>
                <w:sz w:val="24"/>
              </w:rPr>
              <w:t>2</w:t>
            </w:r>
          </w:p>
        </w:tc>
        <w:tc>
          <w:tcPr>
            <w:tcW w:w="971" w:type="dxa"/>
            <w:vAlign w:val="center"/>
          </w:tcPr>
          <w:p w:rsidR="00861118" w:rsidRDefault="00D012AD">
            <w:pPr>
              <w:jc w:val="center"/>
            </w:pPr>
            <w:r>
              <w:rPr>
                <w:color w:val="000000"/>
                <w:sz w:val="24"/>
              </w:rPr>
              <w:t>China Power International Development Limited</w:t>
            </w:r>
          </w:p>
        </w:tc>
        <w:tc>
          <w:tcPr>
            <w:tcW w:w="993" w:type="dxa"/>
            <w:vAlign w:val="center"/>
          </w:tcPr>
          <w:p w:rsidR="00861118" w:rsidRDefault="00D012AD">
            <w:pPr>
              <w:jc w:val="center"/>
            </w:pPr>
            <w:r>
              <w:rPr>
                <w:color w:val="000000"/>
                <w:sz w:val="24"/>
              </w:rPr>
              <w:t>中国电力国际发展有限公司</w:t>
            </w:r>
          </w:p>
        </w:tc>
        <w:tc>
          <w:tcPr>
            <w:tcW w:w="725" w:type="dxa"/>
            <w:vAlign w:val="center"/>
          </w:tcPr>
          <w:p w:rsidR="00861118" w:rsidRDefault="00D012AD">
            <w:pPr>
              <w:jc w:val="center"/>
            </w:pPr>
            <w:r>
              <w:rPr>
                <w:color w:val="000000"/>
                <w:sz w:val="24"/>
              </w:rPr>
              <w:t>2380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320,000</w:t>
            </w:r>
          </w:p>
        </w:tc>
        <w:tc>
          <w:tcPr>
            <w:tcW w:w="975" w:type="dxa"/>
            <w:vAlign w:val="center"/>
          </w:tcPr>
          <w:p w:rsidR="00861118" w:rsidRDefault="00D012AD">
            <w:pPr>
              <w:jc w:val="right"/>
            </w:pPr>
            <w:r>
              <w:rPr>
                <w:color w:val="000000"/>
                <w:sz w:val="24"/>
              </w:rPr>
              <w:t>1,323,783.88</w:t>
            </w:r>
          </w:p>
        </w:tc>
        <w:tc>
          <w:tcPr>
            <w:tcW w:w="1175" w:type="dxa"/>
            <w:vAlign w:val="center"/>
          </w:tcPr>
          <w:p w:rsidR="00861118" w:rsidRDefault="00D012AD">
            <w:pPr>
              <w:jc w:val="right"/>
            </w:pPr>
            <w:r>
              <w:rPr>
                <w:color w:val="000000"/>
                <w:sz w:val="24"/>
              </w:rPr>
              <w:t>4.07</w:t>
            </w:r>
          </w:p>
        </w:tc>
      </w:tr>
      <w:tr w:rsidR="00861118">
        <w:trPr>
          <w:jc w:val="center"/>
        </w:trPr>
        <w:tc>
          <w:tcPr>
            <w:tcW w:w="1243" w:type="dxa"/>
            <w:vAlign w:val="center"/>
          </w:tcPr>
          <w:p w:rsidR="00861118" w:rsidRDefault="00D012AD">
            <w:pPr>
              <w:jc w:val="center"/>
            </w:pPr>
            <w:r>
              <w:rPr>
                <w:color w:val="000000"/>
                <w:sz w:val="24"/>
              </w:rPr>
              <w:t>3</w:t>
            </w:r>
          </w:p>
        </w:tc>
        <w:tc>
          <w:tcPr>
            <w:tcW w:w="971" w:type="dxa"/>
            <w:vAlign w:val="center"/>
          </w:tcPr>
          <w:p w:rsidR="00861118" w:rsidRDefault="00D012AD">
            <w:pPr>
              <w:jc w:val="center"/>
            </w:pPr>
            <w:r>
              <w:rPr>
                <w:color w:val="000000"/>
                <w:sz w:val="24"/>
              </w:rPr>
              <w:t>China High Speed Transmission Equipment Group Co., Ltd.</w:t>
            </w:r>
          </w:p>
        </w:tc>
        <w:tc>
          <w:tcPr>
            <w:tcW w:w="993" w:type="dxa"/>
            <w:vAlign w:val="center"/>
          </w:tcPr>
          <w:p w:rsidR="00861118" w:rsidRDefault="00D012AD">
            <w:pPr>
              <w:jc w:val="center"/>
            </w:pPr>
            <w:r>
              <w:rPr>
                <w:color w:val="000000"/>
                <w:sz w:val="24"/>
              </w:rPr>
              <w:t>中国高速传动设备集团有限公司</w:t>
            </w:r>
          </w:p>
        </w:tc>
        <w:tc>
          <w:tcPr>
            <w:tcW w:w="725" w:type="dxa"/>
            <w:vAlign w:val="center"/>
          </w:tcPr>
          <w:p w:rsidR="00861118" w:rsidRDefault="00D012AD">
            <w:pPr>
              <w:jc w:val="center"/>
            </w:pPr>
            <w:r>
              <w:rPr>
                <w:color w:val="000000"/>
                <w:sz w:val="24"/>
              </w:rPr>
              <w:t>658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214,000</w:t>
            </w:r>
          </w:p>
        </w:tc>
        <w:tc>
          <w:tcPr>
            <w:tcW w:w="975" w:type="dxa"/>
            <w:vAlign w:val="center"/>
          </w:tcPr>
          <w:p w:rsidR="00861118" w:rsidRDefault="00D012AD">
            <w:pPr>
              <w:jc w:val="right"/>
            </w:pPr>
            <w:r>
              <w:rPr>
                <w:color w:val="000000"/>
                <w:sz w:val="24"/>
              </w:rPr>
              <w:t>1,320,894.67</w:t>
            </w:r>
          </w:p>
        </w:tc>
        <w:tc>
          <w:tcPr>
            <w:tcW w:w="1175" w:type="dxa"/>
            <w:vAlign w:val="center"/>
          </w:tcPr>
          <w:p w:rsidR="00861118" w:rsidRDefault="00D012AD">
            <w:pPr>
              <w:jc w:val="right"/>
            </w:pPr>
            <w:r>
              <w:rPr>
                <w:color w:val="000000"/>
                <w:sz w:val="24"/>
              </w:rPr>
              <w:t>4.06</w:t>
            </w:r>
          </w:p>
        </w:tc>
      </w:tr>
      <w:tr w:rsidR="00861118">
        <w:trPr>
          <w:jc w:val="center"/>
        </w:trPr>
        <w:tc>
          <w:tcPr>
            <w:tcW w:w="1243" w:type="dxa"/>
            <w:vAlign w:val="center"/>
          </w:tcPr>
          <w:p w:rsidR="00861118" w:rsidRDefault="00D012AD">
            <w:pPr>
              <w:jc w:val="center"/>
            </w:pPr>
            <w:r>
              <w:rPr>
                <w:color w:val="000000"/>
                <w:sz w:val="24"/>
              </w:rPr>
              <w:t>4</w:t>
            </w:r>
          </w:p>
        </w:tc>
        <w:tc>
          <w:tcPr>
            <w:tcW w:w="971" w:type="dxa"/>
            <w:vAlign w:val="center"/>
          </w:tcPr>
          <w:p w:rsidR="00861118" w:rsidRDefault="00D012AD">
            <w:pPr>
              <w:jc w:val="center"/>
            </w:pPr>
            <w:r>
              <w:rPr>
                <w:color w:val="000000"/>
                <w:sz w:val="24"/>
              </w:rPr>
              <w:t>Hong Kong Exchanges And Clearing Limited</w:t>
            </w:r>
          </w:p>
        </w:tc>
        <w:tc>
          <w:tcPr>
            <w:tcW w:w="993" w:type="dxa"/>
            <w:vAlign w:val="center"/>
          </w:tcPr>
          <w:p w:rsidR="00861118" w:rsidRDefault="00D012AD">
            <w:pPr>
              <w:jc w:val="center"/>
            </w:pPr>
            <w:r>
              <w:rPr>
                <w:color w:val="000000"/>
                <w:sz w:val="24"/>
              </w:rPr>
              <w:t>香港交易及结算所有限公司</w:t>
            </w:r>
          </w:p>
        </w:tc>
        <w:tc>
          <w:tcPr>
            <w:tcW w:w="725" w:type="dxa"/>
            <w:vAlign w:val="center"/>
          </w:tcPr>
          <w:p w:rsidR="00861118" w:rsidRDefault="00D012AD">
            <w:pPr>
              <w:jc w:val="center"/>
            </w:pPr>
            <w:r>
              <w:rPr>
                <w:color w:val="000000"/>
                <w:sz w:val="24"/>
              </w:rPr>
              <w:t>388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8,100</w:t>
            </w:r>
          </w:p>
        </w:tc>
        <w:tc>
          <w:tcPr>
            <w:tcW w:w="975" w:type="dxa"/>
            <w:vAlign w:val="center"/>
          </w:tcPr>
          <w:p w:rsidR="00861118" w:rsidRDefault="00D012AD">
            <w:pPr>
              <w:jc w:val="right"/>
            </w:pPr>
            <w:r>
              <w:rPr>
                <w:color w:val="000000"/>
                <w:sz w:val="24"/>
              </w:rPr>
              <w:t>1,175,449.17</w:t>
            </w:r>
          </w:p>
        </w:tc>
        <w:tc>
          <w:tcPr>
            <w:tcW w:w="1175" w:type="dxa"/>
            <w:vAlign w:val="center"/>
          </w:tcPr>
          <w:p w:rsidR="00861118" w:rsidRDefault="00D012AD">
            <w:pPr>
              <w:jc w:val="right"/>
            </w:pPr>
            <w:r>
              <w:rPr>
                <w:color w:val="000000"/>
                <w:sz w:val="24"/>
              </w:rPr>
              <w:t>3.62</w:t>
            </w:r>
          </w:p>
        </w:tc>
      </w:tr>
      <w:tr w:rsidR="00861118">
        <w:trPr>
          <w:jc w:val="center"/>
        </w:trPr>
        <w:tc>
          <w:tcPr>
            <w:tcW w:w="1243" w:type="dxa"/>
            <w:vAlign w:val="center"/>
          </w:tcPr>
          <w:p w:rsidR="00861118" w:rsidRDefault="00D012AD">
            <w:pPr>
              <w:jc w:val="center"/>
            </w:pPr>
            <w:r>
              <w:rPr>
                <w:color w:val="000000"/>
                <w:sz w:val="24"/>
              </w:rPr>
              <w:t>5</w:t>
            </w:r>
          </w:p>
        </w:tc>
        <w:tc>
          <w:tcPr>
            <w:tcW w:w="971" w:type="dxa"/>
            <w:vAlign w:val="center"/>
          </w:tcPr>
          <w:p w:rsidR="00861118" w:rsidRDefault="00D012AD">
            <w:pPr>
              <w:jc w:val="center"/>
            </w:pPr>
            <w:r>
              <w:rPr>
                <w:color w:val="000000"/>
                <w:sz w:val="24"/>
              </w:rPr>
              <w:t>Xinyi Glass Holdings Ltd.</w:t>
            </w:r>
          </w:p>
        </w:tc>
        <w:tc>
          <w:tcPr>
            <w:tcW w:w="993" w:type="dxa"/>
            <w:vAlign w:val="center"/>
          </w:tcPr>
          <w:p w:rsidR="00861118" w:rsidRDefault="00D012AD">
            <w:pPr>
              <w:jc w:val="center"/>
            </w:pPr>
            <w:r>
              <w:rPr>
                <w:color w:val="000000"/>
                <w:sz w:val="24"/>
              </w:rPr>
              <w:t>信义玻璃控股有限公司</w:t>
            </w:r>
          </w:p>
        </w:tc>
        <w:tc>
          <w:tcPr>
            <w:tcW w:w="725" w:type="dxa"/>
            <w:vAlign w:val="center"/>
          </w:tcPr>
          <w:p w:rsidR="00861118" w:rsidRDefault="00D012AD">
            <w:pPr>
              <w:jc w:val="center"/>
            </w:pPr>
            <w:r>
              <w:rPr>
                <w:color w:val="000000"/>
                <w:sz w:val="24"/>
              </w:rPr>
              <w:t>868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402,000</w:t>
            </w:r>
          </w:p>
        </w:tc>
        <w:tc>
          <w:tcPr>
            <w:tcW w:w="975" w:type="dxa"/>
            <w:vAlign w:val="center"/>
          </w:tcPr>
          <w:p w:rsidR="00861118" w:rsidRDefault="00D012AD">
            <w:pPr>
              <w:jc w:val="right"/>
            </w:pPr>
            <w:r>
              <w:rPr>
                <w:color w:val="000000"/>
                <w:sz w:val="24"/>
              </w:rPr>
              <w:t>1,141,665.10</w:t>
            </w:r>
          </w:p>
        </w:tc>
        <w:tc>
          <w:tcPr>
            <w:tcW w:w="1175" w:type="dxa"/>
            <w:vAlign w:val="center"/>
          </w:tcPr>
          <w:p w:rsidR="00861118" w:rsidRDefault="00D012AD">
            <w:pPr>
              <w:jc w:val="right"/>
            </w:pPr>
            <w:r>
              <w:rPr>
                <w:color w:val="000000"/>
                <w:sz w:val="24"/>
              </w:rPr>
              <w:t>3.51</w:t>
            </w:r>
          </w:p>
        </w:tc>
      </w:tr>
      <w:tr w:rsidR="00861118">
        <w:trPr>
          <w:jc w:val="center"/>
        </w:trPr>
        <w:tc>
          <w:tcPr>
            <w:tcW w:w="1243" w:type="dxa"/>
            <w:vAlign w:val="center"/>
          </w:tcPr>
          <w:p w:rsidR="00861118" w:rsidRDefault="00D012AD">
            <w:pPr>
              <w:jc w:val="center"/>
            </w:pPr>
            <w:r>
              <w:rPr>
                <w:color w:val="000000"/>
                <w:sz w:val="24"/>
              </w:rPr>
              <w:t>6</w:t>
            </w:r>
          </w:p>
        </w:tc>
        <w:tc>
          <w:tcPr>
            <w:tcW w:w="971" w:type="dxa"/>
            <w:vAlign w:val="center"/>
          </w:tcPr>
          <w:p w:rsidR="00861118" w:rsidRDefault="00D012AD">
            <w:pPr>
              <w:jc w:val="center"/>
            </w:pPr>
            <w:r>
              <w:rPr>
                <w:color w:val="000000"/>
                <w:sz w:val="24"/>
              </w:rPr>
              <w:t>Chow Sang Sang Holdings International Limited</w:t>
            </w:r>
          </w:p>
        </w:tc>
        <w:tc>
          <w:tcPr>
            <w:tcW w:w="993" w:type="dxa"/>
            <w:vAlign w:val="center"/>
          </w:tcPr>
          <w:p w:rsidR="00861118" w:rsidRDefault="00D012AD">
            <w:pPr>
              <w:jc w:val="center"/>
            </w:pPr>
            <w:r>
              <w:rPr>
                <w:color w:val="000000"/>
                <w:sz w:val="24"/>
              </w:rPr>
              <w:t>周生生集团国际有限公司</w:t>
            </w:r>
          </w:p>
        </w:tc>
        <w:tc>
          <w:tcPr>
            <w:tcW w:w="725" w:type="dxa"/>
            <w:vAlign w:val="center"/>
          </w:tcPr>
          <w:p w:rsidR="00861118" w:rsidRDefault="00D012AD">
            <w:pPr>
              <w:jc w:val="center"/>
            </w:pPr>
            <w:r>
              <w:rPr>
                <w:color w:val="000000"/>
                <w:sz w:val="24"/>
              </w:rPr>
              <w:t>116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76,000</w:t>
            </w:r>
          </w:p>
        </w:tc>
        <w:tc>
          <w:tcPr>
            <w:tcW w:w="975" w:type="dxa"/>
            <w:vAlign w:val="center"/>
          </w:tcPr>
          <w:p w:rsidR="00861118" w:rsidRDefault="00D012AD">
            <w:pPr>
              <w:jc w:val="right"/>
            </w:pPr>
            <w:r>
              <w:rPr>
                <w:color w:val="000000"/>
                <w:sz w:val="24"/>
              </w:rPr>
              <w:t>966,900.68</w:t>
            </w:r>
          </w:p>
        </w:tc>
        <w:tc>
          <w:tcPr>
            <w:tcW w:w="1175" w:type="dxa"/>
            <w:vAlign w:val="center"/>
          </w:tcPr>
          <w:p w:rsidR="00861118" w:rsidRDefault="00D012AD">
            <w:pPr>
              <w:jc w:val="right"/>
            </w:pPr>
            <w:r>
              <w:rPr>
                <w:color w:val="000000"/>
                <w:sz w:val="24"/>
              </w:rPr>
              <w:t>2.97</w:t>
            </w:r>
          </w:p>
        </w:tc>
      </w:tr>
      <w:tr w:rsidR="00861118">
        <w:trPr>
          <w:jc w:val="center"/>
        </w:trPr>
        <w:tc>
          <w:tcPr>
            <w:tcW w:w="1243" w:type="dxa"/>
            <w:vAlign w:val="center"/>
          </w:tcPr>
          <w:p w:rsidR="00861118" w:rsidRDefault="00D012AD">
            <w:pPr>
              <w:jc w:val="center"/>
            </w:pPr>
            <w:r>
              <w:rPr>
                <w:color w:val="000000"/>
                <w:sz w:val="24"/>
              </w:rPr>
              <w:t>7</w:t>
            </w:r>
          </w:p>
        </w:tc>
        <w:tc>
          <w:tcPr>
            <w:tcW w:w="971" w:type="dxa"/>
            <w:vAlign w:val="center"/>
          </w:tcPr>
          <w:p w:rsidR="00861118" w:rsidRDefault="00D012AD">
            <w:pPr>
              <w:jc w:val="center"/>
            </w:pPr>
            <w:r>
              <w:rPr>
                <w:color w:val="000000"/>
                <w:sz w:val="24"/>
              </w:rPr>
              <w:t>China Resources Power Holdings Company Limited</w:t>
            </w:r>
          </w:p>
        </w:tc>
        <w:tc>
          <w:tcPr>
            <w:tcW w:w="993" w:type="dxa"/>
            <w:vAlign w:val="center"/>
          </w:tcPr>
          <w:p w:rsidR="00861118" w:rsidRDefault="00D012AD">
            <w:pPr>
              <w:jc w:val="center"/>
            </w:pPr>
            <w:r>
              <w:rPr>
                <w:color w:val="000000"/>
                <w:sz w:val="24"/>
              </w:rPr>
              <w:t>华润电力控股有限公司</w:t>
            </w:r>
          </w:p>
        </w:tc>
        <w:tc>
          <w:tcPr>
            <w:tcW w:w="725" w:type="dxa"/>
            <w:vAlign w:val="center"/>
          </w:tcPr>
          <w:p w:rsidR="00861118" w:rsidRDefault="00D012AD">
            <w:pPr>
              <w:jc w:val="center"/>
            </w:pPr>
            <w:r>
              <w:rPr>
                <w:color w:val="000000"/>
                <w:sz w:val="24"/>
              </w:rPr>
              <w:t>836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56,000</w:t>
            </w:r>
          </w:p>
        </w:tc>
        <w:tc>
          <w:tcPr>
            <w:tcW w:w="975" w:type="dxa"/>
            <w:vAlign w:val="center"/>
          </w:tcPr>
          <w:p w:rsidR="00861118" w:rsidRDefault="00D012AD">
            <w:pPr>
              <w:jc w:val="right"/>
            </w:pPr>
            <w:r>
              <w:rPr>
                <w:color w:val="000000"/>
                <w:sz w:val="24"/>
              </w:rPr>
              <w:t>812,656.22</w:t>
            </w:r>
          </w:p>
        </w:tc>
        <w:tc>
          <w:tcPr>
            <w:tcW w:w="1175" w:type="dxa"/>
            <w:vAlign w:val="center"/>
          </w:tcPr>
          <w:p w:rsidR="00861118" w:rsidRDefault="00D012AD">
            <w:pPr>
              <w:jc w:val="right"/>
            </w:pPr>
            <w:r>
              <w:rPr>
                <w:color w:val="000000"/>
                <w:sz w:val="24"/>
              </w:rPr>
              <w:t>2.50</w:t>
            </w:r>
          </w:p>
        </w:tc>
      </w:tr>
      <w:tr w:rsidR="00861118">
        <w:trPr>
          <w:jc w:val="center"/>
        </w:trPr>
        <w:tc>
          <w:tcPr>
            <w:tcW w:w="1243" w:type="dxa"/>
            <w:vAlign w:val="center"/>
          </w:tcPr>
          <w:p w:rsidR="00861118" w:rsidRDefault="00D012AD">
            <w:pPr>
              <w:jc w:val="center"/>
            </w:pPr>
            <w:r>
              <w:rPr>
                <w:color w:val="000000"/>
                <w:sz w:val="24"/>
              </w:rPr>
              <w:t>8</w:t>
            </w:r>
          </w:p>
        </w:tc>
        <w:tc>
          <w:tcPr>
            <w:tcW w:w="971" w:type="dxa"/>
            <w:vAlign w:val="center"/>
          </w:tcPr>
          <w:p w:rsidR="00861118" w:rsidRDefault="00D012AD">
            <w:pPr>
              <w:jc w:val="center"/>
            </w:pPr>
            <w:r>
              <w:rPr>
                <w:color w:val="000000"/>
                <w:sz w:val="24"/>
              </w:rPr>
              <w:t>Zhuzhou Csr Times Electric Co., Ltd</w:t>
            </w:r>
          </w:p>
        </w:tc>
        <w:tc>
          <w:tcPr>
            <w:tcW w:w="993" w:type="dxa"/>
            <w:vAlign w:val="center"/>
          </w:tcPr>
          <w:p w:rsidR="00861118" w:rsidRDefault="00D012AD">
            <w:pPr>
              <w:jc w:val="center"/>
            </w:pPr>
            <w:r>
              <w:rPr>
                <w:color w:val="000000"/>
                <w:sz w:val="24"/>
              </w:rPr>
              <w:t>株洲南车时代电气股份有限公司</w:t>
            </w:r>
          </w:p>
        </w:tc>
        <w:tc>
          <w:tcPr>
            <w:tcW w:w="725" w:type="dxa"/>
            <w:vAlign w:val="center"/>
          </w:tcPr>
          <w:p w:rsidR="00861118" w:rsidRDefault="00D012AD">
            <w:pPr>
              <w:jc w:val="center"/>
            </w:pPr>
            <w:r>
              <w:rPr>
                <w:color w:val="000000"/>
                <w:sz w:val="24"/>
              </w:rPr>
              <w:t>3898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16,500</w:t>
            </w:r>
          </w:p>
        </w:tc>
        <w:tc>
          <w:tcPr>
            <w:tcW w:w="975" w:type="dxa"/>
            <w:vAlign w:val="center"/>
          </w:tcPr>
          <w:p w:rsidR="00861118" w:rsidRDefault="00D012AD">
            <w:pPr>
              <w:jc w:val="right"/>
            </w:pPr>
            <w:r>
              <w:rPr>
                <w:color w:val="000000"/>
                <w:sz w:val="24"/>
              </w:rPr>
              <w:t>772,638.18</w:t>
            </w:r>
          </w:p>
        </w:tc>
        <w:tc>
          <w:tcPr>
            <w:tcW w:w="1175" w:type="dxa"/>
            <w:vAlign w:val="center"/>
          </w:tcPr>
          <w:p w:rsidR="00861118" w:rsidRDefault="00D012AD">
            <w:pPr>
              <w:jc w:val="right"/>
            </w:pPr>
            <w:r>
              <w:rPr>
                <w:color w:val="000000"/>
                <w:sz w:val="24"/>
              </w:rPr>
              <w:t>2.38</w:t>
            </w:r>
          </w:p>
        </w:tc>
      </w:tr>
      <w:tr w:rsidR="00861118">
        <w:trPr>
          <w:jc w:val="center"/>
        </w:trPr>
        <w:tc>
          <w:tcPr>
            <w:tcW w:w="1243" w:type="dxa"/>
            <w:vAlign w:val="center"/>
          </w:tcPr>
          <w:p w:rsidR="00861118" w:rsidRDefault="00D012AD">
            <w:pPr>
              <w:jc w:val="center"/>
            </w:pPr>
            <w:r>
              <w:rPr>
                <w:color w:val="000000"/>
                <w:sz w:val="24"/>
              </w:rPr>
              <w:t>9</w:t>
            </w:r>
          </w:p>
        </w:tc>
        <w:tc>
          <w:tcPr>
            <w:tcW w:w="971" w:type="dxa"/>
            <w:vAlign w:val="center"/>
          </w:tcPr>
          <w:p w:rsidR="00861118" w:rsidRDefault="00D012AD">
            <w:pPr>
              <w:jc w:val="center"/>
            </w:pPr>
            <w:r>
              <w:rPr>
                <w:color w:val="000000"/>
                <w:sz w:val="24"/>
              </w:rPr>
              <w:t>Huaneng Power International,Inc.</w:t>
            </w:r>
          </w:p>
        </w:tc>
        <w:tc>
          <w:tcPr>
            <w:tcW w:w="993" w:type="dxa"/>
            <w:vAlign w:val="center"/>
          </w:tcPr>
          <w:p w:rsidR="00861118" w:rsidRDefault="00D012AD">
            <w:pPr>
              <w:jc w:val="center"/>
            </w:pPr>
            <w:r>
              <w:rPr>
                <w:color w:val="000000"/>
                <w:sz w:val="24"/>
              </w:rPr>
              <w:t>华能国际电力股份有限公司</w:t>
            </w:r>
          </w:p>
        </w:tc>
        <w:tc>
          <w:tcPr>
            <w:tcW w:w="725" w:type="dxa"/>
            <w:vAlign w:val="center"/>
          </w:tcPr>
          <w:p w:rsidR="00861118" w:rsidRDefault="00D012AD">
            <w:pPr>
              <w:jc w:val="center"/>
            </w:pPr>
            <w:r>
              <w:rPr>
                <w:color w:val="000000"/>
                <w:sz w:val="24"/>
              </w:rPr>
              <w:t>902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108,000</w:t>
            </w:r>
          </w:p>
        </w:tc>
        <w:tc>
          <w:tcPr>
            <w:tcW w:w="975" w:type="dxa"/>
            <w:vAlign w:val="center"/>
          </w:tcPr>
          <w:p w:rsidR="00861118" w:rsidRDefault="00D012AD">
            <w:pPr>
              <w:jc w:val="right"/>
            </w:pPr>
            <w:r>
              <w:rPr>
                <w:color w:val="000000"/>
                <w:sz w:val="24"/>
              </w:rPr>
              <w:t>738,423.20</w:t>
            </w:r>
          </w:p>
        </w:tc>
        <w:tc>
          <w:tcPr>
            <w:tcW w:w="1175" w:type="dxa"/>
            <w:vAlign w:val="center"/>
          </w:tcPr>
          <w:p w:rsidR="00861118" w:rsidRDefault="00D012AD">
            <w:pPr>
              <w:jc w:val="right"/>
            </w:pPr>
            <w:r>
              <w:rPr>
                <w:color w:val="000000"/>
                <w:sz w:val="24"/>
              </w:rPr>
              <w:t>2.27</w:t>
            </w:r>
          </w:p>
        </w:tc>
      </w:tr>
      <w:tr w:rsidR="00861118">
        <w:trPr>
          <w:jc w:val="center"/>
        </w:trPr>
        <w:tc>
          <w:tcPr>
            <w:tcW w:w="1243" w:type="dxa"/>
            <w:vAlign w:val="center"/>
          </w:tcPr>
          <w:p w:rsidR="00861118" w:rsidRDefault="00D012AD">
            <w:pPr>
              <w:jc w:val="center"/>
            </w:pPr>
            <w:r>
              <w:rPr>
                <w:color w:val="000000"/>
                <w:sz w:val="24"/>
              </w:rPr>
              <w:t>10</w:t>
            </w:r>
          </w:p>
        </w:tc>
        <w:tc>
          <w:tcPr>
            <w:tcW w:w="971" w:type="dxa"/>
            <w:vAlign w:val="center"/>
          </w:tcPr>
          <w:p w:rsidR="00861118" w:rsidRDefault="00D012AD">
            <w:pPr>
              <w:jc w:val="center"/>
            </w:pPr>
            <w:r>
              <w:rPr>
                <w:color w:val="000000"/>
                <w:sz w:val="24"/>
              </w:rPr>
              <w:t>Huadian Power International Corporation Limited</w:t>
            </w:r>
          </w:p>
        </w:tc>
        <w:tc>
          <w:tcPr>
            <w:tcW w:w="993" w:type="dxa"/>
            <w:vAlign w:val="center"/>
          </w:tcPr>
          <w:p w:rsidR="00861118" w:rsidRDefault="00D012AD">
            <w:pPr>
              <w:jc w:val="center"/>
            </w:pPr>
            <w:r>
              <w:rPr>
                <w:color w:val="000000"/>
                <w:sz w:val="24"/>
              </w:rPr>
              <w:t>华电国际电力股份有限公司</w:t>
            </w:r>
          </w:p>
        </w:tc>
        <w:tc>
          <w:tcPr>
            <w:tcW w:w="725" w:type="dxa"/>
            <w:vAlign w:val="center"/>
          </w:tcPr>
          <w:p w:rsidR="00861118" w:rsidRDefault="00D012AD">
            <w:pPr>
              <w:jc w:val="center"/>
            </w:pPr>
            <w:r>
              <w:rPr>
                <w:color w:val="000000"/>
                <w:sz w:val="24"/>
              </w:rPr>
              <w:t>1071 HK</w:t>
            </w:r>
          </w:p>
        </w:tc>
        <w:tc>
          <w:tcPr>
            <w:tcW w:w="747" w:type="dxa"/>
            <w:vAlign w:val="center"/>
          </w:tcPr>
          <w:p w:rsidR="00861118" w:rsidRDefault="00D012AD">
            <w:pPr>
              <w:jc w:val="center"/>
            </w:pPr>
            <w:r>
              <w:rPr>
                <w:color w:val="000000"/>
                <w:sz w:val="24"/>
              </w:rPr>
              <w:t>香港证券交易所</w:t>
            </w:r>
          </w:p>
        </w:tc>
        <w:tc>
          <w:tcPr>
            <w:tcW w:w="975" w:type="dxa"/>
            <w:vAlign w:val="center"/>
          </w:tcPr>
          <w:p w:rsidR="00861118" w:rsidRDefault="00D012AD">
            <w:pPr>
              <w:jc w:val="center"/>
            </w:pPr>
            <w:r>
              <w:rPr>
                <w:color w:val="000000"/>
                <w:sz w:val="24"/>
              </w:rPr>
              <w:t>香港</w:t>
            </w:r>
          </w:p>
        </w:tc>
        <w:tc>
          <w:tcPr>
            <w:tcW w:w="1175" w:type="dxa"/>
            <w:vAlign w:val="center"/>
          </w:tcPr>
          <w:p w:rsidR="00861118" w:rsidRDefault="00D012AD">
            <w:pPr>
              <w:jc w:val="right"/>
            </w:pPr>
            <w:r>
              <w:rPr>
                <w:color w:val="000000"/>
                <w:sz w:val="24"/>
              </w:rPr>
              <w:t>136,000</w:t>
            </w:r>
          </w:p>
        </w:tc>
        <w:tc>
          <w:tcPr>
            <w:tcW w:w="975" w:type="dxa"/>
            <w:vAlign w:val="center"/>
          </w:tcPr>
          <w:p w:rsidR="00861118" w:rsidRDefault="00D012AD">
            <w:pPr>
              <w:jc w:val="right"/>
            </w:pPr>
            <w:r>
              <w:rPr>
                <w:color w:val="000000"/>
                <w:sz w:val="24"/>
              </w:rPr>
              <w:t>673,120.47</w:t>
            </w:r>
          </w:p>
        </w:tc>
        <w:tc>
          <w:tcPr>
            <w:tcW w:w="1175" w:type="dxa"/>
            <w:vAlign w:val="center"/>
          </w:tcPr>
          <w:p w:rsidR="00861118" w:rsidRDefault="00D012AD">
            <w:pPr>
              <w:jc w:val="right"/>
            </w:pPr>
            <w:r>
              <w:rPr>
                <w:color w:val="000000"/>
                <w:sz w:val="24"/>
              </w:rPr>
              <w:t>2.07</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37,449.69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1,754.57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1,086.95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40,291.21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79,777,348.28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3,239,717.89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54,579,141.99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28,437,924.18</w:t>
            </w:r>
          </w:p>
        </w:tc>
      </w:tr>
    </w:tbl>
    <w:p w:rsidR="00861118" w:rsidRDefault="00D012A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8E4D57"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E64DA" w:rsidRPr="008640AE">
        <w:rPr>
          <w:color w:val="000000"/>
          <w:sz w:val="24"/>
        </w:rPr>
        <w:t>本基金管理人本报告期内未进行本基金的申购、赎回、红利再投等；本基金管理人本报告期末持有本基金份额</w:t>
      </w:r>
      <w:r w:rsidR="005E64DA" w:rsidRPr="008640AE">
        <w:rPr>
          <w:color w:val="000000"/>
          <w:sz w:val="24"/>
        </w:rPr>
        <w:t>0.00</w:t>
      </w:r>
      <w:r w:rsidR="005E64DA" w:rsidRPr="008640AE">
        <w:rPr>
          <w:color w:val="000000"/>
          <w:sz w:val="24"/>
        </w:rPr>
        <w:t>份，占本基金期末总份额的</w:t>
      </w:r>
      <w:r w:rsidR="005E64DA" w:rsidRPr="008640AE">
        <w:rPr>
          <w:color w:val="000000"/>
          <w:sz w:val="24"/>
        </w:rPr>
        <w:t>0.00%</w:t>
      </w:r>
      <w:r w:rsidR="005E64DA"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B111B9" w:rsidRPr="008640AE">
        <w:rPr>
          <w:color w:val="000000"/>
          <w:kern w:val="0"/>
          <w:sz w:val="24"/>
          <w:szCs w:val="24"/>
        </w:rPr>
        <w:t xml:space="preserve">8 </w:t>
      </w:r>
      <w:r w:rsidRPr="008640AE">
        <w:rPr>
          <w:color w:val="000000"/>
          <w:kern w:val="0"/>
          <w:sz w:val="24"/>
          <w:szCs w:val="24"/>
        </w:rPr>
        <w:t>影响投资者决策的其他重要信息</w:t>
      </w:r>
    </w:p>
    <w:p w:rsidR="008975BC" w:rsidRPr="008640AE" w:rsidRDefault="008975BC" w:rsidP="005546C0">
      <w:pPr>
        <w:spacing w:before="29" w:line="288" w:lineRule="auto"/>
        <w:ind w:firstLineChars="200" w:firstLine="480"/>
        <w:rPr>
          <w:color w:val="000000"/>
          <w:sz w:val="24"/>
        </w:rPr>
      </w:pPr>
      <w:r w:rsidRPr="008640AE">
        <w:rPr>
          <w:color w:val="000000"/>
          <w:sz w:val="24"/>
        </w:rPr>
        <w:t>根据《中华人民共和国证券投资基金法》、《关于实施</w:t>
      </w:r>
      <w:r w:rsidRPr="008640AE">
        <w:rPr>
          <w:color w:val="000000"/>
          <w:sz w:val="24"/>
        </w:rPr>
        <w:t>&lt;</w:t>
      </w:r>
      <w:r w:rsidRPr="008640AE">
        <w:rPr>
          <w:color w:val="000000"/>
          <w:sz w:val="24"/>
        </w:rPr>
        <w:t>公开募集证券投资基金运作管理办法</w:t>
      </w:r>
      <w:r w:rsidRPr="008640AE">
        <w:rPr>
          <w:color w:val="000000"/>
          <w:sz w:val="24"/>
        </w:rPr>
        <w:t>&gt;</w:t>
      </w:r>
      <w:r w:rsidRPr="008640AE">
        <w:rPr>
          <w:color w:val="000000"/>
          <w:sz w:val="24"/>
        </w:rPr>
        <w:t>有关问题的规定》以及《公开募集证券投资基金运作管理办法》第三十条的规定</w:t>
      </w:r>
      <w:r w:rsidRPr="008640AE">
        <w:rPr>
          <w:color w:val="000000"/>
          <w:sz w:val="24"/>
        </w:rPr>
        <w:t>“</w:t>
      </w:r>
      <w:r w:rsidRPr="008640AE">
        <w:rPr>
          <w:color w:val="000000"/>
          <w:sz w:val="24"/>
        </w:rPr>
        <w:t>基金合同和基金招募说明书应当按照下列规定载明基金的类别：（一）百分之八十以上的基金资产投资于股票的，为股票基金；</w:t>
      </w:r>
      <w:r w:rsidRPr="008640AE">
        <w:rPr>
          <w:color w:val="000000"/>
          <w:sz w:val="24"/>
        </w:rPr>
        <w:t>……</w:t>
      </w:r>
      <w:r w:rsidRPr="008640AE">
        <w:rPr>
          <w:color w:val="000000"/>
          <w:sz w:val="24"/>
        </w:rPr>
        <w:t>（五）投资于股票、债券、货币市场工具或其他基金份额，并且股票投资、债券投资、基金投资的比例不符合第（一）项、第（二）项、第（四）项规定的，为混合基金；</w:t>
      </w:r>
      <w:r w:rsidRPr="008640AE">
        <w:rPr>
          <w:color w:val="000000"/>
          <w:sz w:val="24"/>
        </w:rPr>
        <w:t>……”</w:t>
      </w:r>
      <w:r w:rsidRPr="008640AE">
        <w:rPr>
          <w:color w:val="000000"/>
          <w:sz w:val="24"/>
        </w:rPr>
        <w:t>，由于交银施罗德全球自然资源证券投资基金的基金投资比例已不符合《公开募集证券投资基金运作管理办法》中关于股票型基金的要求，经与基金托管人协商一致，并报中国证监会备案，本基金管理人决定自</w:t>
      </w:r>
      <w:r w:rsidRPr="008640AE">
        <w:rPr>
          <w:color w:val="000000"/>
          <w:sz w:val="24"/>
        </w:rPr>
        <w:t>2015</w:t>
      </w:r>
      <w:r w:rsidRPr="008640AE">
        <w:rPr>
          <w:color w:val="000000"/>
          <w:sz w:val="24"/>
        </w:rPr>
        <w:t>年</w:t>
      </w:r>
      <w:r w:rsidRPr="008640AE">
        <w:rPr>
          <w:color w:val="000000"/>
          <w:sz w:val="24"/>
        </w:rPr>
        <w:t>8</w:t>
      </w:r>
      <w:r w:rsidRPr="008640AE">
        <w:rPr>
          <w:color w:val="000000"/>
          <w:sz w:val="24"/>
        </w:rPr>
        <w:t>月</w:t>
      </w:r>
      <w:r w:rsidRPr="008640AE">
        <w:rPr>
          <w:color w:val="000000"/>
          <w:sz w:val="24"/>
        </w:rPr>
        <w:t>8</w:t>
      </w:r>
      <w:r w:rsidRPr="008640AE">
        <w:rPr>
          <w:color w:val="000000"/>
          <w:sz w:val="24"/>
        </w:rPr>
        <w:t>日起，调整本基金类型为混合型基金，同时相应修改基金合同和托管协议相关表述。详情请见本基金管理人于</w:t>
      </w:r>
      <w:r w:rsidRPr="008640AE">
        <w:rPr>
          <w:color w:val="000000"/>
          <w:sz w:val="24"/>
        </w:rPr>
        <w:t>2015</w:t>
      </w:r>
      <w:r w:rsidRPr="008640AE">
        <w:rPr>
          <w:color w:val="000000"/>
          <w:sz w:val="24"/>
        </w:rPr>
        <w:t>年</w:t>
      </w:r>
      <w:r w:rsidRPr="008640AE">
        <w:rPr>
          <w:color w:val="000000"/>
          <w:sz w:val="24"/>
        </w:rPr>
        <w:t>8</w:t>
      </w:r>
      <w:r w:rsidRPr="008640AE">
        <w:rPr>
          <w:color w:val="000000"/>
          <w:sz w:val="24"/>
        </w:rPr>
        <w:t>月</w:t>
      </w:r>
      <w:r w:rsidRPr="008640AE">
        <w:rPr>
          <w:color w:val="000000"/>
          <w:sz w:val="24"/>
        </w:rPr>
        <w:t>5</w:t>
      </w:r>
      <w:r w:rsidRPr="008640AE">
        <w:rPr>
          <w:color w:val="000000"/>
          <w:sz w:val="24"/>
        </w:rPr>
        <w:t>日发布的《交银施罗德基金管理有限公司关于旗下部分基金变更基金类别及修改基金名称并相应修改基金合同和托管协议的公告》。</w:t>
      </w:r>
    </w:p>
    <w:p w:rsidR="00CF0249" w:rsidRPr="008640AE" w:rsidRDefault="00CF0249" w:rsidP="005546C0">
      <w:pPr>
        <w:spacing w:before="29" w:line="288" w:lineRule="auto"/>
        <w:ind w:firstLineChars="200" w:firstLine="480"/>
        <w:rPr>
          <w:color w:val="000000"/>
          <w:sz w:val="24"/>
        </w:rPr>
      </w:pPr>
    </w:p>
    <w:p w:rsidR="0076518F" w:rsidRPr="008640AE" w:rsidRDefault="0076518F" w:rsidP="008E4D57">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861118" w:rsidRDefault="00D012AD">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861118" w:rsidRDefault="00D012AD">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861118" w:rsidRDefault="00D012AD">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861118" w:rsidRDefault="00D012AD">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861118" w:rsidRDefault="00D012AD">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861118" w:rsidRDefault="00D012AD">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861118" w:rsidRDefault="00D012AD">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861118" w:rsidRDefault="00D012A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404" w:rsidRDefault="00BF6404">
      <w:r>
        <w:separator/>
      </w:r>
    </w:p>
  </w:endnote>
  <w:endnote w:type="continuationSeparator" w:id="0">
    <w:p w:rsidR="00BF6404" w:rsidRDefault="00BF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C750AB">
      <w:rPr>
        <w:kern w:val="0"/>
        <w:szCs w:val="21"/>
      </w:rPr>
      <w:fldChar w:fldCharType="begin"/>
    </w:r>
    <w:r>
      <w:rPr>
        <w:kern w:val="0"/>
        <w:szCs w:val="21"/>
      </w:rPr>
      <w:instrText xml:space="preserve"> PAGE </w:instrText>
    </w:r>
    <w:r w:rsidR="00C750AB">
      <w:rPr>
        <w:kern w:val="0"/>
        <w:szCs w:val="21"/>
      </w:rPr>
      <w:fldChar w:fldCharType="separate"/>
    </w:r>
    <w:r w:rsidR="00CF7C59">
      <w:rPr>
        <w:noProof/>
        <w:kern w:val="0"/>
        <w:szCs w:val="21"/>
      </w:rPr>
      <w:t>1</w:t>
    </w:r>
    <w:r w:rsidR="00C750AB">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C750AB">
      <w:rPr>
        <w:kern w:val="0"/>
        <w:szCs w:val="21"/>
      </w:rPr>
      <w:fldChar w:fldCharType="begin"/>
    </w:r>
    <w:r>
      <w:rPr>
        <w:kern w:val="0"/>
        <w:szCs w:val="21"/>
      </w:rPr>
      <w:instrText xml:space="preserve"> NUMPAGES </w:instrText>
    </w:r>
    <w:r w:rsidR="00C750AB">
      <w:rPr>
        <w:kern w:val="0"/>
        <w:szCs w:val="21"/>
      </w:rPr>
      <w:fldChar w:fldCharType="separate"/>
    </w:r>
    <w:r w:rsidR="00CF7C59">
      <w:rPr>
        <w:noProof/>
        <w:kern w:val="0"/>
        <w:szCs w:val="21"/>
      </w:rPr>
      <w:t>14</w:t>
    </w:r>
    <w:r w:rsidR="00C750AB">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C750AB">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404" w:rsidRDefault="00BF6404">
      <w:r>
        <w:separator/>
      </w:r>
    </w:p>
  </w:footnote>
  <w:footnote w:type="continuationSeparator" w:id="0">
    <w:p w:rsidR="00BF6404" w:rsidRDefault="00BF6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5A37"/>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118"/>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4D57"/>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6404"/>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750AB"/>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CF7C59"/>
    <w:rsid w:val="00D012AD"/>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2A32017-92ED-4BE3-8512-7C2659753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102</TotalTime>
  <Pages>14</Pages>
  <Words>1179</Words>
  <Characters>6721</Characters>
  <Application>Microsoft Office Word</Application>
  <DocSecurity>0</DocSecurity>
  <Lines>56</Lines>
  <Paragraphs>15</Paragraphs>
  <ScaleCrop>false</ScaleCrop>
  <Company>TRT. Ltd. Co.</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240</cp:revision>
  <cp:lastPrinted>2007-07-19T00:46:00Z</cp:lastPrinted>
  <dcterms:created xsi:type="dcterms:W3CDTF">2013-08-01T05:26:00Z</dcterms:created>
  <dcterms:modified xsi:type="dcterms:W3CDTF">2015-10-22T06:51:00Z</dcterms:modified>
</cp:coreProperties>
</file>